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87" w:rsidRPr="00E13322" w:rsidRDefault="00B15F87" w:rsidP="00E13322">
      <w:pPr>
        <w:pStyle w:val="Heading1"/>
        <w:spacing w:before="0" w:line="240" w:lineRule="auto"/>
        <w:jc w:val="both"/>
        <w:rPr>
          <w:rFonts w:ascii="Times New Roman" w:hAnsi="Times New Roman" w:cs="Times New Roman"/>
          <w:color w:val="auto"/>
          <w:sz w:val="22"/>
          <w:szCs w:val="22"/>
        </w:rPr>
      </w:pPr>
      <w:bookmarkStart w:id="0" w:name="OLE_LINK13"/>
      <w:bookmarkStart w:id="1" w:name="OLE_LINK14"/>
      <w:r w:rsidRPr="00E13322">
        <w:rPr>
          <w:rFonts w:ascii="Times New Roman" w:hAnsi="Times New Roman" w:cs="Times New Roman"/>
          <w:color w:val="auto"/>
          <w:sz w:val="22"/>
          <w:szCs w:val="22"/>
        </w:rPr>
        <w:t>DELEGATED POWERS AND REGULATORY REFORM COMMITTEE</w:t>
      </w:r>
    </w:p>
    <w:p w:rsidR="00B15F87" w:rsidRPr="00E13322" w:rsidRDefault="00B043DE" w:rsidP="00E13322">
      <w:pPr>
        <w:pStyle w:val="Heading1"/>
        <w:spacing w:before="0" w:line="240" w:lineRule="auto"/>
        <w:jc w:val="both"/>
        <w:rPr>
          <w:rFonts w:ascii="Times New Roman" w:hAnsi="Times New Roman" w:cs="Times New Roman"/>
          <w:color w:val="auto"/>
          <w:sz w:val="22"/>
          <w:szCs w:val="22"/>
        </w:rPr>
      </w:pPr>
      <w:r w:rsidRPr="00E13322">
        <w:rPr>
          <w:rFonts w:ascii="Times New Roman" w:hAnsi="Times New Roman" w:cs="Times New Roman"/>
          <w:color w:val="auto"/>
          <w:sz w:val="22"/>
          <w:szCs w:val="22"/>
        </w:rPr>
        <w:t>HIGHER EDUCATION AND RESEARCH</w:t>
      </w:r>
      <w:r w:rsidR="00B15F87" w:rsidRPr="00E13322">
        <w:rPr>
          <w:rFonts w:ascii="Times New Roman" w:hAnsi="Times New Roman" w:cs="Times New Roman"/>
          <w:color w:val="auto"/>
          <w:sz w:val="22"/>
          <w:szCs w:val="22"/>
        </w:rPr>
        <w:t xml:space="preserve"> BILL</w:t>
      </w:r>
    </w:p>
    <w:p w:rsidR="002063E5" w:rsidRPr="00E13322" w:rsidRDefault="002063E5" w:rsidP="00E13322">
      <w:pPr>
        <w:jc w:val="both"/>
        <w:rPr>
          <w:sz w:val="22"/>
          <w:szCs w:val="22"/>
          <w:lang w:eastAsia="en-US"/>
        </w:rPr>
      </w:pPr>
    </w:p>
    <w:p w:rsidR="00B15F87" w:rsidRPr="00E13322" w:rsidRDefault="009D2166" w:rsidP="00E13322">
      <w:pPr>
        <w:pStyle w:val="Heading1"/>
        <w:spacing w:before="0" w:line="240" w:lineRule="auto"/>
        <w:jc w:val="both"/>
        <w:rPr>
          <w:rFonts w:ascii="Times New Roman" w:hAnsi="Times New Roman" w:cs="Times New Roman"/>
          <w:color w:val="auto"/>
          <w:sz w:val="22"/>
          <w:szCs w:val="22"/>
        </w:rPr>
      </w:pPr>
      <w:r w:rsidRPr="00E13322">
        <w:rPr>
          <w:rFonts w:ascii="Times New Roman" w:hAnsi="Times New Roman" w:cs="Times New Roman"/>
          <w:color w:val="auto"/>
          <w:sz w:val="22"/>
          <w:szCs w:val="22"/>
        </w:rPr>
        <w:t xml:space="preserve">Supplementary </w:t>
      </w:r>
      <w:r w:rsidR="00B15F87" w:rsidRPr="00E13322">
        <w:rPr>
          <w:rFonts w:ascii="Times New Roman" w:hAnsi="Times New Roman" w:cs="Times New Roman"/>
          <w:color w:val="auto"/>
          <w:sz w:val="22"/>
          <w:szCs w:val="22"/>
        </w:rPr>
        <w:t xml:space="preserve">Memorandum by the </w:t>
      </w:r>
      <w:r w:rsidR="00B54D38" w:rsidRPr="00E13322">
        <w:rPr>
          <w:rFonts w:ascii="Times New Roman" w:hAnsi="Times New Roman" w:cs="Times New Roman"/>
          <w:color w:val="auto"/>
          <w:sz w:val="22"/>
          <w:szCs w:val="22"/>
        </w:rPr>
        <w:t xml:space="preserve">Department </w:t>
      </w:r>
      <w:r w:rsidR="00B15F87" w:rsidRPr="00E13322">
        <w:rPr>
          <w:rFonts w:ascii="Times New Roman" w:hAnsi="Times New Roman" w:cs="Times New Roman"/>
          <w:color w:val="auto"/>
          <w:sz w:val="22"/>
          <w:szCs w:val="22"/>
        </w:rPr>
        <w:t xml:space="preserve">for </w:t>
      </w:r>
      <w:r w:rsidR="00FA05E3" w:rsidRPr="00E13322">
        <w:rPr>
          <w:rFonts w:ascii="Times New Roman" w:hAnsi="Times New Roman" w:cs="Times New Roman"/>
          <w:color w:val="auto"/>
          <w:sz w:val="22"/>
          <w:szCs w:val="22"/>
        </w:rPr>
        <w:t>Education</w:t>
      </w:r>
    </w:p>
    <w:p w:rsidR="00CC7BAE" w:rsidRPr="00E13322" w:rsidRDefault="00CC7BAE" w:rsidP="00E13322">
      <w:pPr>
        <w:jc w:val="both"/>
        <w:rPr>
          <w:sz w:val="22"/>
          <w:szCs w:val="22"/>
          <w:lang w:eastAsia="en-US"/>
        </w:rPr>
      </w:pPr>
    </w:p>
    <w:p w:rsidR="00CC7BAE" w:rsidRPr="00E13322" w:rsidRDefault="00CC7BAE" w:rsidP="00E13322">
      <w:pPr>
        <w:jc w:val="both"/>
        <w:rPr>
          <w:rFonts w:eastAsiaTheme="minorHAnsi"/>
          <w:b/>
          <w:sz w:val="22"/>
          <w:szCs w:val="22"/>
          <w:u w:val="single"/>
          <w:lang w:eastAsia="en-US"/>
        </w:rPr>
      </w:pPr>
      <w:r w:rsidRPr="00E13322">
        <w:rPr>
          <w:rFonts w:eastAsiaTheme="minorHAnsi"/>
          <w:b/>
          <w:sz w:val="22"/>
          <w:szCs w:val="22"/>
          <w:u w:val="single"/>
          <w:lang w:eastAsia="en-US"/>
        </w:rPr>
        <w:t>Introduction</w:t>
      </w:r>
    </w:p>
    <w:p w:rsidR="00CC7BAE" w:rsidRPr="00E13322" w:rsidRDefault="00CC7BAE" w:rsidP="00E13322">
      <w:pPr>
        <w:jc w:val="both"/>
        <w:rPr>
          <w:rFonts w:eastAsiaTheme="minorHAnsi"/>
          <w:b/>
          <w:sz w:val="22"/>
          <w:szCs w:val="22"/>
          <w:u w:val="single"/>
          <w:lang w:eastAsia="en-US"/>
        </w:rPr>
      </w:pPr>
    </w:p>
    <w:p w:rsidR="00CC7BAE" w:rsidRPr="00E13322" w:rsidRDefault="00CC7BAE" w:rsidP="00E13322">
      <w:pPr>
        <w:pStyle w:val="ListParagraph"/>
        <w:numPr>
          <w:ilvl w:val="0"/>
          <w:numId w:val="1"/>
        </w:numPr>
        <w:contextualSpacing w:val="0"/>
        <w:jc w:val="both"/>
        <w:rPr>
          <w:sz w:val="22"/>
          <w:szCs w:val="22"/>
        </w:rPr>
      </w:pPr>
      <w:r w:rsidRPr="00E13322">
        <w:rPr>
          <w:sz w:val="22"/>
          <w:szCs w:val="22"/>
        </w:rPr>
        <w:t xml:space="preserve">This </w:t>
      </w:r>
      <w:r w:rsidR="009D2166" w:rsidRPr="00E13322">
        <w:rPr>
          <w:sz w:val="22"/>
          <w:szCs w:val="22"/>
        </w:rPr>
        <w:t>Supplementary Memorandum has been prepared for the Delegated Powers and Regulatory Reform Committee b</w:t>
      </w:r>
      <w:r w:rsidR="00B503B4" w:rsidRPr="00E13322">
        <w:rPr>
          <w:sz w:val="22"/>
          <w:szCs w:val="22"/>
        </w:rPr>
        <w:t xml:space="preserve">y the Department for Education </w:t>
      </w:r>
      <w:r w:rsidR="009D2166" w:rsidRPr="00E13322">
        <w:rPr>
          <w:sz w:val="22"/>
          <w:szCs w:val="22"/>
        </w:rPr>
        <w:t>in relation to the Higher Education and Research Bill (the “</w:t>
      </w:r>
      <w:r w:rsidR="009D2166" w:rsidRPr="00E13322">
        <w:rPr>
          <w:b/>
          <w:sz w:val="22"/>
          <w:szCs w:val="22"/>
        </w:rPr>
        <w:t>Bill</w:t>
      </w:r>
      <w:r w:rsidR="009D2166" w:rsidRPr="00E13322">
        <w:rPr>
          <w:sz w:val="22"/>
          <w:szCs w:val="22"/>
        </w:rPr>
        <w:t>”)</w:t>
      </w:r>
      <w:r w:rsidRPr="00E13322">
        <w:rPr>
          <w:sz w:val="22"/>
          <w:szCs w:val="22"/>
        </w:rPr>
        <w:t>.</w:t>
      </w:r>
    </w:p>
    <w:p w:rsidR="009D2166" w:rsidRPr="00E13322" w:rsidRDefault="009D2166" w:rsidP="00E13322">
      <w:pPr>
        <w:pStyle w:val="ListParagraph"/>
        <w:ind w:left="510"/>
        <w:contextualSpacing w:val="0"/>
        <w:jc w:val="both"/>
        <w:rPr>
          <w:sz w:val="22"/>
          <w:szCs w:val="22"/>
        </w:rPr>
      </w:pPr>
    </w:p>
    <w:p w:rsidR="00F85465" w:rsidRDefault="009D2166" w:rsidP="00E13322">
      <w:pPr>
        <w:pStyle w:val="ListParagraph"/>
        <w:numPr>
          <w:ilvl w:val="0"/>
          <w:numId w:val="1"/>
        </w:numPr>
        <w:contextualSpacing w:val="0"/>
        <w:jc w:val="both"/>
        <w:rPr>
          <w:sz w:val="22"/>
          <w:szCs w:val="22"/>
        </w:rPr>
      </w:pPr>
      <w:r w:rsidRPr="00E13322">
        <w:rPr>
          <w:sz w:val="22"/>
          <w:szCs w:val="22"/>
        </w:rPr>
        <w:t xml:space="preserve">It follows the </w:t>
      </w:r>
      <w:r w:rsidR="00B503B4" w:rsidRPr="00E13322">
        <w:rPr>
          <w:sz w:val="22"/>
          <w:szCs w:val="22"/>
        </w:rPr>
        <w:t xml:space="preserve">Delegated Powers </w:t>
      </w:r>
      <w:r w:rsidRPr="00E13322">
        <w:rPr>
          <w:sz w:val="22"/>
          <w:szCs w:val="22"/>
        </w:rPr>
        <w:t>Memorandum su</w:t>
      </w:r>
      <w:r w:rsidR="00B503B4" w:rsidRPr="00E13322">
        <w:rPr>
          <w:sz w:val="22"/>
          <w:szCs w:val="22"/>
        </w:rPr>
        <w:t xml:space="preserve">bmitted to the Committee </w:t>
      </w:r>
      <w:r w:rsidR="00DD686E">
        <w:rPr>
          <w:sz w:val="22"/>
          <w:szCs w:val="22"/>
        </w:rPr>
        <w:t>on 23 November 2016</w:t>
      </w:r>
      <w:r w:rsidRPr="00E13322">
        <w:rPr>
          <w:sz w:val="22"/>
          <w:szCs w:val="22"/>
        </w:rPr>
        <w:t>.</w:t>
      </w:r>
      <w:r w:rsidR="00DD686E">
        <w:rPr>
          <w:sz w:val="22"/>
          <w:szCs w:val="22"/>
        </w:rPr>
        <w:t xml:space="preserve"> </w:t>
      </w:r>
      <w:r w:rsidRPr="00E13322">
        <w:rPr>
          <w:sz w:val="22"/>
          <w:szCs w:val="22"/>
        </w:rPr>
        <w:t>Government amendments</w:t>
      </w:r>
      <w:r w:rsidR="00B503B4" w:rsidRPr="00E13322">
        <w:rPr>
          <w:sz w:val="22"/>
          <w:szCs w:val="22"/>
        </w:rPr>
        <w:t xml:space="preserve"> to the Bill</w:t>
      </w:r>
      <w:r w:rsidRPr="00E13322">
        <w:rPr>
          <w:sz w:val="22"/>
          <w:szCs w:val="22"/>
        </w:rPr>
        <w:t xml:space="preserve"> were tabled </w:t>
      </w:r>
      <w:r w:rsidR="00B503B4" w:rsidRPr="00E13322">
        <w:rPr>
          <w:sz w:val="22"/>
          <w:szCs w:val="22"/>
        </w:rPr>
        <w:t xml:space="preserve">on </w:t>
      </w:r>
      <w:r w:rsidR="00BC4511" w:rsidRPr="00B466E3">
        <w:rPr>
          <w:sz w:val="22"/>
          <w:szCs w:val="22"/>
        </w:rPr>
        <w:t>3 January 2017</w:t>
      </w:r>
      <w:r w:rsidRPr="00E13322">
        <w:rPr>
          <w:sz w:val="22"/>
          <w:szCs w:val="22"/>
        </w:rPr>
        <w:t xml:space="preserve"> for con</w:t>
      </w:r>
      <w:r w:rsidR="00DD686E">
        <w:rPr>
          <w:sz w:val="22"/>
          <w:szCs w:val="22"/>
        </w:rPr>
        <w:t>sideration at Lords</w:t>
      </w:r>
      <w:r w:rsidR="006627EF" w:rsidRPr="00E13322">
        <w:rPr>
          <w:sz w:val="22"/>
          <w:szCs w:val="22"/>
        </w:rPr>
        <w:t xml:space="preserve"> Committee stage</w:t>
      </w:r>
      <w:r w:rsidR="00DD686E">
        <w:rPr>
          <w:sz w:val="22"/>
          <w:szCs w:val="22"/>
        </w:rPr>
        <w:t>, and this Supplementary Memo</w:t>
      </w:r>
      <w:r w:rsidR="00F85465">
        <w:rPr>
          <w:sz w:val="22"/>
          <w:szCs w:val="22"/>
        </w:rPr>
        <w:t>randum</w:t>
      </w:r>
      <w:r w:rsidR="00DD686E">
        <w:rPr>
          <w:sz w:val="22"/>
          <w:szCs w:val="22"/>
        </w:rPr>
        <w:t xml:space="preserve"> identifies those amendments which make </w:t>
      </w:r>
      <w:r w:rsidR="00CD2035">
        <w:rPr>
          <w:sz w:val="22"/>
          <w:szCs w:val="22"/>
        </w:rPr>
        <w:t xml:space="preserve">changes to existing delegated powers </w:t>
      </w:r>
      <w:r w:rsidR="00F85465">
        <w:rPr>
          <w:sz w:val="22"/>
          <w:szCs w:val="22"/>
        </w:rPr>
        <w:t>in</w:t>
      </w:r>
      <w:r w:rsidR="00CD2035">
        <w:rPr>
          <w:sz w:val="22"/>
          <w:szCs w:val="22"/>
        </w:rPr>
        <w:t xml:space="preserve"> the Bill</w:t>
      </w:r>
      <w:r w:rsidR="00DD686E">
        <w:rPr>
          <w:sz w:val="22"/>
          <w:szCs w:val="22"/>
        </w:rPr>
        <w:t>.</w:t>
      </w:r>
      <w:r w:rsidR="00F85465">
        <w:rPr>
          <w:sz w:val="22"/>
          <w:szCs w:val="22"/>
        </w:rPr>
        <w:t xml:space="preserve"> There are no new delegated powers at this stage.</w:t>
      </w:r>
      <w:r w:rsidR="00DD686E">
        <w:rPr>
          <w:sz w:val="22"/>
          <w:szCs w:val="22"/>
        </w:rPr>
        <w:t xml:space="preserve"> </w:t>
      </w:r>
    </w:p>
    <w:p w:rsidR="00F85465" w:rsidRPr="00F85465" w:rsidRDefault="00F85465" w:rsidP="00F85465">
      <w:pPr>
        <w:pStyle w:val="ListParagraph"/>
        <w:rPr>
          <w:sz w:val="22"/>
          <w:szCs w:val="22"/>
        </w:rPr>
      </w:pPr>
    </w:p>
    <w:p w:rsidR="00CC7BAE" w:rsidRPr="00E13322" w:rsidRDefault="00DD686E" w:rsidP="00E13322">
      <w:pPr>
        <w:pStyle w:val="ListParagraph"/>
        <w:numPr>
          <w:ilvl w:val="0"/>
          <w:numId w:val="1"/>
        </w:numPr>
        <w:contextualSpacing w:val="0"/>
        <w:jc w:val="both"/>
        <w:rPr>
          <w:sz w:val="22"/>
          <w:szCs w:val="22"/>
        </w:rPr>
      </w:pPr>
      <w:r>
        <w:rPr>
          <w:sz w:val="22"/>
          <w:szCs w:val="22"/>
        </w:rPr>
        <w:t>The text of the relevant amendments can be found in the annex to this Supplementary Memorandum.</w:t>
      </w:r>
    </w:p>
    <w:p w:rsidR="009D2166" w:rsidRPr="00E13322" w:rsidRDefault="009D2166" w:rsidP="00E13322">
      <w:pPr>
        <w:jc w:val="both"/>
        <w:rPr>
          <w:sz w:val="22"/>
          <w:szCs w:val="22"/>
        </w:rPr>
      </w:pPr>
    </w:p>
    <w:p w:rsidR="00CC7BAE" w:rsidRPr="00E13322" w:rsidRDefault="00CC7BAE" w:rsidP="00E13322">
      <w:pPr>
        <w:jc w:val="both"/>
        <w:rPr>
          <w:rFonts w:eastAsiaTheme="minorHAnsi"/>
          <w:b/>
          <w:sz w:val="22"/>
          <w:szCs w:val="22"/>
          <w:u w:val="single"/>
          <w:lang w:eastAsia="en-US"/>
        </w:rPr>
      </w:pPr>
      <w:r w:rsidRPr="00E13322">
        <w:rPr>
          <w:rFonts w:eastAsiaTheme="minorHAnsi"/>
          <w:b/>
          <w:sz w:val="22"/>
          <w:szCs w:val="22"/>
          <w:u w:val="single"/>
          <w:lang w:eastAsia="en-US"/>
        </w:rPr>
        <w:t>Overview of the Bill</w:t>
      </w:r>
    </w:p>
    <w:p w:rsidR="00CC7BAE" w:rsidRPr="00E13322" w:rsidRDefault="00CC7BAE" w:rsidP="00E13322">
      <w:pPr>
        <w:jc w:val="both"/>
        <w:rPr>
          <w:rFonts w:eastAsiaTheme="minorHAnsi"/>
          <w:b/>
          <w:sz w:val="22"/>
          <w:szCs w:val="22"/>
          <w:u w:val="single"/>
          <w:lang w:eastAsia="en-US"/>
        </w:rPr>
      </w:pPr>
    </w:p>
    <w:p w:rsidR="00CC7BAE" w:rsidRPr="00E13322" w:rsidRDefault="00CC7BAE" w:rsidP="00E13322">
      <w:pPr>
        <w:pStyle w:val="ListParagraph"/>
        <w:numPr>
          <w:ilvl w:val="0"/>
          <w:numId w:val="1"/>
        </w:numPr>
        <w:contextualSpacing w:val="0"/>
        <w:jc w:val="both"/>
        <w:rPr>
          <w:sz w:val="22"/>
          <w:szCs w:val="22"/>
        </w:rPr>
      </w:pPr>
      <w:r w:rsidRPr="00E13322">
        <w:rPr>
          <w:sz w:val="22"/>
          <w:szCs w:val="22"/>
        </w:rPr>
        <w:t>The Bill con</w:t>
      </w:r>
      <w:r w:rsidR="00282879" w:rsidRPr="00E13322">
        <w:rPr>
          <w:sz w:val="22"/>
          <w:szCs w:val="22"/>
        </w:rPr>
        <w:t>tains 4 Parts and 12 Schedules.</w:t>
      </w:r>
    </w:p>
    <w:p w:rsidR="00CC7BAE" w:rsidRPr="00E13322" w:rsidRDefault="00CC7BAE" w:rsidP="00E13322">
      <w:pPr>
        <w:pStyle w:val="ListParagraph"/>
        <w:ind w:left="510"/>
        <w:contextualSpacing w:val="0"/>
        <w:jc w:val="both"/>
        <w:rPr>
          <w:sz w:val="22"/>
          <w:szCs w:val="22"/>
        </w:rPr>
      </w:pPr>
    </w:p>
    <w:p w:rsidR="00CC7BAE" w:rsidRPr="00E13322" w:rsidRDefault="00CC7BAE" w:rsidP="00E13322">
      <w:pPr>
        <w:pStyle w:val="ListParagraph"/>
        <w:numPr>
          <w:ilvl w:val="0"/>
          <w:numId w:val="1"/>
        </w:numPr>
        <w:contextualSpacing w:val="0"/>
        <w:jc w:val="both"/>
        <w:rPr>
          <w:sz w:val="22"/>
          <w:szCs w:val="22"/>
        </w:rPr>
      </w:pPr>
      <w:r w:rsidRPr="00E13322">
        <w:rPr>
          <w:sz w:val="22"/>
          <w:szCs w:val="22"/>
        </w:rPr>
        <w:t>Part 1 of the Bill (The Office for Students) establishes a new executive non-departmental public body, th</w:t>
      </w:r>
      <w:r w:rsidR="00040241" w:rsidRPr="00E13322">
        <w:rPr>
          <w:sz w:val="22"/>
          <w:szCs w:val="22"/>
        </w:rPr>
        <w:t xml:space="preserve">e </w:t>
      </w:r>
      <w:r w:rsidR="003E1B53" w:rsidRPr="00E13322">
        <w:rPr>
          <w:sz w:val="22"/>
          <w:szCs w:val="22"/>
        </w:rPr>
        <w:t>Office for Students (“</w:t>
      </w:r>
      <w:proofErr w:type="spellStart"/>
      <w:r w:rsidR="003E1B53" w:rsidRPr="00E13322">
        <w:rPr>
          <w:b/>
          <w:sz w:val="22"/>
          <w:szCs w:val="22"/>
        </w:rPr>
        <w:t>OfS</w:t>
      </w:r>
      <w:proofErr w:type="spellEnd"/>
      <w:r w:rsidR="003E1B53" w:rsidRPr="00E13322">
        <w:rPr>
          <w:sz w:val="22"/>
          <w:szCs w:val="22"/>
        </w:rPr>
        <w:t>”)</w:t>
      </w:r>
      <w:r w:rsidRPr="00E13322">
        <w:rPr>
          <w:sz w:val="22"/>
          <w:szCs w:val="22"/>
        </w:rPr>
        <w:t>, which will replace the Higher Education Funding Council for England (“</w:t>
      </w:r>
      <w:r w:rsidRPr="00E13322">
        <w:rPr>
          <w:b/>
          <w:sz w:val="22"/>
          <w:szCs w:val="22"/>
        </w:rPr>
        <w:t>HEFCE</w:t>
      </w:r>
      <w:r w:rsidRPr="00E13322">
        <w:rPr>
          <w:sz w:val="22"/>
          <w:szCs w:val="22"/>
        </w:rPr>
        <w:t xml:space="preserve">”). The </w:t>
      </w:r>
      <w:proofErr w:type="spellStart"/>
      <w:r w:rsidRPr="00E13322">
        <w:rPr>
          <w:sz w:val="22"/>
          <w:szCs w:val="22"/>
        </w:rPr>
        <w:t>OfS</w:t>
      </w:r>
      <w:proofErr w:type="spellEnd"/>
      <w:r w:rsidRPr="00E13322">
        <w:rPr>
          <w:sz w:val="22"/>
          <w:szCs w:val="22"/>
        </w:rPr>
        <w:t xml:space="preserve"> will establish and administer a register of higher education providers, and set conditions of eligibility for inclusion on the register, and for receipt of student support and grant funding. Before determining the conditions, the </w:t>
      </w:r>
      <w:proofErr w:type="spellStart"/>
      <w:r w:rsidRPr="00E13322">
        <w:rPr>
          <w:sz w:val="22"/>
          <w:szCs w:val="22"/>
        </w:rPr>
        <w:t>OfS</w:t>
      </w:r>
      <w:proofErr w:type="spellEnd"/>
      <w:r w:rsidRPr="00E13322">
        <w:rPr>
          <w:sz w:val="22"/>
          <w:szCs w:val="22"/>
        </w:rPr>
        <w:t xml:space="preserve"> is under a duty to consult such representative bodies of higher education providers as are appropriate. The conditions will then be set administratively by the </w:t>
      </w:r>
      <w:proofErr w:type="spellStart"/>
      <w:r w:rsidRPr="00E13322">
        <w:rPr>
          <w:sz w:val="22"/>
          <w:szCs w:val="22"/>
        </w:rPr>
        <w:t>OfS</w:t>
      </w:r>
      <w:proofErr w:type="spellEnd"/>
      <w:r w:rsidRPr="00E13322">
        <w:rPr>
          <w:sz w:val="22"/>
          <w:szCs w:val="22"/>
        </w:rPr>
        <w:t>. There are</w:t>
      </w:r>
      <w:r w:rsidR="00CD2035">
        <w:rPr>
          <w:sz w:val="22"/>
          <w:szCs w:val="22"/>
        </w:rPr>
        <w:t xml:space="preserve"> also</w:t>
      </w:r>
      <w:r w:rsidRPr="00E13322">
        <w:rPr>
          <w:sz w:val="22"/>
          <w:szCs w:val="22"/>
        </w:rPr>
        <w:t xml:space="preserve"> some mandatory conditions which are set out i</w:t>
      </w:r>
      <w:r w:rsidR="00FF644D">
        <w:rPr>
          <w:sz w:val="22"/>
          <w:szCs w:val="22"/>
        </w:rPr>
        <w:t>n the Bill</w:t>
      </w:r>
      <w:r w:rsidRPr="00E13322">
        <w:rPr>
          <w:sz w:val="22"/>
          <w:szCs w:val="22"/>
        </w:rPr>
        <w:t xml:space="preserve">. The </w:t>
      </w:r>
      <w:proofErr w:type="spellStart"/>
      <w:r w:rsidRPr="00E13322">
        <w:rPr>
          <w:sz w:val="22"/>
          <w:szCs w:val="22"/>
        </w:rPr>
        <w:t>OfS</w:t>
      </w:r>
      <w:proofErr w:type="spellEnd"/>
      <w:r w:rsidRPr="00E13322">
        <w:rPr>
          <w:sz w:val="22"/>
          <w:szCs w:val="22"/>
        </w:rPr>
        <w:t xml:space="preserve"> will be empowered to provide funding to providers, and authorise them to award degrees and use university in their title.</w:t>
      </w:r>
    </w:p>
    <w:p w:rsidR="00CC7BAE" w:rsidRPr="00E13322" w:rsidRDefault="00CC7BAE" w:rsidP="00E13322">
      <w:pPr>
        <w:jc w:val="both"/>
        <w:rPr>
          <w:sz w:val="22"/>
          <w:szCs w:val="22"/>
        </w:rPr>
      </w:pPr>
    </w:p>
    <w:p w:rsidR="00CC7BAE" w:rsidRPr="00E13322" w:rsidRDefault="00CC7BAE" w:rsidP="00E13322">
      <w:pPr>
        <w:pStyle w:val="ListParagraph"/>
        <w:numPr>
          <w:ilvl w:val="0"/>
          <w:numId w:val="1"/>
        </w:numPr>
        <w:contextualSpacing w:val="0"/>
        <w:jc w:val="both"/>
        <w:rPr>
          <w:sz w:val="22"/>
          <w:szCs w:val="22"/>
        </w:rPr>
      </w:pPr>
      <w:r w:rsidRPr="00E13322">
        <w:rPr>
          <w:sz w:val="22"/>
          <w:szCs w:val="22"/>
        </w:rPr>
        <w:t xml:space="preserve">Part 2 (Other Education Measures) contains clauses relating to the provision of </w:t>
      </w:r>
      <w:r w:rsidR="00247DD9" w:rsidRPr="00E13322">
        <w:rPr>
          <w:sz w:val="22"/>
          <w:szCs w:val="22"/>
        </w:rPr>
        <w:t>financial support for</w:t>
      </w:r>
      <w:r w:rsidRPr="00E13322">
        <w:rPr>
          <w:sz w:val="22"/>
          <w:szCs w:val="22"/>
        </w:rPr>
        <w:t xml:space="preserve"> student</w:t>
      </w:r>
      <w:r w:rsidR="003E1B53" w:rsidRPr="00E13322">
        <w:rPr>
          <w:sz w:val="22"/>
          <w:szCs w:val="22"/>
        </w:rPr>
        <w:t>s</w:t>
      </w:r>
      <w:r w:rsidR="00100509" w:rsidRPr="00E13322">
        <w:rPr>
          <w:sz w:val="22"/>
          <w:szCs w:val="22"/>
        </w:rPr>
        <w:t>;</w:t>
      </w:r>
      <w:r w:rsidRPr="00E13322">
        <w:rPr>
          <w:sz w:val="22"/>
          <w:szCs w:val="22"/>
        </w:rPr>
        <w:t xml:space="preserve"> the definition of “qualifying institutions” for the purposes of the student complaints </w:t>
      </w:r>
      <w:r w:rsidR="0018276F" w:rsidRPr="00E13322">
        <w:rPr>
          <w:sz w:val="22"/>
          <w:szCs w:val="22"/>
        </w:rPr>
        <w:t>regime</w:t>
      </w:r>
      <w:r w:rsidRPr="00E13322">
        <w:rPr>
          <w:sz w:val="22"/>
          <w:szCs w:val="22"/>
        </w:rPr>
        <w:t xml:space="preserve"> under the Higher Education Act 2004</w:t>
      </w:r>
      <w:r w:rsidR="00100509" w:rsidRPr="00E13322">
        <w:rPr>
          <w:sz w:val="22"/>
          <w:szCs w:val="22"/>
        </w:rPr>
        <w:t>;</w:t>
      </w:r>
      <w:r w:rsidRPr="00E13322">
        <w:rPr>
          <w:sz w:val="22"/>
          <w:szCs w:val="22"/>
        </w:rPr>
        <w:t xml:space="preserve"> and the deregulation of existing governance requirements in relation to higher education corporations.</w:t>
      </w:r>
    </w:p>
    <w:p w:rsidR="00D34F61" w:rsidRPr="00E13322" w:rsidRDefault="00D34F61" w:rsidP="00E13322">
      <w:pPr>
        <w:pStyle w:val="ListParagraph"/>
        <w:jc w:val="both"/>
        <w:rPr>
          <w:sz w:val="22"/>
          <w:szCs w:val="22"/>
        </w:rPr>
      </w:pPr>
    </w:p>
    <w:p w:rsidR="00CC7BAE" w:rsidRPr="00E13322" w:rsidRDefault="003E1B53" w:rsidP="00E13322">
      <w:pPr>
        <w:pStyle w:val="ListParagraph"/>
        <w:numPr>
          <w:ilvl w:val="0"/>
          <w:numId w:val="1"/>
        </w:numPr>
        <w:contextualSpacing w:val="0"/>
        <w:jc w:val="both"/>
        <w:rPr>
          <w:sz w:val="22"/>
          <w:szCs w:val="22"/>
        </w:rPr>
      </w:pPr>
      <w:r w:rsidRPr="00E13322">
        <w:rPr>
          <w:sz w:val="22"/>
          <w:szCs w:val="22"/>
        </w:rPr>
        <w:t xml:space="preserve">Part 3 (Research) establishes </w:t>
      </w:r>
      <w:r w:rsidR="00D34F61" w:rsidRPr="00E13322">
        <w:rPr>
          <w:sz w:val="22"/>
          <w:szCs w:val="22"/>
        </w:rPr>
        <w:t>United Kingdom Research and Innovation (“</w:t>
      </w:r>
      <w:r w:rsidR="00D34F61" w:rsidRPr="00E13322">
        <w:rPr>
          <w:b/>
          <w:sz w:val="22"/>
          <w:szCs w:val="22"/>
        </w:rPr>
        <w:t>UKRI</w:t>
      </w:r>
      <w:r w:rsidR="00D34F61" w:rsidRPr="00E13322">
        <w:rPr>
          <w:sz w:val="22"/>
          <w:szCs w:val="22"/>
        </w:rPr>
        <w:t>”) to carry out, promote and fund research into the arts, humanities, sciences, social sciences, techn</w:t>
      </w:r>
      <w:r w:rsidR="0079739B" w:rsidRPr="00E13322">
        <w:rPr>
          <w:sz w:val="22"/>
          <w:szCs w:val="22"/>
        </w:rPr>
        <w:t xml:space="preserve">ology and new ideas. UKRI will </w:t>
      </w:r>
      <w:r w:rsidR="00D34F61" w:rsidRPr="00E13322">
        <w:rPr>
          <w:sz w:val="22"/>
          <w:szCs w:val="22"/>
        </w:rPr>
        <w:t>be composed of the current seven Research Councils, Innovate UK and the research-funding aspect of HEFCE.</w:t>
      </w:r>
    </w:p>
    <w:p w:rsidR="00CC7BAE" w:rsidRPr="00E13322" w:rsidRDefault="00CC7BAE" w:rsidP="00E13322">
      <w:pPr>
        <w:tabs>
          <w:tab w:val="left" w:pos="6624"/>
        </w:tabs>
        <w:jc w:val="both"/>
        <w:rPr>
          <w:sz w:val="22"/>
          <w:szCs w:val="22"/>
        </w:rPr>
      </w:pPr>
      <w:r w:rsidRPr="00E13322">
        <w:rPr>
          <w:sz w:val="22"/>
          <w:szCs w:val="22"/>
        </w:rPr>
        <w:tab/>
      </w:r>
    </w:p>
    <w:p w:rsidR="00CC7BAE" w:rsidRPr="00E13322" w:rsidRDefault="00CC7BAE" w:rsidP="00E13322">
      <w:pPr>
        <w:pStyle w:val="ListParagraph"/>
        <w:numPr>
          <w:ilvl w:val="0"/>
          <w:numId w:val="1"/>
        </w:numPr>
        <w:contextualSpacing w:val="0"/>
        <w:jc w:val="both"/>
        <w:rPr>
          <w:sz w:val="22"/>
          <w:szCs w:val="22"/>
        </w:rPr>
      </w:pPr>
      <w:r w:rsidRPr="00E13322">
        <w:rPr>
          <w:sz w:val="22"/>
          <w:szCs w:val="22"/>
        </w:rPr>
        <w:t>Part 4 (General) contains general and supplemental provisions.</w:t>
      </w:r>
    </w:p>
    <w:p w:rsidR="00247DD9" w:rsidRPr="00003D47" w:rsidRDefault="00247DD9" w:rsidP="00003D47">
      <w:pPr>
        <w:jc w:val="both"/>
        <w:rPr>
          <w:sz w:val="22"/>
          <w:szCs w:val="22"/>
        </w:rPr>
      </w:pPr>
    </w:p>
    <w:p w:rsidR="0014202E" w:rsidRDefault="00B503B4" w:rsidP="00003D47">
      <w:pPr>
        <w:jc w:val="both"/>
        <w:rPr>
          <w:rFonts w:eastAsiaTheme="minorHAnsi"/>
          <w:b/>
          <w:color w:val="000000" w:themeColor="text1"/>
          <w:sz w:val="22"/>
          <w:szCs w:val="22"/>
          <w:u w:val="single"/>
          <w:lang w:eastAsia="en-US"/>
        </w:rPr>
      </w:pPr>
      <w:r w:rsidRPr="00E13322">
        <w:rPr>
          <w:rFonts w:eastAsiaTheme="minorHAnsi"/>
          <w:b/>
          <w:color w:val="000000" w:themeColor="text1"/>
          <w:sz w:val="22"/>
          <w:szCs w:val="22"/>
          <w:u w:val="single"/>
          <w:lang w:eastAsia="en-US"/>
        </w:rPr>
        <w:t>Part 1: The Office for Students</w:t>
      </w:r>
      <w:bookmarkEnd w:id="0"/>
      <w:bookmarkEnd w:id="1"/>
    </w:p>
    <w:p w:rsidR="00003D47" w:rsidRDefault="00003D47" w:rsidP="00003D47">
      <w:pPr>
        <w:jc w:val="both"/>
        <w:rPr>
          <w:rFonts w:eastAsiaTheme="minorHAnsi"/>
          <w:b/>
          <w:color w:val="000000" w:themeColor="text1"/>
          <w:sz w:val="22"/>
          <w:szCs w:val="22"/>
          <w:u w:val="single"/>
          <w:lang w:eastAsia="en-US"/>
        </w:rPr>
      </w:pPr>
    </w:p>
    <w:p w:rsidR="00003D47" w:rsidRDefault="00003D47" w:rsidP="00003D47">
      <w:pPr>
        <w:jc w:val="both"/>
        <w:rPr>
          <w:rFonts w:eastAsiaTheme="minorHAnsi"/>
          <w:b/>
          <w:color w:val="000000" w:themeColor="text1"/>
          <w:sz w:val="22"/>
          <w:szCs w:val="22"/>
          <w:lang w:eastAsia="en-US"/>
        </w:rPr>
      </w:pPr>
      <w:r>
        <w:rPr>
          <w:rFonts w:eastAsiaTheme="minorHAnsi"/>
          <w:b/>
          <w:color w:val="000000" w:themeColor="text1"/>
          <w:sz w:val="22"/>
          <w:szCs w:val="22"/>
          <w:lang w:eastAsia="en-US"/>
        </w:rPr>
        <w:t>Mandatory fee limit condition</w:t>
      </w:r>
    </w:p>
    <w:p w:rsidR="00003D47" w:rsidRDefault="00003D47" w:rsidP="00003D47">
      <w:pPr>
        <w:jc w:val="both"/>
        <w:rPr>
          <w:rFonts w:eastAsiaTheme="minorHAnsi"/>
          <w:b/>
          <w:color w:val="000000" w:themeColor="text1"/>
          <w:sz w:val="22"/>
          <w:szCs w:val="22"/>
          <w:lang w:eastAsia="en-US"/>
        </w:rPr>
      </w:pPr>
    </w:p>
    <w:p w:rsidR="00B44C5F" w:rsidRPr="008D3825" w:rsidRDefault="00B44C5F" w:rsidP="00B44C5F">
      <w:pPr>
        <w:spacing w:before="100" w:beforeAutospacing="1" w:after="100" w:afterAutospacing="1"/>
        <w:contextualSpacing/>
        <w:jc w:val="both"/>
        <w:rPr>
          <w:b/>
          <w:i/>
          <w:color w:val="000000" w:themeColor="text1"/>
          <w:sz w:val="22"/>
          <w:szCs w:val="22"/>
        </w:rPr>
      </w:pPr>
      <w:r>
        <w:rPr>
          <w:b/>
          <w:i/>
          <w:color w:val="000000" w:themeColor="text1"/>
          <w:sz w:val="22"/>
          <w:szCs w:val="22"/>
        </w:rPr>
        <w:t>Amendment</w:t>
      </w:r>
      <w:r w:rsidR="00CD2035">
        <w:rPr>
          <w:b/>
          <w:i/>
          <w:color w:val="000000" w:themeColor="text1"/>
          <w:sz w:val="22"/>
          <w:szCs w:val="22"/>
        </w:rPr>
        <w:t xml:space="preserve">s </w:t>
      </w:r>
      <w:r>
        <w:rPr>
          <w:b/>
          <w:i/>
          <w:color w:val="000000" w:themeColor="text1"/>
          <w:sz w:val="22"/>
          <w:szCs w:val="22"/>
        </w:rPr>
        <w:t>to Schedule 2, paragraphs 2(8</w:t>
      </w:r>
      <w:proofErr w:type="gramStart"/>
      <w:r w:rsidR="00585A44">
        <w:rPr>
          <w:b/>
          <w:i/>
          <w:color w:val="000000" w:themeColor="text1"/>
          <w:sz w:val="22"/>
          <w:szCs w:val="22"/>
        </w:rPr>
        <w:t>)(</w:t>
      </w:r>
      <w:proofErr w:type="gramEnd"/>
      <w:r w:rsidR="00585A44">
        <w:rPr>
          <w:b/>
          <w:i/>
          <w:color w:val="000000" w:themeColor="text1"/>
          <w:sz w:val="22"/>
          <w:szCs w:val="22"/>
        </w:rPr>
        <w:t>b)</w:t>
      </w:r>
      <w:r w:rsidRPr="008D3825">
        <w:rPr>
          <w:b/>
          <w:i/>
          <w:color w:val="000000" w:themeColor="text1"/>
          <w:sz w:val="22"/>
          <w:szCs w:val="22"/>
        </w:rPr>
        <w:t xml:space="preserve"> </w:t>
      </w:r>
      <w:r>
        <w:rPr>
          <w:b/>
          <w:i/>
          <w:color w:val="000000" w:themeColor="text1"/>
          <w:sz w:val="22"/>
          <w:szCs w:val="22"/>
        </w:rPr>
        <w:t>and 3(7)</w:t>
      </w:r>
      <w:r w:rsidR="00585A44">
        <w:rPr>
          <w:b/>
          <w:i/>
          <w:color w:val="000000" w:themeColor="text1"/>
          <w:sz w:val="22"/>
          <w:szCs w:val="22"/>
        </w:rPr>
        <w:t>(b)</w:t>
      </w:r>
      <w:r>
        <w:rPr>
          <w:b/>
          <w:i/>
          <w:color w:val="000000" w:themeColor="text1"/>
          <w:sz w:val="22"/>
          <w:szCs w:val="22"/>
        </w:rPr>
        <w:t xml:space="preserve"> in relation to</w:t>
      </w:r>
      <w:r w:rsidRPr="008D3825">
        <w:rPr>
          <w:b/>
          <w:i/>
          <w:color w:val="000000" w:themeColor="text1"/>
          <w:sz w:val="22"/>
          <w:szCs w:val="22"/>
        </w:rPr>
        <w:t xml:space="preserve"> </w:t>
      </w:r>
      <w:r>
        <w:rPr>
          <w:b/>
          <w:i/>
          <w:color w:val="000000" w:themeColor="text1"/>
          <w:sz w:val="22"/>
          <w:szCs w:val="22"/>
        </w:rPr>
        <w:t>p</w:t>
      </w:r>
      <w:r w:rsidRPr="008D3825">
        <w:rPr>
          <w:b/>
          <w:i/>
          <w:color w:val="000000" w:themeColor="text1"/>
          <w:sz w:val="22"/>
          <w:szCs w:val="22"/>
        </w:rPr>
        <w:t xml:space="preserve">ower for the Secretary of State to determine “the sub-level amount” </w:t>
      </w:r>
    </w:p>
    <w:p w:rsidR="00B44C5F" w:rsidRPr="008D3825" w:rsidRDefault="00B44C5F" w:rsidP="00B44C5F">
      <w:pPr>
        <w:jc w:val="both"/>
        <w:rPr>
          <w:i/>
          <w:color w:val="000000" w:themeColor="text1"/>
          <w:sz w:val="22"/>
          <w:szCs w:val="22"/>
        </w:rPr>
      </w:pPr>
    </w:p>
    <w:p w:rsidR="00B44C5F" w:rsidRPr="008D3825" w:rsidRDefault="00B44C5F" w:rsidP="00B44C5F">
      <w:pPr>
        <w:jc w:val="both"/>
        <w:rPr>
          <w:i/>
          <w:color w:val="000000" w:themeColor="text1"/>
          <w:sz w:val="22"/>
          <w:szCs w:val="22"/>
        </w:rPr>
      </w:pPr>
      <w:r w:rsidRPr="008D3825">
        <w:rPr>
          <w:i/>
          <w:color w:val="000000" w:themeColor="text1"/>
          <w:sz w:val="22"/>
          <w:szCs w:val="22"/>
        </w:rPr>
        <w:lastRenderedPageBreak/>
        <w:t>Power conferred on: Secretary of State</w:t>
      </w:r>
    </w:p>
    <w:p w:rsidR="00B44C5F" w:rsidRPr="008D3825" w:rsidRDefault="00B44C5F" w:rsidP="00B44C5F">
      <w:pPr>
        <w:jc w:val="both"/>
        <w:rPr>
          <w:i/>
          <w:color w:val="000000" w:themeColor="text1"/>
          <w:sz w:val="22"/>
          <w:szCs w:val="22"/>
        </w:rPr>
      </w:pPr>
    </w:p>
    <w:p w:rsidR="00B44C5F" w:rsidRPr="008D3825" w:rsidRDefault="00B44C5F" w:rsidP="00B44C5F">
      <w:pPr>
        <w:jc w:val="both"/>
        <w:rPr>
          <w:i/>
          <w:color w:val="000000" w:themeColor="text1"/>
          <w:sz w:val="22"/>
          <w:szCs w:val="22"/>
        </w:rPr>
      </w:pPr>
      <w:r w:rsidRPr="008D3825">
        <w:rPr>
          <w:i/>
          <w:color w:val="000000" w:themeColor="text1"/>
          <w:sz w:val="22"/>
          <w:szCs w:val="22"/>
        </w:rPr>
        <w:t>Power exercised by: Secretary of State administratively</w:t>
      </w:r>
    </w:p>
    <w:p w:rsidR="00B44C5F" w:rsidRPr="008D3825" w:rsidRDefault="00B44C5F" w:rsidP="00B44C5F">
      <w:pPr>
        <w:jc w:val="both"/>
        <w:rPr>
          <w:i/>
          <w:color w:val="000000" w:themeColor="text1"/>
          <w:sz w:val="22"/>
          <w:szCs w:val="22"/>
        </w:rPr>
      </w:pPr>
    </w:p>
    <w:p w:rsidR="00B44C5F" w:rsidRPr="008D3825" w:rsidRDefault="00B44C5F" w:rsidP="00B44C5F">
      <w:pPr>
        <w:jc w:val="both"/>
        <w:rPr>
          <w:i/>
          <w:color w:val="000000" w:themeColor="text1"/>
          <w:sz w:val="22"/>
          <w:szCs w:val="22"/>
        </w:rPr>
      </w:pPr>
      <w:r w:rsidRPr="008D3825">
        <w:rPr>
          <w:i/>
          <w:color w:val="000000" w:themeColor="text1"/>
          <w:sz w:val="22"/>
          <w:szCs w:val="22"/>
        </w:rPr>
        <w:t>Parliamentary procedure: None</w:t>
      </w:r>
    </w:p>
    <w:p w:rsidR="00B44C5F" w:rsidRPr="008D3825" w:rsidRDefault="00B44C5F" w:rsidP="00B44C5F">
      <w:pPr>
        <w:jc w:val="both"/>
        <w:rPr>
          <w:color w:val="000000" w:themeColor="text1"/>
          <w:sz w:val="22"/>
          <w:szCs w:val="22"/>
          <w:u w:val="single"/>
        </w:rPr>
      </w:pPr>
    </w:p>
    <w:p w:rsidR="00B44C5F" w:rsidRPr="008D3825" w:rsidRDefault="00B44C5F" w:rsidP="00B44C5F">
      <w:pPr>
        <w:jc w:val="both"/>
        <w:rPr>
          <w:color w:val="000000" w:themeColor="text1"/>
          <w:sz w:val="22"/>
          <w:szCs w:val="22"/>
          <w:u w:val="single"/>
        </w:rPr>
      </w:pPr>
      <w:r w:rsidRPr="008D3825">
        <w:rPr>
          <w:color w:val="000000" w:themeColor="text1"/>
          <w:sz w:val="22"/>
          <w:szCs w:val="22"/>
          <w:u w:val="single"/>
        </w:rPr>
        <w:t>Context and purpose</w:t>
      </w:r>
    </w:p>
    <w:p w:rsidR="00B44C5F" w:rsidRPr="008D3825" w:rsidRDefault="00B44C5F" w:rsidP="00B44C5F">
      <w:pPr>
        <w:jc w:val="both"/>
        <w:rPr>
          <w:color w:val="000000" w:themeColor="text1"/>
          <w:sz w:val="22"/>
          <w:szCs w:val="22"/>
          <w:u w:val="single"/>
        </w:rPr>
      </w:pPr>
    </w:p>
    <w:p w:rsidR="00B44C5F" w:rsidRDefault="000E2905" w:rsidP="00B44C5F">
      <w:pPr>
        <w:pStyle w:val="ListParagraph"/>
        <w:numPr>
          <w:ilvl w:val="0"/>
          <w:numId w:val="1"/>
        </w:numPr>
        <w:jc w:val="both"/>
        <w:rPr>
          <w:color w:val="000000" w:themeColor="text1"/>
          <w:sz w:val="22"/>
          <w:szCs w:val="22"/>
        </w:rPr>
      </w:pPr>
      <w:r>
        <w:rPr>
          <w:color w:val="000000" w:themeColor="text1"/>
          <w:sz w:val="22"/>
          <w:szCs w:val="22"/>
        </w:rPr>
        <w:t xml:space="preserve">Paragraph 2(2)(b) </w:t>
      </w:r>
      <w:r w:rsidR="00CD2035">
        <w:rPr>
          <w:color w:val="000000" w:themeColor="text1"/>
          <w:sz w:val="22"/>
          <w:szCs w:val="22"/>
        </w:rPr>
        <w:t>of</w:t>
      </w:r>
      <w:r>
        <w:rPr>
          <w:color w:val="000000" w:themeColor="text1"/>
          <w:sz w:val="22"/>
          <w:szCs w:val="22"/>
        </w:rPr>
        <w:t xml:space="preserve"> Schedule 2 provides that, w</w:t>
      </w:r>
      <w:r w:rsidR="00B44C5F" w:rsidRPr="008D3825">
        <w:rPr>
          <w:color w:val="000000" w:themeColor="text1"/>
          <w:sz w:val="22"/>
          <w:szCs w:val="22"/>
        </w:rPr>
        <w:t>here a provider has an access and participa</w:t>
      </w:r>
      <w:r>
        <w:rPr>
          <w:color w:val="000000" w:themeColor="text1"/>
          <w:sz w:val="22"/>
          <w:szCs w:val="22"/>
        </w:rPr>
        <w:t>tion plan, and does not have a high level quality rating</w:t>
      </w:r>
      <w:r w:rsidR="00B44C5F" w:rsidRPr="008D3825">
        <w:rPr>
          <w:color w:val="000000" w:themeColor="text1"/>
          <w:sz w:val="22"/>
          <w:szCs w:val="22"/>
        </w:rPr>
        <w:t>, the fee limit is such limit</w:t>
      </w:r>
      <w:r w:rsidR="00742B52">
        <w:rPr>
          <w:color w:val="000000" w:themeColor="text1"/>
          <w:sz w:val="22"/>
          <w:szCs w:val="22"/>
        </w:rPr>
        <w:t>, not exceeding the applicable sub-level amount</w:t>
      </w:r>
      <w:r w:rsidR="00B44C5F" w:rsidRPr="008D3825">
        <w:rPr>
          <w:color w:val="000000" w:themeColor="text1"/>
          <w:sz w:val="22"/>
          <w:szCs w:val="22"/>
        </w:rPr>
        <w:t xml:space="preserve">, as is provided by the plan for the relevant course and </w:t>
      </w:r>
      <w:r>
        <w:rPr>
          <w:color w:val="000000" w:themeColor="text1"/>
          <w:sz w:val="22"/>
          <w:szCs w:val="22"/>
        </w:rPr>
        <w:t>for the relevant academic year</w:t>
      </w:r>
      <w:r w:rsidR="00B44C5F" w:rsidRPr="008D3825">
        <w:rPr>
          <w:color w:val="000000" w:themeColor="text1"/>
          <w:sz w:val="22"/>
          <w:szCs w:val="22"/>
        </w:rPr>
        <w:t>.</w:t>
      </w:r>
      <w:r>
        <w:rPr>
          <w:color w:val="000000" w:themeColor="text1"/>
          <w:sz w:val="22"/>
          <w:szCs w:val="22"/>
        </w:rPr>
        <w:t xml:space="preserve"> Paragraph 3(2)(b) provides that, w</w:t>
      </w:r>
      <w:r w:rsidR="00B44C5F" w:rsidRPr="008D3825">
        <w:rPr>
          <w:color w:val="000000" w:themeColor="text1"/>
          <w:sz w:val="22"/>
          <w:szCs w:val="22"/>
        </w:rPr>
        <w:t>here a provider does not have an access and participa</w:t>
      </w:r>
      <w:r>
        <w:rPr>
          <w:color w:val="000000" w:themeColor="text1"/>
          <w:sz w:val="22"/>
          <w:szCs w:val="22"/>
        </w:rPr>
        <w:t>tion plan, and does not have a high level quality rating</w:t>
      </w:r>
      <w:r w:rsidR="00B44C5F" w:rsidRPr="008D3825">
        <w:rPr>
          <w:color w:val="000000" w:themeColor="text1"/>
          <w:sz w:val="22"/>
          <w:szCs w:val="22"/>
        </w:rPr>
        <w:t>, t</w:t>
      </w:r>
      <w:r w:rsidR="00742B52">
        <w:rPr>
          <w:color w:val="000000" w:themeColor="text1"/>
          <w:sz w:val="22"/>
          <w:szCs w:val="22"/>
        </w:rPr>
        <w:t xml:space="preserve">he fee limit is the applicable </w:t>
      </w:r>
      <w:r w:rsidR="00B44C5F" w:rsidRPr="008D3825">
        <w:rPr>
          <w:color w:val="000000" w:themeColor="text1"/>
          <w:sz w:val="22"/>
          <w:szCs w:val="22"/>
        </w:rPr>
        <w:t>sub-l</w:t>
      </w:r>
      <w:r w:rsidR="00742B52">
        <w:rPr>
          <w:color w:val="000000" w:themeColor="text1"/>
          <w:sz w:val="22"/>
          <w:szCs w:val="22"/>
        </w:rPr>
        <w:t>evel amount</w:t>
      </w:r>
      <w:r w:rsidR="007137E5">
        <w:rPr>
          <w:color w:val="000000" w:themeColor="text1"/>
          <w:sz w:val="22"/>
          <w:szCs w:val="22"/>
        </w:rPr>
        <w:t>.</w:t>
      </w:r>
    </w:p>
    <w:p w:rsidR="007137E5" w:rsidRDefault="007137E5" w:rsidP="007137E5">
      <w:pPr>
        <w:pStyle w:val="ListParagraph"/>
        <w:ind w:left="510"/>
        <w:jc w:val="both"/>
        <w:rPr>
          <w:color w:val="000000" w:themeColor="text1"/>
          <w:sz w:val="22"/>
          <w:szCs w:val="22"/>
        </w:rPr>
      </w:pPr>
    </w:p>
    <w:p w:rsidR="007137E5" w:rsidRPr="007137E5" w:rsidRDefault="002C64FA" w:rsidP="007137E5">
      <w:pPr>
        <w:pStyle w:val="ListParagraph"/>
        <w:numPr>
          <w:ilvl w:val="0"/>
          <w:numId w:val="1"/>
        </w:numPr>
        <w:jc w:val="both"/>
        <w:rPr>
          <w:color w:val="000000" w:themeColor="text1"/>
          <w:sz w:val="22"/>
          <w:szCs w:val="22"/>
        </w:rPr>
      </w:pPr>
      <w:r>
        <w:rPr>
          <w:color w:val="000000" w:themeColor="text1"/>
          <w:sz w:val="22"/>
          <w:szCs w:val="22"/>
        </w:rPr>
        <w:t>In each case, t</w:t>
      </w:r>
      <w:r w:rsidR="007137E5">
        <w:rPr>
          <w:color w:val="000000" w:themeColor="text1"/>
          <w:sz w:val="22"/>
          <w:szCs w:val="22"/>
        </w:rPr>
        <w:t xml:space="preserve">he applicable sub-level amount </w:t>
      </w:r>
      <w:r>
        <w:rPr>
          <w:color w:val="000000" w:themeColor="text1"/>
          <w:sz w:val="22"/>
          <w:szCs w:val="22"/>
        </w:rPr>
        <w:t>will be</w:t>
      </w:r>
      <w:r w:rsidR="00D70221">
        <w:rPr>
          <w:color w:val="000000" w:themeColor="text1"/>
          <w:sz w:val="22"/>
          <w:szCs w:val="22"/>
        </w:rPr>
        <w:t xml:space="preserve"> set </w:t>
      </w:r>
      <w:r w:rsidR="007137E5">
        <w:rPr>
          <w:color w:val="000000" w:themeColor="text1"/>
          <w:sz w:val="22"/>
          <w:szCs w:val="22"/>
        </w:rPr>
        <w:t>administratively</w:t>
      </w:r>
      <w:r w:rsidR="00D70221">
        <w:rPr>
          <w:color w:val="000000" w:themeColor="text1"/>
          <w:sz w:val="22"/>
          <w:szCs w:val="22"/>
        </w:rPr>
        <w:t xml:space="preserve"> by the Secretary of State</w:t>
      </w:r>
      <w:r w:rsidR="007137E5">
        <w:rPr>
          <w:color w:val="000000" w:themeColor="text1"/>
          <w:sz w:val="22"/>
          <w:szCs w:val="22"/>
        </w:rPr>
        <w:t xml:space="preserve">, </w:t>
      </w:r>
      <w:r w:rsidR="00D70221">
        <w:rPr>
          <w:color w:val="000000" w:themeColor="text1"/>
          <w:sz w:val="22"/>
          <w:szCs w:val="22"/>
        </w:rPr>
        <w:t>and she</w:t>
      </w:r>
      <w:r w:rsidR="007137E5" w:rsidRPr="008D3825">
        <w:rPr>
          <w:color w:val="000000" w:themeColor="text1"/>
          <w:sz w:val="22"/>
          <w:szCs w:val="22"/>
        </w:rPr>
        <w:t xml:space="preserve"> </w:t>
      </w:r>
      <w:r>
        <w:rPr>
          <w:color w:val="000000" w:themeColor="text1"/>
          <w:sz w:val="22"/>
          <w:szCs w:val="22"/>
        </w:rPr>
        <w:t>will be able to</w:t>
      </w:r>
      <w:r w:rsidR="007137E5" w:rsidRPr="008D3825">
        <w:rPr>
          <w:color w:val="000000" w:themeColor="text1"/>
          <w:sz w:val="22"/>
          <w:szCs w:val="22"/>
        </w:rPr>
        <w:t xml:space="preserve"> determine different amounts for different descriptions of provider (paragraphs 2(6) and 3(5)). These descriptions may </w:t>
      </w:r>
      <w:r w:rsidR="007137E5">
        <w:rPr>
          <w:color w:val="000000" w:themeColor="text1"/>
          <w:sz w:val="22"/>
          <w:szCs w:val="22"/>
        </w:rPr>
        <w:t xml:space="preserve">only </w:t>
      </w:r>
      <w:r w:rsidR="007137E5" w:rsidRPr="008D3825">
        <w:rPr>
          <w:color w:val="000000" w:themeColor="text1"/>
          <w:sz w:val="22"/>
          <w:szCs w:val="22"/>
        </w:rPr>
        <w:t>be by reference to whether</w:t>
      </w:r>
      <w:r w:rsidR="007137E5">
        <w:rPr>
          <w:color w:val="000000" w:themeColor="text1"/>
          <w:sz w:val="22"/>
          <w:szCs w:val="22"/>
        </w:rPr>
        <w:t xml:space="preserve"> or not</w:t>
      </w:r>
      <w:r w:rsidR="007137E5" w:rsidRPr="008D3825">
        <w:rPr>
          <w:color w:val="000000" w:themeColor="text1"/>
          <w:sz w:val="22"/>
          <w:szCs w:val="22"/>
        </w:rPr>
        <w:t xml:space="preserve"> a provider has a rating given to it in accordance with arrangements under clause 25 (Rating the quality</w:t>
      </w:r>
      <w:r w:rsidR="007137E5">
        <w:rPr>
          <w:color w:val="000000" w:themeColor="text1"/>
          <w:sz w:val="22"/>
          <w:szCs w:val="22"/>
        </w:rPr>
        <w:t xml:space="preserve"> of,</w:t>
      </w:r>
      <w:r w:rsidR="007137E5" w:rsidRPr="008D3825">
        <w:rPr>
          <w:color w:val="000000" w:themeColor="text1"/>
          <w:sz w:val="22"/>
          <w:szCs w:val="22"/>
        </w:rPr>
        <w:t xml:space="preserve"> and</w:t>
      </w:r>
      <w:r w:rsidR="007137E5">
        <w:rPr>
          <w:color w:val="000000" w:themeColor="text1"/>
          <w:sz w:val="22"/>
          <w:szCs w:val="22"/>
        </w:rPr>
        <w:t xml:space="preserve"> the</w:t>
      </w:r>
      <w:r w:rsidR="007137E5" w:rsidRPr="008D3825">
        <w:rPr>
          <w:color w:val="000000" w:themeColor="text1"/>
          <w:sz w:val="22"/>
          <w:szCs w:val="22"/>
        </w:rPr>
        <w:t xml:space="preserve"> standards </w:t>
      </w:r>
      <w:r w:rsidR="007137E5">
        <w:rPr>
          <w:color w:val="000000" w:themeColor="text1"/>
          <w:sz w:val="22"/>
          <w:szCs w:val="22"/>
        </w:rPr>
        <w:t>applied to,</w:t>
      </w:r>
      <w:r w:rsidR="007137E5" w:rsidRPr="008D3825">
        <w:rPr>
          <w:color w:val="000000" w:themeColor="text1"/>
          <w:sz w:val="22"/>
          <w:szCs w:val="22"/>
        </w:rPr>
        <w:t xml:space="preserve"> higher education), and where it has such a rating, the level, type or other description of the rating (paragraphs 2(7) and 3(6)). </w:t>
      </w:r>
      <w:r w:rsidR="00BF00B3">
        <w:rPr>
          <w:color w:val="000000" w:themeColor="text1"/>
          <w:sz w:val="22"/>
          <w:szCs w:val="22"/>
        </w:rPr>
        <w:t>In practice, a provider’s quality rating will be a rating determined in accordance with the Teaching Excellence Framework (the “</w:t>
      </w:r>
      <w:r w:rsidR="00BF00B3">
        <w:rPr>
          <w:b/>
          <w:color w:val="000000" w:themeColor="text1"/>
          <w:sz w:val="22"/>
          <w:szCs w:val="22"/>
        </w:rPr>
        <w:t xml:space="preserve">TEF </w:t>
      </w:r>
      <w:r w:rsidR="007E2EDE">
        <w:rPr>
          <w:b/>
          <w:color w:val="000000" w:themeColor="text1"/>
          <w:sz w:val="22"/>
          <w:szCs w:val="22"/>
        </w:rPr>
        <w:t>s</w:t>
      </w:r>
      <w:r w:rsidR="00BF00B3">
        <w:rPr>
          <w:b/>
          <w:color w:val="000000" w:themeColor="text1"/>
          <w:sz w:val="22"/>
          <w:szCs w:val="22"/>
        </w:rPr>
        <w:t>cheme</w:t>
      </w:r>
      <w:r w:rsidR="00BF00B3">
        <w:rPr>
          <w:color w:val="000000" w:themeColor="text1"/>
          <w:sz w:val="22"/>
          <w:szCs w:val="22"/>
        </w:rPr>
        <w:t>”).</w:t>
      </w:r>
    </w:p>
    <w:p w:rsidR="00B44C5F" w:rsidRPr="008D3825" w:rsidRDefault="00B44C5F" w:rsidP="00B44C5F">
      <w:pPr>
        <w:pStyle w:val="ListParagraph"/>
        <w:ind w:left="510"/>
        <w:jc w:val="both"/>
        <w:rPr>
          <w:color w:val="000000" w:themeColor="text1"/>
          <w:sz w:val="22"/>
          <w:szCs w:val="22"/>
        </w:rPr>
      </w:pPr>
    </w:p>
    <w:p w:rsidR="00B44C5F" w:rsidRPr="000E2905" w:rsidRDefault="00EF2A91" w:rsidP="000E2905">
      <w:pPr>
        <w:pStyle w:val="ListParagraph"/>
        <w:numPr>
          <w:ilvl w:val="0"/>
          <w:numId w:val="1"/>
        </w:numPr>
        <w:jc w:val="both"/>
        <w:rPr>
          <w:color w:val="000000" w:themeColor="text1"/>
          <w:sz w:val="22"/>
          <w:szCs w:val="22"/>
        </w:rPr>
      </w:pPr>
      <w:r>
        <w:rPr>
          <w:color w:val="000000" w:themeColor="text1"/>
          <w:sz w:val="22"/>
          <w:szCs w:val="22"/>
        </w:rPr>
        <w:t>Under the current</w:t>
      </w:r>
      <w:r w:rsidR="007137E5">
        <w:rPr>
          <w:color w:val="000000" w:themeColor="text1"/>
          <w:sz w:val="22"/>
          <w:szCs w:val="22"/>
        </w:rPr>
        <w:t xml:space="preserve"> draft of the Bill,</w:t>
      </w:r>
      <w:r>
        <w:rPr>
          <w:color w:val="000000" w:themeColor="text1"/>
          <w:sz w:val="22"/>
          <w:szCs w:val="22"/>
        </w:rPr>
        <w:t xml:space="preserve"> </w:t>
      </w:r>
      <w:r w:rsidR="007137E5">
        <w:rPr>
          <w:color w:val="000000" w:themeColor="text1"/>
          <w:sz w:val="22"/>
          <w:szCs w:val="22"/>
        </w:rPr>
        <w:t>where a provider</w:t>
      </w:r>
      <w:r w:rsidR="000E2905">
        <w:rPr>
          <w:color w:val="000000" w:themeColor="text1"/>
          <w:sz w:val="22"/>
          <w:szCs w:val="22"/>
        </w:rPr>
        <w:t xml:space="preserve"> </w:t>
      </w:r>
      <w:r w:rsidR="007137E5">
        <w:rPr>
          <w:color w:val="000000" w:themeColor="text1"/>
          <w:sz w:val="22"/>
          <w:szCs w:val="22"/>
        </w:rPr>
        <w:t xml:space="preserve">has an access and participation plan, </w:t>
      </w:r>
      <w:r w:rsidR="00C03DED">
        <w:rPr>
          <w:color w:val="000000" w:themeColor="text1"/>
          <w:sz w:val="22"/>
          <w:szCs w:val="22"/>
        </w:rPr>
        <w:t>t</w:t>
      </w:r>
      <w:r w:rsidR="000E2905">
        <w:rPr>
          <w:color w:val="000000" w:themeColor="text1"/>
          <w:sz w:val="22"/>
          <w:szCs w:val="22"/>
        </w:rPr>
        <w:t xml:space="preserve">hese </w:t>
      </w:r>
      <w:r w:rsidR="002C64FA">
        <w:rPr>
          <w:color w:val="000000" w:themeColor="text1"/>
          <w:sz w:val="22"/>
          <w:szCs w:val="22"/>
        </w:rPr>
        <w:t>sub-level amounts</w:t>
      </w:r>
      <w:r w:rsidR="00B44C5F" w:rsidRPr="008D3825">
        <w:rPr>
          <w:color w:val="000000" w:themeColor="text1"/>
          <w:sz w:val="22"/>
          <w:szCs w:val="22"/>
        </w:rPr>
        <w:t xml:space="preserve"> </w:t>
      </w:r>
      <w:r w:rsidR="000E2905">
        <w:rPr>
          <w:color w:val="000000" w:themeColor="text1"/>
          <w:sz w:val="22"/>
          <w:szCs w:val="22"/>
        </w:rPr>
        <w:t xml:space="preserve">must </w:t>
      </w:r>
      <w:r w:rsidR="00B44C5F" w:rsidRPr="000E2905">
        <w:rPr>
          <w:color w:val="000000" w:themeColor="text1"/>
          <w:sz w:val="22"/>
          <w:szCs w:val="22"/>
        </w:rPr>
        <w:t>not exceed the higher amount and must be greater than the floor amount</w:t>
      </w:r>
      <w:r w:rsidR="007137E5">
        <w:rPr>
          <w:color w:val="000000" w:themeColor="text1"/>
          <w:sz w:val="22"/>
          <w:szCs w:val="22"/>
        </w:rPr>
        <w:t xml:space="preserve"> to the higher amount</w:t>
      </w:r>
      <w:r w:rsidR="00B44C5F" w:rsidRPr="000E2905">
        <w:rPr>
          <w:color w:val="000000" w:themeColor="text1"/>
          <w:sz w:val="22"/>
          <w:szCs w:val="22"/>
        </w:rPr>
        <w:t xml:space="preserve"> (paragraph 2(8)); and</w:t>
      </w:r>
      <w:r w:rsidR="007137E5">
        <w:rPr>
          <w:color w:val="000000" w:themeColor="text1"/>
          <w:sz w:val="22"/>
          <w:szCs w:val="22"/>
        </w:rPr>
        <w:t>, where a provider does not have an access and participation plan,</w:t>
      </w:r>
      <w:r w:rsidR="000E2905">
        <w:rPr>
          <w:color w:val="000000" w:themeColor="text1"/>
          <w:sz w:val="22"/>
          <w:szCs w:val="22"/>
        </w:rPr>
        <w:t xml:space="preserve"> must </w:t>
      </w:r>
      <w:r w:rsidR="00B44C5F" w:rsidRPr="000E2905">
        <w:rPr>
          <w:color w:val="000000" w:themeColor="text1"/>
          <w:sz w:val="22"/>
          <w:szCs w:val="22"/>
        </w:rPr>
        <w:t>not exceed the basic amount and must be greater th</w:t>
      </w:r>
      <w:r w:rsidR="00D523A7">
        <w:rPr>
          <w:color w:val="000000" w:themeColor="text1"/>
          <w:sz w:val="22"/>
          <w:szCs w:val="22"/>
        </w:rPr>
        <w:t>an the floor amount (paragraph 3</w:t>
      </w:r>
      <w:r w:rsidR="00B44C5F" w:rsidRPr="000E2905">
        <w:rPr>
          <w:color w:val="000000" w:themeColor="text1"/>
          <w:sz w:val="22"/>
          <w:szCs w:val="22"/>
        </w:rPr>
        <w:t>(7)).</w:t>
      </w:r>
      <w:r w:rsidR="00BF00B3">
        <w:rPr>
          <w:color w:val="000000" w:themeColor="text1"/>
          <w:sz w:val="22"/>
          <w:szCs w:val="22"/>
        </w:rPr>
        <w:t xml:space="preserve"> </w:t>
      </w:r>
    </w:p>
    <w:p w:rsidR="00B44C5F" w:rsidRPr="008D3825" w:rsidRDefault="00B44C5F" w:rsidP="00B44C5F">
      <w:pPr>
        <w:jc w:val="both"/>
        <w:rPr>
          <w:color w:val="000000" w:themeColor="text1"/>
          <w:sz w:val="22"/>
          <w:szCs w:val="22"/>
        </w:rPr>
      </w:pPr>
    </w:p>
    <w:p w:rsidR="00EF2A91" w:rsidRPr="008D3825" w:rsidRDefault="00EF2A91" w:rsidP="00B44C5F">
      <w:pPr>
        <w:pStyle w:val="ListParagraph"/>
        <w:numPr>
          <w:ilvl w:val="0"/>
          <w:numId w:val="1"/>
        </w:numPr>
        <w:jc w:val="both"/>
        <w:rPr>
          <w:color w:val="000000" w:themeColor="text1"/>
          <w:sz w:val="22"/>
          <w:szCs w:val="22"/>
        </w:rPr>
      </w:pPr>
      <w:r>
        <w:rPr>
          <w:color w:val="000000" w:themeColor="text1"/>
          <w:sz w:val="22"/>
          <w:szCs w:val="22"/>
        </w:rPr>
        <w:t>The Gov</w:t>
      </w:r>
      <w:r w:rsidR="007137E5">
        <w:rPr>
          <w:color w:val="000000" w:themeColor="text1"/>
          <w:sz w:val="22"/>
          <w:szCs w:val="22"/>
        </w:rPr>
        <w:t xml:space="preserve">ernment has tabled </w:t>
      </w:r>
      <w:r w:rsidR="00D523A7">
        <w:rPr>
          <w:color w:val="000000" w:themeColor="text1"/>
          <w:sz w:val="22"/>
          <w:szCs w:val="22"/>
        </w:rPr>
        <w:t>amendments to paragraphs 2(8</w:t>
      </w:r>
      <w:proofErr w:type="gramStart"/>
      <w:r w:rsidR="00D523A7">
        <w:rPr>
          <w:color w:val="000000" w:themeColor="text1"/>
          <w:sz w:val="22"/>
          <w:szCs w:val="22"/>
        </w:rPr>
        <w:t>)(</w:t>
      </w:r>
      <w:proofErr w:type="gramEnd"/>
      <w:r w:rsidR="00D523A7">
        <w:rPr>
          <w:color w:val="000000" w:themeColor="text1"/>
          <w:sz w:val="22"/>
          <w:szCs w:val="22"/>
        </w:rPr>
        <w:t>b) and 3(7)(b)</w:t>
      </w:r>
      <w:r w:rsidR="00D70221">
        <w:rPr>
          <w:color w:val="000000" w:themeColor="text1"/>
          <w:sz w:val="22"/>
          <w:szCs w:val="22"/>
        </w:rPr>
        <w:t xml:space="preserve"> of Schedule</w:t>
      </w:r>
      <w:r w:rsidR="002C64FA">
        <w:rPr>
          <w:color w:val="000000" w:themeColor="text1"/>
          <w:sz w:val="22"/>
          <w:szCs w:val="22"/>
        </w:rPr>
        <w:t xml:space="preserve"> 2</w:t>
      </w:r>
      <w:r w:rsidR="00D523A7">
        <w:rPr>
          <w:color w:val="000000" w:themeColor="text1"/>
          <w:sz w:val="22"/>
          <w:szCs w:val="22"/>
        </w:rPr>
        <w:t xml:space="preserve"> for conside</w:t>
      </w:r>
      <w:r w:rsidR="00D70221">
        <w:rPr>
          <w:color w:val="000000" w:themeColor="text1"/>
          <w:sz w:val="22"/>
          <w:szCs w:val="22"/>
        </w:rPr>
        <w:t>ration at Lords Committee stage. These amendments</w:t>
      </w:r>
      <w:r w:rsidR="00D523A7">
        <w:rPr>
          <w:color w:val="000000" w:themeColor="text1"/>
          <w:sz w:val="22"/>
          <w:szCs w:val="22"/>
        </w:rPr>
        <w:t xml:space="preserve"> will provide that the applicable sub-level amount in each case must be </w:t>
      </w:r>
      <w:r w:rsidR="00D523A7" w:rsidRPr="00D70221">
        <w:rPr>
          <w:i/>
          <w:color w:val="000000" w:themeColor="text1"/>
          <w:sz w:val="22"/>
          <w:szCs w:val="22"/>
        </w:rPr>
        <w:t>equal to</w:t>
      </w:r>
      <w:r w:rsidR="00D523A7">
        <w:rPr>
          <w:color w:val="000000" w:themeColor="text1"/>
          <w:sz w:val="22"/>
          <w:szCs w:val="22"/>
        </w:rPr>
        <w:t xml:space="preserve"> or greater than the floor amount. This is</w:t>
      </w:r>
      <w:r w:rsidR="002C64FA">
        <w:rPr>
          <w:color w:val="000000" w:themeColor="text1"/>
          <w:sz w:val="22"/>
          <w:szCs w:val="22"/>
        </w:rPr>
        <w:t xml:space="preserve"> to</w:t>
      </w:r>
      <w:r w:rsidR="00D523A7">
        <w:rPr>
          <w:color w:val="000000" w:themeColor="text1"/>
          <w:sz w:val="22"/>
          <w:szCs w:val="22"/>
        </w:rPr>
        <w:t xml:space="preserve"> ensure that providers that do not have a quality rating in accordance with arrangements under clause 25 may be made subject to a fee limit </w:t>
      </w:r>
      <w:r w:rsidR="002C64FA">
        <w:rPr>
          <w:color w:val="000000" w:themeColor="text1"/>
          <w:sz w:val="22"/>
          <w:szCs w:val="22"/>
        </w:rPr>
        <w:t xml:space="preserve">that is </w:t>
      </w:r>
      <w:r w:rsidR="00D523A7">
        <w:rPr>
          <w:color w:val="000000" w:themeColor="text1"/>
          <w:sz w:val="22"/>
          <w:szCs w:val="22"/>
        </w:rPr>
        <w:t xml:space="preserve">equal to the </w:t>
      </w:r>
      <w:r w:rsidR="003C1889">
        <w:rPr>
          <w:color w:val="000000" w:themeColor="text1"/>
          <w:sz w:val="22"/>
          <w:szCs w:val="22"/>
        </w:rPr>
        <w:t xml:space="preserve">relevant </w:t>
      </w:r>
      <w:r w:rsidR="00D523A7">
        <w:rPr>
          <w:color w:val="000000" w:themeColor="text1"/>
          <w:sz w:val="22"/>
          <w:szCs w:val="22"/>
        </w:rPr>
        <w:t>floor amount, rather than</w:t>
      </w:r>
      <w:r w:rsidR="002C64FA">
        <w:rPr>
          <w:color w:val="000000" w:themeColor="text1"/>
          <w:sz w:val="22"/>
          <w:szCs w:val="22"/>
        </w:rPr>
        <w:t xml:space="preserve"> potentially accessing a </w:t>
      </w:r>
      <w:r w:rsidR="00D523A7">
        <w:rPr>
          <w:color w:val="000000" w:themeColor="text1"/>
          <w:sz w:val="22"/>
          <w:szCs w:val="22"/>
        </w:rPr>
        <w:t xml:space="preserve">sub-level </w:t>
      </w:r>
      <w:r w:rsidR="0062056C">
        <w:rPr>
          <w:color w:val="000000" w:themeColor="text1"/>
          <w:sz w:val="22"/>
          <w:szCs w:val="22"/>
        </w:rPr>
        <w:t>fee limit</w:t>
      </w:r>
      <w:r w:rsidR="00D523A7">
        <w:rPr>
          <w:color w:val="000000" w:themeColor="text1"/>
          <w:sz w:val="22"/>
          <w:szCs w:val="22"/>
        </w:rPr>
        <w:t xml:space="preserve"> which must be greater than the floor amount. These amendments correct a drafting error and refle</w:t>
      </w:r>
      <w:r w:rsidR="00D70221">
        <w:rPr>
          <w:color w:val="000000" w:themeColor="text1"/>
          <w:sz w:val="22"/>
          <w:szCs w:val="22"/>
        </w:rPr>
        <w:t xml:space="preserve">ct the underlying policy intent </w:t>
      </w:r>
      <w:r w:rsidR="002C64FA">
        <w:rPr>
          <w:color w:val="000000" w:themeColor="text1"/>
          <w:sz w:val="22"/>
          <w:szCs w:val="22"/>
        </w:rPr>
        <w:t>as regards</w:t>
      </w:r>
      <w:r w:rsidR="00D70221">
        <w:rPr>
          <w:color w:val="000000" w:themeColor="text1"/>
          <w:sz w:val="22"/>
          <w:szCs w:val="22"/>
        </w:rPr>
        <w:t xml:space="preserve"> providers that do not have a quality rating.</w:t>
      </w:r>
    </w:p>
    <w:p w:rsidR="00B44C5F" w:rsidRPr="008D3825" w:rsidRDefault="00B44C5F" w:rsidP="00B44C5F">
      <w:pPr>
        <w:jc w:val="both"/>
        <w:rPr>
          <w:color w:val="000000" w:themeColor="text1"/>
          <w:sz w:val="22"/>
          <w:szCs w:val="22"/>
        </w:rPr>
      </w:pPr>
    </w:p>
    <w:p w:rsidR="00B44C5F" w:rsidRPr="008D3825" w:rsidRDefault="00B44C5F" w:rsidP="00B44C5F">
      <w:pPr>
        <w:pStyle w:val="ListParagraph"/>
        <w:ind w:left="567" w:hanging="567"/>
        <w:jc w:val="both"/>
        <w:rPr>
          <w:color w:val="000000" w:themeColor="text1"/>
          <w:sz w:val="22"/>
          <w:szCs w:val="22"/>
          <w:u w:val="single"/>
        </w:rPr>
      </w:pPr>
      <w:r w:rsidRPr="008D3825">
        <w:rPr>
          <w:color w:val="000000" w:themeColor="text1"/>
          <w:sz w:val="22"/>
          <w:szCs w:val="22"/>
          <w:u w:val="single"/>
        </w:rPr>
        <w:t>Justification for delegation</w:t>
      </w:r>
    </w:p>
    <w:p w:rsidR="00B44C5F" w:rsidRPr="008D3825" w:rsidRDefault="00B44C5F" w:rsidP="00B44C5F">
      <w:pPr>
        <w:pStyle w:val="ListParagraph"/>
        <w:ind w:left="567" w:hanging="567"/>
        <w:jc w:val="both"/>
        <w:rPr>
          <w:color w:val="000000" w:themeColor="text1"/>
          <w:sz w:val="22"/>
          <w:szCs w:val="22"/>
          <w:u w:val="single"/>
        </w:rPr>
      </w:pPr>
    </w:p>
    <w:p w:rsidR="006527C9" w:rsidRPr="00BF00B3" w:rsidRDefault="008E76FA" w:rsidP="008E76FA">
      <w:pPr>
        <w:pStyle w:val="ListParagraph"/>
        <w:numPr>
          <w:ilvl w:val="0"/>
          <w:numId w:val="1"/>
        </w:numPr>
        <w:jc w:val="both"/>
        <w:rPr>
          <w:color w:val="000000" w:themeColor="text1"/>
          <w:sz w:val="22"/>
          <w:szCs w:val="22"/>
        </w:rPr>
      </w:pPr>
      <w:r>
        <w:rPr>
          <w:color w:val="000000" w:themeColor="text1"/>
          <w:sz w:val="22"/>
          <w:szCs w:val="22"/>
        </w:rPr>
        <w:t xml:space="preserve">As set out in the previous Memorandum, </w:t>
      </w:r>
      <w:r w:rsidR="00B44C5F" w:rsidRPr="008D3825">
        <w:rPr>
          <w:color w:val="000000" w:themeColor="text1"/>
          <w:sz w:val="22"/>
          <w:szCs w:val="22"/>
        </w:rPr>
        <w:t xml:space="preserve">the Department </w:t>
      </w:r>
      <w:r w:rsidR="00B44C5F" w:rsidRPr="008E76FA">
        <w:rPr>
          <w:sz w:val="22"/>
          <w:szCs w:val="22"/>
        </w:rPr>
        <w:t xml:space="preserve">considers that it is not necessary or desirable for </w:t>
      </w:r>
      <w:r w:rsidR="00D70221">
        <w:rPr>
          <w:sz w:val="22"/>
          <w:szCs w:val="22"/>
        </w:rPr>
        <w:t>the</w:t>
      </w:r>
      <w:r w:rsidR="00B44C5F" w:rsidRPr="008E76FA">
        <w:rPr>
          <w:sz w:val="22"/>
          <w:szCs w:val="22"/>
        </w:rPr>
        <w:t xml:space="preserve"> sub-level </w:t>
      </w:r>
      <w:r w:rsidR="00D70221">
        <w:rPr>
          <w:sz w:val="22"/>
          <w:szCs w:val="22"/>
        </w:rPr>
        <w:t>amounts</w:t>
      </w:r>
      <w:r w:rsidR="00B44C5F" w:rsidRPr="008E76FA">
        <w:rPr>
          <w:sz w:val="22"/>
          <w:szCs w:val="22"/>
        </w:rPr>
        <w:t xml:space="preserve"> to be set out in the Bill or prescribed by regulations</w:t>
      </w:r>
      <w:r w:rsidR="00D70221">
        <w:rPr>
          <w:sz w:val="22"/>
          <w:szCs w:val="22"/>
        </w:rPr>
        <w:t xml:space="preserve">. </w:t>
      </w:r>
      <w:r w:rsidR="00816F50">
        <w:rPr>
          <w:sz w:val="22"/>
          <w:szCs w:val="22"/>
        </w:rPr>
        <w:t>This is because these sub-level amounts will be set by reference to t</w:t>
      </w:r>
      <w:r w:rsidR="00B44C5F" w:rsidRPr="008E76FA">
        <w:rPr>
          <w:sz w:val="22"/>
          <w:szCs w:val="22"/>
        </w:rPr>
        <w:t>he higher, basic and floor amounts,</w:t>
      </w:r>
      <w:r w:rsidR="00816F50">
        <w:rPr>
          <w:sz w:val="22"/>
          <w:szCs w:val="22"/>
        </w:rPr>
        <w:t xml:space="preserve"> each of which </w:t>
      </w:r>
      <w:r w:rsidR="00D70221">
        <w:rPr>
          <w:sz w:val="22"/>
          <w:szCs w:val="22"/>
        </w:rPr>
        <w:t xml:space="preserve">will be </w:t>
      </w:r>
      <w:r w:rsidR="00B44C5F" w:rsidRPr="008E76FA">
        <w:rPr>
          <w:sz w:val="22"/>
          <w:szCs w:val="22"/>
        </w:rPr>
        <w:t xml:space="preserve">prescribed by regulations. </w:t>
      </w:r>
      <w:r w:rsidR="00816F50">
        <w:rPr>
          <w:sz w:val="22"/>
          <w:szCs w:val="22"/>
        </w:rPr>
        <w:t>Parliament will</w:t>
      </w:r>
      <w:r w:rsidR="006527C9">
        <w:rPr>
          <w:sz w:val="22"/>
          <w:szCs w:val="22"/>
        </w:rPr>
        <w:t xml:space="preserve"> therefore</w:t>
      </w:r>
      <w:r w:rsidR="00816F50">
        <w:rPr>
          <w:sz w:val="22"/>
          <w:szCs w:val="22"/>
        </w:rPr>
        <w:t xml:space="preserve"> have the opportunity to scrutinise the higher, basic and floor amounts (including by affirmative procedure, where they are increased by more than is required to maintain their value in real terms), and it will not be possible to set the sub</w:t>
      </w:r>
      <w:r w:rsidR="002C64FA">
        <w:rPr>
          <w:sz w:val="22"/>
          <w:szCs w:val="22"/>
        </w:rPr>
        <w:t>-level amounts</w:t>
      </w:r>
      <w:r w:rsidR="006527C9">
        <w:rPr>
          <w:sz w:val="22"/>
          <w:szCs w:val="22"/>
        </w:rPr>
        <w:t xml:space="preserve"> outside of those limits.</w:t>
      </w:r>
      <w:r w:rsidR="00B44C5F" w:rsidRPr="008E76FA">
        <w:rPr>
          <w:sz w:val="22"/>
          <w:szCs w:val="22"/>
        </w:rPr>
        <w:t xml:space="preserve"> </w:t>
      </w:r>
    </w:p>
    <w:p w:rsidR="00BF00B3" w:rsidRPr="00BF00B3" w:rsidRDefault="00BF00B3" w:rsidP="00BF00B3">
      <w:pPr>
        <w:pStyle w:val="ListParagraph"/>
        <w:ind w:left="510"/>
        <w:jc w:val="both"/>
        <w:rPr>
          <w:color w:val="000000" w:themeColor="text1"/>
          <w:sz w:val="22"/>
          <w:szCs w:val="22"/>
        </w:rPr>
      </w:pPr>
    </w:p>
    <w:p w:rsidR="00BF00B3" w:rsidRPr="00BF00B3" w:rsidRDefault="00BF00B3" w:rsidP="00BF00B3">
      <w:pPr>
        <w:pStyle w:val="ListParagraph"/>
        <w:numPr>
          <w:ilvl w:val="0"/>
          <w:numId w:val="1"/>
        </w:numPr>
        <w:jc w:val="both"/>
        <w:rPr>
          <w:color w:val="000000" w:themeColor="text1"/>
          <w:sz w:val="22"/>
          <w:szCs w:val="22"/>
        </w:rPr>
      </w:pPr>
      <w:r>
        <w:rPr>
          <w:color w:val="000000" w:themeColor="text1"/>
          <w:sz w:val="22"/>
          <w:szCs w:val="22"/>
        </w:rPr>
        <w:t>The</w:t>
      </w:r>
      <w:r w:rsidRPr="008D3825">
        <w:rPr>
          <w:color w:val="000000" w:themeColor="text1"/>
          <w:sz w:val="22"/>
          <w:szCs w:val="22"/>
        </w:rPr>
        <w:t xml:space="preserve"> Secretary of State’s ability to determine the </w:t>
      </w:r>
      <w:r>
        <w:rPr>
          <w:color w:val="000000" w:themeColor="text1"/>
          <w:sz w:val="22"/>
          <w:szCs w:val="22"/>
        </w:rPr>
        <w:t xml:space="preserve">sub-level </w:t>
      </w:r>
      <w:r w:rsidRPr="008D3825">
        <w:rPr>
          <w:color w:val="000000" w:themeColor="text1"/>
          <w:sz w:val="22"/>
          <w:szCs w:val="22"/>
        </w:rPr>
        <w:t xml:space="preserve">fee </w:t>
      </w:r>
      <w:r>
        <w:rPr>
          <w:color w:val="000000" w:themeColor="text1"/>
          <w:sz w:val="22"/>
          <w:szCs w:val="22"/>
        </w:rPr>
        <w:t>limits</w:t>
      </w:r>
      <w:r w:rsidRPr="008D3825">
        <w:rPr>
          <w:color w:val="000000" w:themeColor="text1"/>
          <w:sz w:val="22"/>
          <w:szCs w:val="22"/>
        </w:rPr>
        <w:t xml:space="preserve"> for individual providers </w:t>
      </w:r>
      <w:r>
        <w:rPr>
          <w:color w:val="000000" w:themeColor="text1"/>
          <w:sz w:val="22"/>
          <w:szCs w:val="22"/>
        </w:rPr>
        <w:t xml:space="preserve">is also important in enabling the Government to maintain </w:t>
      </w:r>
      <w:r w:rsidRPr="008D3825">
        <w:rPr>
          <w:color w:val="000000" w:themeColor="text1"/>
          <w:sz w:val="22"/>
          <w:szCs w:val="22"/>
        </w:rPr>
        <w:t>control over the overall affordabilit</w:t>
      </w:r>
      <w:r>
        <w:rPr>
          <w:color w:val="000000" w:themeColor="text1"/>
          <w:sz w:val="22"/>
          <w:szCs w:val="22"/>
        </w:rPr>
        <w:t>y of the student finance system, subject to the parameters set by Parliament.</w:t>
      </w:r>
    </w:p>
    <w:p w:rsidR="006527C9" w:rsidRPr="006527C9" w:rsidRDefault="006527C9" w:rsidP="006527C9">
      <w:pPr>
        <w:pStyle w:val="ListParagraph"/>
        <w:ind w:left="510"/>
        <w:jc w:val="both"/>
        <w:rPr>
          <w:color w:val="000000" w:themeColor="text1"/>
          <w:sz w:val="22"/>
          <w:szCs w:val="22"/>
        </w:rPr>
      </w:pPr>
    </w:p>
    <w:p w:rsidR="003C1889" w:rsidRDefault="007E2EDE" w:rsidP="003C1889">
      <w:pPr>
        <w:pStyle w:val="ListParagraph"/>
        <w:numPr>
          <w:ilvl w:val="0"/>
          <w:numId w:val="1"/>
        </w:numPr>
        <w:jc w:val="both"/>
        <w:rPr>
          <w:sz w:val="22"/>
          <w:szCs w:val="22"/>
        </w:rPr>
      </w:pPr>
      <w:r>
        <w:rPr>
          <w:sz w:val="22"/>
          <w:szCs w:val="22"/>
        </w:rPr>
        <w:lastRenderedPageBreak/>
        <w:t>Further, Secretary of State’s ability</w:t>
      </w:r>
      <w:r w:rsidR="006527C9" w:rsidRPr="003C1889">
        <w:rPr>
          <w:sz w:val="22"/>
          <w:szCs w:val="22"/>
        </w:rPr>
        <w:t xml:space="preserve"> to set the sub-level amounts by reference to whether or not providers have a quality rating a</w:t>
      </w:r>
      <w:r w:rsidR="003C1889" w:rsidRPr="003C1889">
        <w:rPr>
          <w:sz w:val="22"/>
          <w:szCs w:val="22"/>
        </w:rPr>
        <w:t>nd</w:t>
      </w:r>
      <w:r w:rsidR="006527C9" w:rsidRPr="003C1889">
        <w:rPr>
          <w:sz w:val="22"/>
          <w:szCs w:val="22"/>
        </w:rPr>
        <w:t xml:space="preserve"> the level and type of that rating, will enable the Government </w:t>
      </w:r>
      <w:r w:rsidR="00B44C5F" w:rsidRPr="003C1889">
        <w:rPr>
          <w:sz w:val="22"/>
          <w:szCs w:val="22"/>
        </w:rPr>
        <w:t xml:space="preserve">to incentivise good quality </w:t>
      </w:r>
      <w:r w:rsidR="00BF00B3">
        <w:rPr>
          <w:sz w:val="22"/>
          <w:szCs w:val="22"/>
        </w:rPr>
        <w:t>teaching in higher education</w:t>
      </w:r>
      <w:r w:rsidR="006527C9" w:rsidRPr="003C1889">
        <w:rPr>
          <w:sz w:val="22"/>
          <w:szCs w:val="22"/>
        </w:rPr>
        <w:t xml:space="preserve">. Specifically, the amendments tabled in respect of Schedule 2 will allow the Secretary of State to apply a fee limit of the </w:t>
      </w:r>
      <w:r w:rsidR="00BF00B3">
        <w:rPr>
          <w:sz w:val="22"/>
          <w:szCs w:val="22"/>
        </w:rPr>
        <w:t xml:space="preserve">relevant </w:t>
      </w:r>
      <w:r w:rsidR="006527C9" w:rsidRPr="003C1889">
        <w:rPr>
          <w:sz w:val="22"/>
          <w:szCs w:val="22"/>
        </w:rPr>
        <w:t xml:space="preserve">floor amount </w:t>
      </w:r>
      <w:r w:rsidR="003C1889" w:rsidRPr="003C1889">
        <w:rPr>
          <w:sz w:val="22"/>
          <w:szCs w:val="22"/>
        </w:rPr>
        <w:t xml:space="preserve">in relation to providers that do not </w:t>
      </w:r>
      <w:r w:rsidR="00BF00B3">
        <w:rPr>
          <w:sz w:val="22"/>
          <w:szCs w:val="22"/>
        </w:rPr>
        <w:t xml:space="preserve">participate in the TEF scheme and do not </w:t>
      </w:r>
      <w:r w:rsidR="003C1889" w:rsidRPr="003C1889">
        <w:rPr>
          <w:sz w:val="22"/>
          <w:szCs w:val="22"/>
        </w:rPr>
        <w:t xml:space="preserve">have a quality rating. </w:t>
      </w:r>
    </w:p>
    <w:p w:rsidR="00B44C5F" w:rsidRPr="008D3825" w:rsidRDefault="00B44C5F" w:rsidP="00B44C5F">
      <w:pPr>
        <w:jc w:val="both"/>
        <w:rPr>
          <w:color w:val="000000" w:themeColor="text1"/>
          <w:sz w:val="22"/>
          <w:szCs w:val="22"/>
        </w:rPr>
      </w:pPr>
    </w:p>
    <w:p w:rsidR="00B44C5F" w:rsidRPr="008D3825" w:rsidRDefault="00B44C5F" w:rsidP="00B44C5F">
      <w:pPr>
        <w:pStyle w:val="ListParagraph"/>
        <w:ind w:left="567" w:hanging="567"/>
        <w:jc w:val="both"/>
        <w:rPr>
          <w:color w:val="000000" w:themeColor="text1"/>
          <w:sz w:val="22"/>
          <w:szCs w:val="22"/>
          <w:u w:val="single"/>
        </w:rPr>
      </w:pPr>
      <w:r w:rsidRPr="008D3825">
        <w:rPr>
          <w:color w:val="000000" w:themeColor="text1"/>
          <w:sz w:val="22"/>
          <w:szCs w:val="22"/>
          <w:u w:val="single"/>
        </w:rPr>
        <w:t>Justification for procedure selected</w:t>
      </w:r>
    </w:p>
    <w:p w:rsidR="00B44C5F" w:rsidRPr="008D3825" w:rsidRDefault="00B44C5F" w:rsidP="00B44C5F">
      <w:pPr>
        <w:jc w:val="both"/>
        <w:rPr>
          <w:color w:val="000000" w:themeColor="text1"/>
          <w:sz w:val="22"/>
          <w:szCs w:val="22"/>
          <w:u w:val="single"/>
        </w:rPr>
      </w:pPr>
    </w:p>
    <w:p w:rsidR="00003D47" w:rsidRPr="008E76FA" w:rsidRDefault="00B44C5F" w:rsidP="00003D47">
      <w:pPr>
        <w:pStyle w:val="ListParagraph"/>
        <w:numPr>
          <w:ilvl w:val="0"/>
          <w:numId w:val="1"/>
        </w:numPr>
        <w:jc w:val="both"/>
        <w:rPr>
          <w:color w:val="FF0000"/>
          <w:sz w:val="22"/>
          <w:szCs w:val="22"/>
        </w:rPr>
      </w:pPr>
      <w:r w:rsidRPr="008D3825">
        <w:rPr>
          <w:color w:val="000000" w:themeColor="text1"/>
          <w:sz w:val="22"/>
          <w:szCs w:val="22"/>
        </w:rPr>
        <w:t xml:space="preserve">The Department considers </w:t>
      </w:r>
      <w:r w:rsidR="001133D0">
        <w:rPr>
          <w:color w:val="000000" w:themeColor="text1"/>
          <w:sz w:val="22"/>
          <w:szCs w:val="22"/>
        </w:rPr>
        <w:t xml:space="preserve">that parliamentary scrutiny of </w:t>
      </w:r>
      <w:r w:rsidR="003B5BE8">
        <w:rPr>
          <w:color w:val="000000" w:themeColor="text1"/>
          <w:sz w:val="22"/>
          <w:szCs w:val="22"/>
        </w:rPr>
        <w:t xml:space="preserve">the </w:t>
      </w:r>
      <w:r w:rsidR="001133D0">
        <w:rPr>
          <w:color w:val="000000" w:themeColor="text1"/>
          <w:sz w:val="22"/>
          <w:szCs w:val="22"/>
        </w:rPr>
        <w:t>sub-level amounts</w:t>
      </w:r>
      <w:r w:rsidRPr="008D3825">
        <w:rPr>
          <w:color w:val="000000" w:themeColor="text1"/>
          <w:sz w:val="22"/>
          <w:szCs w:val="22"/>
        </w:rPr>
        <w:t xml:space="preserve"> is not necessary because su</w:t>
      </w:r>
      <w:r w:rsidR="001133D0">
        <w:rPr>
          <w:color w:val="000000" w:themeColor="text1"/>
          <w:sz w:val="22"/>
          <w:szCs w:val="22"/>
        </w:rPr>
        <w:t>ch amounts must not exceed the higher amount or basic amount (as applicable), and must be greater than the relevant floor amount</w:t>
      </w:r>
      <w:r w:rsidRPr="008D3825">
        <w:rPr>
          <w:color w:val="000000" w:themeColor="text1"/>
          <w:sz w:val="22"/>
          <w:szCs w:val="22"/>
        </w:rPr>
        <w:t xml:space="preserve">. Those amounts are subject to the scrutiny of Parliament, which includes the affirmative procedure where </w:t>
      </w:r>
      <w:r w:rsidR="001133D0">
        <w:rPr>
          <w:color w:val="000000" w:themeColor="text1"/>
          <w:sz w:val="22"/>
          <w:szCs w:val="22"/>
        </w:rPr>
        <w:t>they</w:t>
      </w:r>
      <w:r w:rsidRPr="008D3825">
        <w:rPr>
          <w:color w:val="000000" w:themeColor="text1"/>
          <w:sz w:val="22"/>
          <w:szCs w:val="22"/>
        </w:rPr>
        <w:t xml:space="preserve"> are proposed to be increased by more than is required to maintain their value in real terms. Therefore the sub-level amounts </w:t>
      </w:r>
      <w:r w:rsidR="003B5BE8">
        <w:rPr>
          <w:color w:val="000000" w:themeColor="text1"/>
          <w:sz w:val="22"/>
          <w:szCs w:val="22"/>
        </w:rPr>
        <w:t>will</w:t>
      </w:r>
      <w:r w:rsidRPr="008D3825">
        <w:rPr>
          <w:color w:val="000000" w:themeColor="text1"/>
          <w:sz w:val="22"/>
          <w:szCs w:val="22"/>
        </w:rPr>
        <w:t xml:space="preserve"> only </w:t>
      </w:r>
      <w:r w:rsidR="003B5BE8">
        <w:rPr>
          <w:color w:val="000000" w:themeColor="text1"/>
          <w:sz w:val="22"/>
          <w:szCs w:val="22"/>
        </w:rPr>
        <w:t xml:space="preserve">be </w:t>
      </w:r>
      <w:r w:rsidRPr="008D3825">
        <w:rPr>
          <w:color w:val="000000" w:themeColor="text1"/>
          <w:sz w:val="22"/>
          <w:szCs w:val="22"/>
        </w:rPr>
        <w:t xml:space="preserve">set within strict parameters, which </w:t>
      </w:r>
      <w:r w:rsidR="003B5BE8">
        <w:rPr>
          <w:color w:val="000000" w:themeColor="text1"/>
          <w:sz w:val="22"/>
          <w:szCs w:val="22"/>
        </w:rPr>
        <w:t>will</w:t>
      </w:r>
      <w:r w:rsidRPr="008D3825">
        <w:rPr>
          <w:color w:val="000000" w:themeColor="text1"/>
          <w:sz w:val="22"/>
          <w:szCs w:val="22"/>
        </w:rPr>
        <w:t xml:space="preserve"> themselves </w:t>
      </w:r>
      <w:r w:rsidR="003B5BE8">
        <w:rPr>
          <w:color w:val="000000" w:themeColor="text1"/>
          <w:sz w:val="22"/>
          <w:szCs w:val="22"/>
        </w:rPr>
        <w:t xml:space="preserve">be </w:t>
      </w:r>
      <w:r w:rsidRPr="008D3825">
        <w:rPr>
          <w:color w:val="000000" w:themeColor="text1"/>
          <w:sz w:val="22"/>
          <w:szCs w:val="22"/>
        </w:rPr>
        <w:t>subject to appropriate parliamentary scrutiny. Ultimately, the Department believes that this approach provides the necessary flexibility to adapt to the distribution of teaching excellence ratings and set proportionate fee limits within clear</w:t>
      </w:r>
      <w:r>
        <w:rPr>
          <w:color w:val="000000" w:themeColor="text1"/>
          <w:sz w:val="22"/>
          <w:szCs w:val="22"/>
        </w:rPr>
        <w:t xml:space="preserve"> and transparent</w:t>
      </w:r>
      <w:r w:rsidRPr="008D3825">
        <w:rPr>
          <w:color w:val="000000" w:themeColor="text1"/>
          <w:sz w:val="22"/>
          <w:szCs w:val="22"/>
        </w:rPr>
        <w:t xml:space="preserve"> parameters.</w:t>
      </w:r>
      <w:r w:rsidR="003C1889">
        <w:rPr>
          <w:color w:val="000000" w:themeColor="text1"/>
          <w:sz w:val="22"/>
          <w:szCs w:val="22"/>
        </w:rPr>
        <w:t xml:space="preserve"> </w:t>
      </w:r>
    </w:p>
    <w:p w:rsidR="00FC6A7E" w:rsidRDefault="00FC6A7E" w:rsidP="00FC6A7E">
      <w:pPr>
        <w:autoSpaceDE w:val="0"/>
        <w:autoSpaceDN w:val="0"/>
        <w:adjustRightInd w:val="0"/>
        <w:jc w:val="both"/>
        <w:rPr>
          <w:b/>
          <w:i/>
          <w:sz w:val="22"/>
          <w:szCs w:val="22"/>
        </w:rPr>
      </w:pPr>
    </w:p>
    <w:p w:rsidR="00F85465" w:rsidRDefault="00F85465" w:rsidP="00F85465">
      <w:pPr>
        <w:jc w:val="both"/>
        <w:rPr>
          <w:rFonts w:eastAsiaTheme="minorHAnsi"/>
          <w:b/>
          <w:color w:val="000000" w:themeColor="text1"/>
          <w:sz w:val="22"/>
          <w:szCs w:val="22"/>
          <w:u w:val="single"/>
          <w:lang w:eastAsia="en-US"/>
        </w:rPr>
      </w:pPr>
      <w:r>
        <w:rPr>
          <w:rFonts w:eastAsiaTheme="minorHAnsi"/>
          <w:b/>
          <w:color w:val="000000" w:themeColor="text1"/>
          <w:sz w:val="22"/>
          <w:szCs w:val="22"/>
          <w:u w:val="single"/>
          <w:lang w:eastAsia="en-US"/>
        </w:rPr>
        <w:t>Part 2</w:t>
      </w:r>
      <w:r w:rsidRPr="00E13322">
        <w:rPr>
          <w:rFonts w:eastAsiaTheme="minorHAnsi"/>
          <w:b/>
          <w:color w:val="000000" w:themeColor="text1"/>
          <w:sz w:val="22"/>
          <w:szCs w:val="22"/>
          <w:u w:val="single"/>
          <w:lang w:eastAsia="en-US"/>
        </w:rPr>
        <w:t xml:space="preserve">: </w:t>
      </w:r>
      <w:r w:rsidR="00585A44">
        <w:rPr>
          <w:rFonts w:eastAsiaTheme="minorHAnsi"/>
          <w:b/>
          <w:color w:val="000000" w:themeColor="text1"/>
          <w:sz w:val="22"/>
          <w:szCs w:val="22"/>
          <w:u w:val="single"/>
          <w:lang w:eastAsia="en-US"/>
        </w:rPr>
        <w:t>Other Education Measures</w:t>
      </w:r>
    </w:p>
    <w:p w:rsidR="00585A44" w:rsidRDefault="00585A44" w:rsidP="00F85465">
      <w:pPr>
        <w:jc w:val="both"/>
        <w:rPr>
          <w:rFonts w:eastAsiaTheme="minorHAnsi"/>
          <w:b/>
          <w:color w:val="000000" w:themeColor="text1"/>
          <w:sz w:val="22"/>
          <w:szCs w:val="22"/>
          <w:u w:val="single"/>
          <w:lang w:eastAsia="en-US"/>
        </w:rPr>
      </w:pPr>
    </w:p>
    <w:p w:rsidR="00585A44" w:rsidRPr="00585A44" w:rsidRDefault="00585A44" w:rsidP="00F85465">
      <w:pPr>
        <w:jc w:val="both"/>
        <w:rPr>
          <w:rFonts w:eastAsiaTheme="minorHAnsi"/>
          <w:b/>
          <w:color w:val="000000" w:themeColor="text1"/>
          <w:sz w:val="22"/>
          <w:szCs w:val="22"/>
          <w:lang w:eastAsia="en-US"/>
        </w:rPr>
      </w:pPr>
      <w:r>
        <w:rPr>
          <w:rFonts w:eastAsiaTheme="minorHAnsi"/>
          <w:b/>
          <w:color w:val="000000" w:themeColor="text1"/>
          <w:sz w:val="22"/>
          <w:szCs w:val="22"/>
          <w:lang w:eastAsia="en-US"/>
        </w:rPr>
        <w:t>Financial support for students</w:t>
      </w:r>
    </w:p>
    <w:p w:rsidR="00F85465" w:rsidRPr="00F85465" w:rsidRDefault="00F85465" w:rsidP="00FC6A7E">
      <w:pPr>
        <w:autoSpaceDE w:val="0"/>
        <w:autoSpaceDN w:val="0"/>
        <w:adjustRightInd w:val="0"/>
        <w:jc w:val="both"/>
        <w:rPr>
          <w:b/>
          <w:sz w:val="22"/>
          <w:szCs w:val="22"/>
        </w:rPr>
      </w:pPr>
    </w:p>
    <w:p w:rsidR="00FC6A7E" w:rsidRPr="008D3825" w:rsidRDefault="00543192" w:rsidP="00FC6A7E">
      <w:pPr>
        <w:autoSpaceDE w:val="0"/>
        <w:autoSpaceDN w:val="0"/>
        <w:adjustRightInd w:val="0"/>
        <w:jc w:val="both"/>
        <w:rPr>
          <w:b/>
          <w:i/>
          <w:sz w:val="22"/>
          <w:szCs w:val="22"/>
        </w:rPr>
      </w:pPr>
      <w:r>
        <w:rPr>
          <w:b/>
          <w:i/>
          <w:sz w:val="22"/>
          <w:szCs w:val="22"/>
        </w:rPr>
        <w:t>Amendment</w:t>
      </w:r>
      <w:r w:rsidR="00B466E3">
        <w:rPr>
          <w:b/>
          <w:i/>
          <w:sz w:val="22"/>
          <w:szCs w:val="22"/>
        </w:rPr>
        <w:t>s</w:t>
      </w:r>
      <w:r w:rsidR="00D47997">
        <w:rPr>
          <w:b/>
          <w:i/>
          <w:sz w:val="22"/>
          <w:szCs w:val="22"/>
        </w:rPr>
        <w:t xml:space="preserve"> </w:t>
      </w:r>
      <w:r>
        <w:rPr>
          <w:b/>
          <w:i/>
          <w:sz w:val="22"/>
          <w:szCs w:val="22"/>
        </w:rPr>
        <w:t>to clause</w:t>
      </w:r>
      <w:r w:rsidR="00FC6A7E" w:rsidRPr="008D3825">
        <w:rPr>
          <w:b/>
          <w:i/>
          <w:sz w:val="22"/>
          <w:szCs w:val="22"/>
        </w:rPr>
        <w:t xml:space="preserve"> </w:t>
      </w:r>
      <w:r w:rsidR="00FC6A7E">
        <w:rPr>
          <w:b/>
          <w:i/>
          <w:sz w:val="22"/>
          <w:szCs w:val="22"/>
        </w:rPr>
        <w:t>82</w:t>
      </w:r>
      <w:r w:rsidR="00FC6A7E" w:rsidRPr="008D3825">
        <w:rPr>
          <w:b/>
          <w:i/>
          <w:sz w:val="22"/>
          <w:szCs w:val="22"/>
        </w:rPr>
        <w:t xml:space="preserve">: Power for the Secretary of State to determine the maximum amount of loan </w:t>
      </w:r>
      <w:r w:rsidR="00FC6A7E">
        <w:rPr>
          <w:b/>
          <w:i/>
          <w:sz w:val="22"/>
          <w:szCs w:val="22"/>
        </w:rPr>
        <w:t xml:space="preserve">and make regulations designating higher education courses </w:t>
      </w:r>
      <w:r w:rsidR="00FC6A7E" w:rsidRPr="008D3825">
        <w:rPr>
          <w:b/>
          <w:i/>
          <w:sz w:val="22"/>
          <w:szCs w:val="22"/>
        </w:rPr>
        <w:t>(amending section 22 of the Teaching and Higher Education Act 1998)</w:t>
      </w:r>
    </w:p>
    <w:p w:rsidR="00FC6A7E" w:rsidRPr="008D3825" w:rsidRDefault="00FC6A7E" w:rsidP="00FC6A7E">
      <w:pPr>
        <w:spacing w:before="100" w:beforeAutospacing="1" w:after="100" w:afterAutospacing="1"/>
        <w:jc w:val="both"/>
        <w:rPr>
          <w:i/>
          <w:sz w:val="22"/>
          <w:szCs w:val="22"/>
        </w:rPr>
      </w:pPr>
      <w:r w:rsidRPr="008D3825">
        <w:rPr>
          <w:i/>
          <w:sz w:val="22"/>
          <w:szCs w:val="22"/>
        </w:rPr>
        <w:t>Power conferred on: Secretary of State</w:t>
      </w:r>
    </w:p>
    <w:p w:rsidR="00FC6A7E" w:rsidRPr="008D3825" w:rsidRDefault="00FC6A7E" w:rsidP="00FC6A7E">
      <w:pPr>
        <w:spacing w:before="100" w:beforeAutospacing="1" w:after="100" w:afterAutospacing="1"/>
        <w:jc w:val="both"/>
        <w:rPr>
          <w:i/>
          <w:sz w:val="22"/>
          <w:szCs w:val="22"/>
        </w:rPr>
      </w:pPr>
      <w:r w:rsidRPr="008D3825">
        <w:rPr>
          <w:i/>
          <w:sz w:val="22"/>
          <w:szCs w:val="22"/>
        </w:rPr>
        <w:t>Power exercisable by: Regulations made by Statutory Instrument</w:t>
      </w:r>
    </w:p>
    <w:p w:rsidR="00FC6A7E" w:rsidRPr="008D3825" w:rsidRDefault="00FC6A7E" w:rsidP="00FC6A7E">
      <w:pPr>
        <w:spacing w:before="100" w:beforeAutospacing="1" w:after="100" w:afterAutospacing="1"/>
        <w:jc w:val="both"/>
        <w:rPr>
          <w:i/>
          <w:sz w:val="22"/>
          <w:szCs w:val="22"/>
        </w:rPr>
      </w:pPr>
      <w:r w:rsidRPr="008D3825">
        <w:rPr>
          <w:i/>
          <w:sz w:val="22"/>
          <w:szCs w:val="22"/>
        </w:rPr>
        <w:t>Parliamentary procedure: Negative resolution</w:t>
      </w:r>
    </w:p>
    <w:p w:rsidR="00FC6A7E" w:rsidRPr="008D3825" w:rsidRDefault="00FC6A7E" w:rsidP="00FC6A7E">
      <w:pPr>
        <w:spacing w:before="100" w:beforeAutospacing="1" w:after="100" w:afterAutospacing="1"/>
        <w:jc w:val="both"/>
        <w:rPr>
          <w:sz w:val="22"/>
          <w:szCs w:val="22"/>
          <w:u w:val="single"/>
        </w:rPr>
      </w:pPr>
      <w:r w:rsidRPr="008D3825">
        <w:rPr>
          <w:sz w:val="22"/>
          <w:szCs w:val="22"/>
          <w:u w:val="single"/>
        </w:rPr>
        <w:t>Context and purpose</w:t>
      </w:r>
    </w:p>
    <w:p w:rsidR="00995444" w:rsidRDefault="00CE6852" w:rsidP="00FC6A7E">
      <w:pPr>
        <w:pStyle w:val="ListParagraph"/>
        <w:numPr>
          <w:ilvl w:val="0"/>
          <w:numId w:val="1"/>
        </w:numPr>
        <w:spacing w:before="100" w:beforeAutospacing="1" w:after="100" w:afterAutospacing="1"/>
        <w:jc w:val="both"/>
        <w:rPr>
          <w:sz w:val="22"/>
          <w:szCs w:val="22"/>
        </w:rPr>
      </w:pPr>
      <w:r>
        <w:rPr>
          <w:sz w:val="22"/>
          <w:szCs w:val="22"/>
        </w:rPr>
        <w:t xml:space="preserve">Section </w:t>
      </w:r>
      <w:r w:rsidR="007E2EDE">
        <w:rPr>
          <w:sz w:val="22"/>
          <w:szCs w:val="22"/>
        </w:rPr>
        <w:t xml:space="preserve">22 </w:t>
      </w:r>
      <w:r>
        <w:rPr>
          <w:sz w:val="22"/>
          <w:szCs w:val="22"/>
        </w:rPr>
        <w:t>of the Teaching and Higher Education Act 1998 (“</w:t>
      </w:r>
      <w:r>
        <w:rPr>
          <w:b/>
          <w:sz w:val="22"/>
          <w:szCs w:val="22"/>
        </w:rPr>
        <w:t>THEA 1998</w:t>
      </w:r>
      <w:r>
        <w:rPr>
          <w:sz w:val="22"/>
          <w:szCs w:val="22"/>
        </w:rPr>
        <w:t xml:space="preserve">”) enables the Secretary of State to offer student loans and grants. </w:t>
      </w:r>
      <w:r w:rsidR="00FC6A7E" w:rsidRPr="008D3825">
        <w:rPr>
          <w:sz w:val="22"/>
          <w:szCs w:val="22"/>
        </w:rPr>
        <w:t xml:space="preserve">Clause </w:t>
      </w:r>
      <w:r w:rsidR="00FC6A7E">
        <w:rPr>
          <w:sz w:val="22"/>
          <w:szCs w:val="22"/>
        </w:rPr>
        <w:t>82</w:t>
      </w:r>
      <w:r w:rsidR="00FC6A7E" w:rsidRPr="008D3825">
        <w:rPr>
          <w:sz w:val="22"/>
          <w:szCs w:val="22"/>
        </w:rPr>
        <w:t xml:space="preserve"> amends section 22 </w:t>
      </w:r>
      <w:r>
        <w:rPr>
          <w:sz w:val="22"/>
          <w:szCs w:val="22"/>
        </w:rPr>
        <w:t xml:space="preserve">of the THEA 1998 </w:t>
      </w:r>
      <w:r w:rsidR="00FC6A7E" w:rsidRPr="008D3825">
        <w:rPr>
          <w:sz w:val="22"/>
          <w:szCs w:val="22"/>
        </w:rPr>
        <w:t>by adding subsection</w:t>
      </w:r>
      <w:r>
        <w:rPr>
          <w:sz w:val="22"/>
          <w:szCs w:val="22"/>
        </w:rPr>
        <w:t>s</w:t>
      </w:r>
      <w:r w:rsidR="00FC6A7E" w:rsidRPr="008D3825">
        <w:rPr>
          <w:sz w:val="22"/>
          <w:szCs w:val="22"/>
        </w:rPr>
        <w:t xml:space="preserve"> (2A)</w:t>
      </w:r>
      <w:r>
        <w:rPr>
          <w:sz w:val="22"/>
          <w:szCs w:val="22"/>
        </w:rPr>
        <w:t xml:space="preserve"> and (2</w:t>
      </w:r>
      <w:proofErr w:type="gramStart"/>
      <w:r>
        <w:rPr>
          <w:sz w:val="22"/>
          <w:szCs w:val="22"/>
        </w:rPr>
        <w:t>)(</w:t>
      </w:r>
      <w:proofErr w:type="gramEnd"/>
      <w:r>
        <w:rPr>
          <w:sz w:val="22"/>
          <w:szCs w:val="22"/>
        </w:rPr>
        <w:t xml:space="preserve">aa). </w:t>
      </w:r>
      <w:r w:rsidR="00995444">
        <w:rPr>
          <w:sz w:val="22"/>
          <w:szCs w:val="22"/>
        </w:rPr>
        <w:t xml:space="preserve">Subsection (2A) will </w:t>
      </w:r>
      <w:r w:rsidR="00995444" w:rsidRPr="008D3825">
        <w:rPr>
          <w:sz w:val="22"/>
          <w:szCs w:val="22"/>
        </w:rPr>
        <w:t>enable the Secretary of State</w:t>
      </w:r>
      <w:r w:rsidR="00995444">
        <w:rPr>
          <w:sz w:val="22"/>
          <w:szCs w:val="22"/>
        </w:rPr>
        <w:t>,</w:t>
      </w:r>
      <w:r w:rsidR="00995444" w:rsidRPr="008D3825">
        <w:rPr>
          <w:sz w:val="22"/>
          <w:szCs w:val="22"/>
        </w:rPr>
        <w:t xml:space="preserve"> when making regulations </w:t>
      </w:r>
      <w:r w:rsidR="00995444">
        <w:rPr>
          <w:sz w:val="22"/>
          <w:szCs w:val="22"/>
        </w:rPr>
        <w:t xml:space="preserve">prescribing the maximum loan or loan amounts </w:t>
      </w:r>
      <w:r w:rsidR="00995444" w:rsidRPr="008D3825">
        <w:rPr>
          <w:sz w:val="22"/>
          <w:szCs w:val="22"/>
        </w:rPr>
        <w:t xml:space="preserve">under subsection (2)(b) in relation to England, </w:t>
      </w:r>
      <w:r w:rsidR="00995444">
        <w:rPr>
          <w:sz w:val="22"/>
          <w:szCs w:val="22"/>
        </w:rPr>
        <w:t xml:space="preserve">and the Welsh Ministers when making such regulations in relation to Wales, </w:t>
      </w:r>
      <w:r w:rsidR="00995444" w:rsidRPr="008D3825">
        <w:rPr>
          <w:sz w:val="22"/>
          <w:szCs w:val="22"/>
        </w:rPr>
        <w:t>to make provision by reference to matters determined or published by the Secretary of State or other persons</w:t>
      </w:r>
      <w:r w:rsidR="00995444">
        <w:rPr>
          <w:sz w:val="22"/>
          <w:szCs w:val="22"/>
        </w:rPr>
        <w:t xml:space="preserve">. Similarly, subsection </w:t>
      </w:r>
      <w:r w:rsidR="007E2EDE">
        <w:rPr>
          <w:sz w:val="22"/>
          <w:szCs w:val="22"/>
        </w:rPr>
        <w:t>(</w:t>
      </w:r>
      <w:r w:rsidR="00995444">
        <w:rPr>
          <w:sz w:val="22"/>
          <w:szCs w:val="22"/>
        </w:rPr>
        <w:t>2</w:t>
      </w:r>
      <w:r w:rsidR="007E2EDE">
        <w:rPr>
          <w:sz w:val="22"/>
          <w:szCs w:val="22"/>
        </w:rPr>
        <w:t>)</w:t>
      </w:r>
      <w:r w:rsidR="00995444">
        <w:rPr>
          <w:sz w:val="22"/>
          <w:szCs w:val="22"/>
        </w:rPr>
        <w:t xml:space="preserve">(aa) will enable </w:t>
      </w:r>
      <w:r w:rsidR="00995444" w:rsidRPr="00CE6852">
        <w:rPr>
          <w:sz w:val="22"/>
          <w:szCs w:val="22"/>
        </w:rPr>
        <w:t xml:space="preserve">the Secretary of State, when making regulations under subsection (1) in respect of higher education courses, to make provision designating courses by reference to matters determined or published by the </w:t>
      </w:r>
      <w:proofErr w:type="spellStart"/>
      <w:r w:rsidR="00995444" w:rsidRPr="00CE6852">
        <w:rPr>
          <w:sz w:val="22"/>
          <w:szCs w:val="22"/>
        </w:rPr>
        <w:t>OfS</w:t>
      </w:r>
      <w:proofErr w:type="spellEnd"/>
      <w:r w:rsidR="00995444" w:rsidRPr="00CE6852">
        <w:rPr>
          <w:sz w:val="22"/>
          <w:szCs w:val="22"/>
        </w:rPr>
        <w:t xml:space="preserve"> or other persons</w:t>
      </w:r>
      <w:r w:rsidR="00995444">
        <w:rPr>
          <w:sz w:val="22"/>
          <w:szCs w:val="22"/>
        </w:rPr>
        <w:t>.</w:t>
      </w:r>
    </w:p>
    <w:p w:rsidR="008E1F15" w:rsidRDefault="008E1F15" w:rsidP="008E1F15">
      <w:pPr>
        <w:pStyle w:val="ListParagraph"/>
        <w:spacing w:before="100" w:beforeAutospacing="1" w:after="100" w:afterAutospacing="1"/>
        <w:ind w:left="510"/>
        <w:jc w:val="both"/>
        <w:rPr>
          <w:sz w:val="22"/>
          <w:szCs w:val="22"/>
        </w:rPr>
      </w:pPr>
    </w:p>
    <w:p w:rsidR="008E1F15" w:rsidRDefault="008E1F15" w:rsidP="00FC6A7E">
      <w:pPr>
        <w:pStyle w:val="ListParagraph"/>
        <w:numPr>
          <w:ilvl w:val="0"/>
          <w:numId w:val="1"/>
        </w:numPr>
        <w:spacing w:before="100" w:beforeAutospacing="1" w:after="100" w:afterAutospacing="1"/>
        <w:jc w:val="both"/>
        <w:rPr>
          <w:sz w:val="22"/>
          <w:szCs w:val="22"/>
        </w:rPr>
      </w:pPr>
      <w:r>
        <w:rPr>
          <w:sz w:val="22"/>
          <w:szCs w:val="22"/>
        </w:rPr>
        <w:t xml:space="preserve">The purpose of these provisions is to enable the relevant regulations to refer to the new regulatory regime created by the Bill. So, in relation to the maximum loan or loan amounts, we anticipate that the regulations may need to refer to matters such as the list published by the </w:t>
      </w:r>
      <w:proofErr w:type="spellStart"/>
      <w:r>
        <w:rPr>
          <w:sz w:val="22"/>
          <w:szCs w:val="22"/>
        </w:rPr>
        <w:t>OfS</w:t>
      </w:r>
      <w:proofErr w:type="spellEnd"/>
      <w:r>
        <w:rPr>
          <w:sz w:val="22"/>
          <w:szCs w:val="22"/>
        </w:rPr>
        <w:t xml:space="preserve"> under clause 11 (Duty to publish a list regarding the fee limit condition) and the sub-level amounts determined by the Secretary of State under Schedule 2 (The fee limit); and, in relation to regulations providing for the designation of higher education courses, we anticipate that they may </w:t>
      </w:r>
      <w:r w:rsidRPr="006D71DB">
        <w:rPr>
          <w:sz w:val="22"/>
          <w:szCs w:val="22"/>
        </w:rPr>
        <w:t xml:space="preserve">refer to matters such as the different parts of the </w:t>
      </w:r>
      <w:proofErr w:type="spellStart"/>
      <w:r w:rsidRPr="006D71DB">
        <w:rPr>
          <w:sz w:val="22"/>
          <w:szCs w:val="22"/>
        </w:rPr>
        <w:t>OfS</w:t>
      </w:r>
      <w:proofErr w:type="spellEnd"/>
      <w:r w:rsidRPr="006D71DB">
        <w:rPr>
          <w:sz w:val="22"/>
          <w:szCs w:val="22"/>
        </w:rPr>
        <w:t xml:space="preserve"> register, and information published by </w:t>
      </w:r>
      <w:r w:rsidRPr="006D71DB">
        <w:rPr>
          <w:sz w:val="22"/>
          <w:szCs w:val="22"/>
        </w:rPr>
        <w:lastRenderedPageBreak/>
        <w:t xml:space="preserve">the </w:t>
      </w:r>
      <w:proofErr w:type="spellStart"/>
      <w:r w:rsidRPr="006D71DB">
        <w:rPr>
          <w:sz w:val="22"/>
          <w:szCs w:val="22"/>
        </w:rPr>
        <w:t>OfS</w:t>
      </w:r>
      <w:proofErr w:type="spellEnd"/>
      <w:r>
        <w:rPr>
          <w:sz w:val="22"/>
          <w:szCs w:val="22"/>
        </w:rPr>
        <w:t xml:space="preserve"> which could be relevant to designation</w:t>
      </w:r>
      <w:r w:rsidRPr="006D71DB">
        <w:rPr>
          <w:sz w:val="22"/>
          <w:szCs w:val="22"/>
        </w:rPr>
        <w:t xml:space="preserve">, for example, information relating to providers’ suspension or deregistration from the register under clauses 16 (Suspension of registration) or 18 (Deregistration by the </w:t>
      </w:r>
      <w:proofErr w:type="spellStart"/>
      <w:r w:rsidRPr="006D71DB">
        <w:rPr>
          <w:sz w:val="22"/>
          <w:szCs w:val="22"/>
        </w:rPr>
        <w:t>OfS</w:t>
      </w:r>
      <w:proofErr w:type="spellEnd"/>
      <w:r w:rsidRPr="006D71DB">
        <w:rPr>
          <w:sz w:val="22"/>
          <w:szCs w:val="22"/>
        </w:rPr>
        <w:t xml:space="preserve">). </w:t>
      </w:r>
      <w:r>
        <w:rPr>
          <w:sz w:val="22"/>
          <w:szCs w:val="22"/>
        </w:rPr>
        <w:t xml:space="preserve"> </w:t>
      </w:r>
    </w:p>
    <w:p w:rsidR="00995444" w:rsidRDefault="00995444" w:rsidP="00995444">
      <w:pPr>
        <w:pStyle w:val="ListParagraph"/>
        <w:spacing w:before="100" w:beforeAutospacing="1" w:after="100" w:afterAutospacing="1"/>
        <w:ind w:left="510"/>
        <w:jc w:val="both"/>
        <w:rPr>
          <w:sz w:val="22"/>
          <w:szCs w:val="22"/>
        </w:rPr>
      </w:pPr>
    </w:p>
    <w:p w:rsidR="00C72648" w:rsidRPr="00FC6891" w:rsidRDefault="00995444" w:rsidP="00FC6891">
      <w:pPr>
        <w:pStyle w:val="ListParagraph"/>
        <w:numPr>
          <w:ilvl w:val="0"/>
          <w:numId w:val="1"/>
        </w:numPr>
        <w:spacing w:before="100" w:beforeAutospacing="1" w:after="100" w:afterAutospacing="1"/>
        <w:jc w:val="both"/>
        <w:rPr>
          <w:sz w:val="22"/>
          <w:szCs w:val="22"/>
        </w:rPr>
      </w:pPr>
      <w:r>
        <w:rPr>
          <w:sz w:val="22"/>
          <w:szCs w:val="22"/>
        </w:rPr>
        <w:t>The Government has tabled amendments</w:t>
      </w:r>
      <w:r w:rsidR="007E2EDE">
        <w:rPr>
          <w:sz w:val="22"/>
          <w:szCs w:val="22"/>
        </w:rPr>
        <w:t xml:space="preserve"> relating</w:t>
      </w:r>
      <w:r>
        <w:rPr>
          <w:sz w:val="22"/>
          <w:szCs w:val="22"/>
        </w:rPr>
        <w:t xml:space="preserve"> to these subsections to make it clear that the matters determined or published by the Secretary of State, </w:t>
      </w:r>
      <w:proofErr w:type="spellStart"/>
      <w:r>
        <w:rPr>
          <w:sz w:val="22"/>
          <w:szCs w:val="22"/>
        </w:rPr>
        <w:t>OfS</w:t>
      </w:r>
      <w:proofErr w:type="spellEnd"/>
      <w:r>
        <w:rPr>
          <w:sz w:val="22"/>
          <w:szCs w:val="22"/>
        </w:rPr>
        <w:t xml:space="preserve"> or other persons, as applicable, </w:t>
      </w:r>
      <w:r w:rsidR="00C72648">
        <w:rPr>
          <w:sz w:val="22"/>
          <w:szCs w:val="22"/>
        </w:rPr>
        <w:t xml:space="preserve">may arise before or after the relevant regulations are made. </w:t>
      </w:r>
      <w:r w:rsidR="00FC6891">
        <w:rPr>
          <w:sz w:val="22"/>
          <w:szCs w:val="22"/>
        </w:rPr>
        <w:t>This is i</w:t>
      </w:r>
      <w:r w:rsidR="00FC6891" w:rsidRPr="00C91521">
        <w:rPr>
          <w:sz w:val="22"/>
          <w:szCs w:val="22"/>
        </w:rPr>
        <w:t xml:space="preserve">ntended to ensure that the regulations accurately capture the content of the referenced material at the relevant time, rather than at the time the regulations were made. </w:t>
      </w:r>
    </w:p>
    <w:p w:rsidR="00FC6A7E" w:rsidRPr="00C72648" w:rsidRDefault="00FC6A7E" w:rsidP="00C72648">
      <w:pPr>
        <w:spacing w:before="100" w:beforeAutospacing="1" w:after="100" w:afterAutospacing="1"/>
        <w:jc w:val="both"/>
        <w:rPr>
          <w:sz w:val="22"/>
          <w:szCs w:val="22"/>
        </w:rPr>
      </w:pPr>
      <w:r w:rsidRPr="00C72648">
        <w:rPr>
          <w:sz w:val="22"/>
          <w:szCs w:val="22"/>
          <w:u w:val="single"/>
        </w:rPr>
        <w:t>Justification for delegation</w:t>
      </w:r>
    </w:p>
    <w:p w:rsidR="003B567B" w:rsidRDefault="00FC6A7E" w:rsidP="003B567B">
      <w:pPr>
        <w:pStyle w:val="ListParagraph"/>
        <w:numPr>
          <w:ilvl w:val="0"/>
          <w:numId w:val="1"/>
        </w:numPr>
        <w:spacing w:before="100" w:beforeAutospacing="1" w:after="100" w:afterAutospacing="1"/>
        <w:jc w:val="both"/>
        <w:rPr>
          <w:sz w:val="22"/>
          <w:szCs w:val="22"/>
        </w:rPr>
      </w:pPr>
      <w:r w:rsidRPr="007156F3">
        <w:rPr>
          <w:sz w:val="22"/>
          <w:szCs w:val="22"/>
        </w:rPr>
        <w:t xml:space="preserve">As </w:t>
      </w:r>
      <w:r w:rsidR="00C72648" w:rsidRPr="007156F3">
        <w:rPr>
          <w:sz w:val="22"/>
          <w:szCs w:val="22"/>
        </w:rPr>
        <w:t>set out in the previous Memorandum</w:t>
      </w:r>
      <w:r w:rsidRPr="007156F3">
        <w:rPr>
          <w:sz w:val="22"/>
          <w:szCs w:val="22"/>
        </w:rPr>
        <w:t>, student loans and grants are currently operated through secondary legislation made under section 22 of the THEA 1998</w:t>
      </w:r>
      <w:r w:rsidR="00C72648" w:rsidRPr="007156F3">
        <w:rPr>
          <w:sz w:val="22"/>
          <w:szCs w:val="22"/>
        </w:rPr>
        <w:t>, and it</w:t>
      </w:r>
      <w:r w:rsidRPr="007156F3">
        <w:rPr>
          <w:sz w:val="22"/>
          <w:szCs w:val="22"/>
        </w:rPr>
        <w:t xml:space="preserve"> is not considered practical, given that these amounts can change from year to year, for them to be included in primary legislation.</w:t>
      </w:r>
      <w:r w:rsidR="003B567B" w:rsidRPr="007156F3">
        <w:rPr>
          <w:sz w:val="22"/>
          <w:szCs w:val="22"/>
        </w:rPr>
        <w:t xml:space="preserve"> If the Department was </w:t>
      </w:r>
      <w:r w:rsidRPr="007156F3">
        <w:rPr>
          <w:sz w:val="22"/>
          <w:szCs w:val="22"/>
        </w:rPr>
        <w:t xml:space="preserve">unable to make these changes through delegated legislation, it would restrict its ability to set the levels of loans available to students in accordance with the tuition fee limits under clause 10 (Mandatory fee limit condition for certain providers). </w:t>
      </w:r>
      <w:r w:rsidR="00E115B6">
        <w:rPr>
          <w:sz w:val="22"/>
          <w:szCs w:val="22"/>
        </w:rPr>
        <w:t>In a similar vein</w:t>
      </w:r>
      <w:r w:rsidR="00FC6891">
        <w:rPr>
          <w:sz w:val="22"/>
          <w:szCs w:val="22"/>
        </w:rPr>
        <w:t xml:space="preserve">, new </w:t>
      </w:r>
      <w:r w:rsidR="007156F3">
        <w:rPr>
          <w:sz w:val="22"/>
          <w:szCs w:val="22"/>
        </w:rPr>
        <w:t>subsection (2</w:t>
      </w:r>
      <w:proofErr w:type="gramStart"/>
      <w:r w:rsidR="007156F3">
        <w:rPr>
          <w:sz w:val="22"/>
          <w:szCs w:val="22"/>
        </w:rPr>
        <w:t>)(</w:t>
      </w:r>
      <w:proofErr w:type="gramEnd"/>
      <w:r w:rsidR="007156F3">
        <w:rPr>
          <w:sz w:val="22"/>
          <w:szCs w:val="22"/>
        </w:rPr>
        <w:t>aa)</w:t>
      </w:r>
      <w:r w:rsidR="00FC6891">
        <w:rPr>
          <w:sz w:val="22"/>
          <w:szCs w:val="22"/>
        </w:rPr>
        <w:t xml:space="preserve"> of THEA 1998</w:t>
      </w:r>
      <w:r w:rsidR="007156F3">
        <w:rPr>
          <w:sz w:val="22"/>
          <w:szCs w:val="22"/>
        </w:rPr>
        <w:t xml:space="preserve"> is intended to enable </w:t>
      </w:r>
      <w:r w:rsidR="007156F3" w:rsidRPr="007156F3">
        <w:rPr>
          <w:sz w:val="22"/>
          <w:szCs w:val="22"/>
        </w:rPr>
        <w:t xml:space="preserve">the Government to </w:t>
      </w:r>
      <w:r w:rsidR="007156F3">
        <w:rPr>
          <w:sz w:val="22"/>
          <w:szCs w:val="22"/>
        </w:rPr>
        <w:t>connect</w:t>
      </w:r>
      <w:r w:rsidR="00424A67" w:rsidRPr="007156F3">
        <w:rPr>
          <w:sz w:val="22"/>
          <w:szCs w:val="22"/>
        </w:rPr>
        <w:t xml:space="preserve"> </w:t>
      </w:r>
      <w:r w:rsidR="007156F3">
        <w:rPr>
          <w:sz w:val="22"/>
          <w:szCs w:val="22"/>
        </w:rPr>
        <w:t xml:space="preserve">the </w:t>
      </w:r>
      <w:r w:rsidR="00424A67" w:rsidRPr="007156F3">
        <w:rPr>
          <w:sz w:val="22"/>
          <w:szCs w:val="22"/>
        </w:rPr>
        <w:t xml:space="preserve">designation </w:t>
      </w:r>
      <w:r w:rsidR="007156F3" w:rsidRPr="007156F3">
        <w:rPr>
          <w:sz w:val="22"/>
          <w:szCs w:val="22"/>
        </w:rPr>
        <w:t xml:space="preserve">of courses </w:t>
      </w:r>
      <w:r w:rsidR="007156F3">
        <w:rPr>
          <w:sz w:val="22"/>
          <w:szCs w:val="22"/>
        </w:rPr>
        <w:t>with</w:t>
      </w:r>
      <w:r w:rsidR="00424A67" w:rsidRPr="007156F3">
        <w:rPr>
          <w:sz w:val="22"/>
          <w:szCs w:val="22"/>
        </w:rPr>
        <w:t xml:space="preserve"> decisions of the </w:t>
      </w:r>
      <w:proofErr w:type="spellStart"/>
      <w:r w:rsidR="00424A67" w:rsidRPr="007156F3">
        <w:rPr>
          <w:sz w:val="22"/>
          <w:szCs w:val="22"/>
        </w:rPr>
        <w:t>OfS</w:t>
      </w:r>
      <w:proofErr w:type="spellEnd"/>
      <w:r w:rsidR="00424A67" w:rsidRPr="007156F3">
        <w:rPr>
          <w:sz w:val="22"/>
          <w:szCs w:val="22"/>
        </w:rPr>
        <w:t xml:space="preserve">, including decisions relating to suspension or deregistration. </w:t>
      </w:r>
    </w:p>
    <w:p w:rsidR="00FC6891" w:rsidRDefault="00FC6891" w:rsidP="00FC6891">
      <w:pPr>
        <w:pStyle w:val="ListParagraph"/>
        <w:spacing w:before="100" w:beforeAutospacing="1" w:after="100" w:afterAutospacing="1"/>
        <w:ind w:left="510"/>
        <w:jc w:val="both"/>
        <w:rPr>
          <w:sz w:val="22"/>
          <w:szCs w:val="22"/>
        </w:rPr>
      </w:pPr>
    </w:p>
    <w:p w:rsidR="00FC6891" w:rsidRDefault="003B567B" w:rsidP="00FC6891">
      <w:pPr>
        <w:pStyle w:val="ListParagraph"/>
        <w:numPr>
          <w:ilvl w:val="0"/>
          <w:numId w:val="1"/>
        </w:numPr>
        <w:spacing w:before="100" w:beforeAutospacing="1" w:after="100" w:afterAutospacing="1"/>
        <w:jc w:val="both"/>
        <w:rPr>
          <w:sz w:val="22"/>
          <w:szCs w:val="22"/>
        </w:rPr>
      </w:pPr>
      <w:r w:rsidRPr="00FC6891">
        <w:rPr>
          <w:sz w:val="22"/>
          <w:szCs w:val="22"/>
        </w:rPr>
        <w:t xml:space="preserve">Pursuant to the Government amendments </w:t>
      </w:r>
      <w:r w:rsidR="007156F3" w:rsidRPr="00FC6891">
        <w:rPr>
          <w:sz w:val="22"/>
          <w:szCs w:val="22"/>
        </w:rPr>
        <w:t xml:space="preserve">to </w:t>
      </w:r>
      <w:r w:rsidR="00E115B6">
        <w:rPr>
          <w:sz w:val="22"/>
          <w:szCs w:val="22"/>
        </w:rPr>
        <w:t>clause 82</w:t>
      </w:r>
      <w:r w:rsidR="007156F3" w:rsidRPr="00FC6891">
        <w:rPr>
          <w:sz w:val="22"/>
          <w:szCs w:val="22"/>
        </w:rPr>
        <w:t xml:space="preserve"> </w:t>
      </w:r>
      <w:r w:rsidRPr="00FC6891">
        <w:rPr>
          <w:sz w:val="22"/>
          <w:szCs w:val="22"/>
        </w:rPr>
        <w:t xml:space="preserve">described above, references </w:t>
      </w:r>
      <w:r w:rsidR="007156F3" w:rsidRPr="00FC6891">
        <w:rPr>
          <w:sz w:val="22"/>
          <w:szCs w:val="22"/>
        </w:rPr>
        <w:t xml:space="preserve">in the regulations </w:t>
      </w:r>
      <w:r w:rsidRPr="00FC6891">
        <w:rPr>
          <w:sz w:val="22"/>
          <w:szCs w:val="22"/>
        </w:rPr>
        <w:t xml:space="preserve">may relate </w:t>
      </w:r>
      <w:r w:rsidR="00FC6A7E" w:rsidRPr="00FC6891">
        <w:rPr>
          <w:sz w:val="22"/>
          <w:szCs w:val="22"/>
        </w:rPr>
        <w:t>to m</w:t>
      </w:r>
      <w:r w:rsidR="00FC6891">
        <w:rPr>
          <w:sz w:val="22"/>
          <w:szCs w:val="22"/>
        </w:rPr>
        <w:t xml:space="preserve">atters determined or published </w:t>
      </w:r>
      <w:r w:rsidR="00FC6A7E" w:rsidRPr="00FC6891">
        <w:rPr>
          <w:sz w:val="22"/>
          <w:szCs w:val="22"/>
        </w:rPr>
        <w:t>by the Secretary of State</w:t>
      </w:r>
      <w:r w:rsidRPr="00FC6891">
        <w:rPr>
          <w:sz w:val="22"/>
          <w:szCs w:val="22"/>
        </w:rPr>
        <w:t xml:space="preserve">, </w:t>
      </w:r>
      <w:proofErr w:type="spellStart"/>
      <w:r w:rsidRPr="00FC6891">
        <w:rPr>
          <w:sz w:val="22"/>
          <w:szCs w:val="22"/>
        </w:rPr>
        <w:t>OfS</w:t>
      </w:r>
      <w:proofErr w:type="spellEnd"/>
      <w:r w:rsidR="00FC6A7E" w:rsidRPr="00FC6891">
        <w:rPr>
          <w:sz w:val="22"/>
          <w:szCs w:val="22"/>
        </w:rPr>
        <w:t xml:space="preserve"> or other persons</w:t>
      </w:r>
      <w:r w:rsidRPr="00FC6891">
        <w:rPr>
          <w:sz w:val="22"/>
          <w:szCs w:val="22"/>
        </w:rPr>
        <w:t>, as applicable</w:t>
      </w:r>
      <w:r w:rsidR="00FC6891">
        <w:rPr>
          <w:sz w:val="22"/>
          <w:szCs w:val="22"/>
        </w:rPr>
        <w:t xml:space="preserve">, </w:t>
      </w:r>
      <w:r w:rsidR="00FC6A7E" w:rsidRPr="00FC6891">
        <w:rPr>
          <w:sz w:val="22"/>
          <w:szCs w:val="22"/>
        </w:rPr>
        <w:t>after the regulations are made</w:t>
      </w:r>
      <w:r w:rsidRPr="00FC6891">
        <w:rPr>
          <w:sz w:val="22"/>
          <w:szCs w:val="22"/>
        </w:rPr>
        <w:t xml:space="preserve">. </w:t>
      </w:r>
      <w:r w:rsidR="00FC6891">
        <w:rPr>
          <w:sz w:val="22"/>
          <w:szCs w:val="22"/>
        </w:rPr>
        <w:t xml:space="preserve">This is to ensure that the regulations will be taken to refer to the most recent version of the referenced </w:t>
      </w:r>
      <w:r w:rsidR="004A33EF">
        <w:rPr>
          <w:sz w:val="22"/>
          <w:szCs w:val="22"/>
        </w:rPr>
        <w:t>material, rather than the material as it stood when the regulations were made.</w:t>
      </w:r>
    </w:p>
    <w:p w:rsidR="00FC6891" w:rsidRPr="00FC6891" w:rsidRDefault="00FC6891" w:rsidP="00FC6891">
      <w:pPr>
        <w:pStyle w:val="ListParagraph"/>
        <w:rPr>
          <w:sz w:val="22"/>
          <w:szCs w:val="22"/>
        </w:rPr>
      </w:pPr>
    </w:p>
    <w:p w:rsidR="003B567B" w:rsidRPr="00FC6891" w:rsidRDefault="00E115B6" w:rsidP="00FC6891">
      <w:pPr>
        <w:pStyle w:val="ListParagraph"/>
        <w:numPr>
          <w:ilvl w:val="0"/>
          <w:numId w:val="1"/>
        </w:numPr>
        <w:spacing w:before="100" w:beforeAutospacing="1" w:after="100" w:afterAutospacing="1"/>
        <w:jc w:val="both"/>
        <w:rPr>
          <w:sz w:val="22"/>
          <w:szCs w:val="22"/>
        </w:rPr>
      </w:pPr>
      <w:r>
        <w:rPr>
          <w:sz w:val="22"/>
          <w:szCs w:val="22"/>
        </w:rPr>
        <w:t>By way of</w:t>
      </w:r>
      <w:r w:rsidR="00C53C4F">
        <w:rPr>
          <w:sz w:val="22"/>
          <w:szCs w:val="22"/>
        </w:rPr>
        <w:t xml:space="preserve"> example, in</w:t>
      </w:r>
      <w:r w:rsidR="00C91521" w:rsidRPr="00FC6891">
        <w:rPr>
          <w:sz w:val="22"/>
          <w:szCs w:val="22"/>
        </w:rPr>
        <w:t xml:space="preserve"> relation to regulations setting the maximum amount of loan, </w:t>
      </w:r>
      <w:r w:rsidR="00C53C4F">
        <w:rPr>
          <w:sz w:val="22"/>
          <w:szCs w:val="22"/>
        </w:rPr>
        <w:t xml:space="preserve">if </w:t>
      </w:r>
      <w:r w:rsidR="00FC6A7E" w:rsidRPr="00FC6891">
        <w:rPr>
          <w:sz w:val="22"/>
          <w:szCs w:val="22"/>
        </w:rPr>
        <w:t xml:space="preserve">the fee limit of a provider </w:t>
      </w:r>
      <w:r w:rsidR="004A33EF">
        <w:rPr>
          <w:sz w:val="22"/>
          <w:szCs w:val="22"/>
        </w:rPr>
        <w:t xml:space="preserve">is </w:t>
      </w:r>
      <w:r w:rsidR="00FC6A7E" w:rsidRPr="00FC6891">
        <w:rPr>
          <w:sz w:val="22"/>
          <w:szCs w:val="22"/>
        </w:rPr>
        <w:t>increased after</w:t>
      </w:r>
      <w:r w:rsidR="00C91521" w:rsidRPr="00FC6891">
        <w:rPr>
          <w:sz w:val="22"/>
          <w:szCs w:val="22"/>
        </w:rPr>
        <w:t xml:space="preserve"> the</w:t>
      </w:r>
      <w:r w:rsidR="00FC6A7E" w:rsidRPr="00FC6891">
        <w:rPr>
          <w:sz w:val="22"/>
          <w:szCs w:val="22"/>
        </w:rPr>
        <w:t xml:space="preserve"> regulations </w:t>
      </w:r>
      <w:r w:rsidR="004A33EF">
        <w:rPr>
          <w:sz w:val="22"/>
          <w:szCs w:val="22"/>
        </w:rPr>
        <w:t>are</w:t>
      </w:r>
      <w:r w:rsidR="00FC6A7E" w:rsidRPr="00FC6891">
        <w:rPr>
          <w:sz w:val="22"/>
          <w:szCs w:val="22"/>
        </w:rPr>
        <w:t xml:space="preserve"> made, these </w:t>
      </w:r>
      <w:r w:rsidR="003B567B" w:rsidRPr="00FC6891">
        <w:rPr>
          <w:sz w:val="22"/>
          <w:szCs w:val="22"/>
        </w:rPr>
        <w:t>amendments will</w:t>
      </w:r>
      <w:r w:rsidR="00FC6A7E" w:rsidRPr="00FC6891">
        <w:rPr>
          <w:sz w:val="22"/>
          <w:szCs w:val="22"/>
        </w:rPr>
        <w:t xml:space="preserve"> allow for this increase to be reflected in the </w:t>
      </w:r>
      <w:r w:rsidR="004A33EF">
        <w:rPr>
          <w:sz w:val="22"/>
          <w:szCs w:val="22"/>
        </w:rPr>
        <w:t xml:space="preserve">regulations (and, by extension, in </w:t>
      </w:r>
      <w:r w:rsidR="00C91521" w:rsidRPr="00FC6891">
        <w:rPr>
          <w:sz w:val="22"/>
          <w:szCs w:val="22"/>
        </w:rPr>
        <w:t xml:space="preserve">the </w:t>
      </w:r>
      <w:r w:rsidR="00FC6A7E" w:rsidRPr="00FC6891">
        <w:rPr>
          <w:sz w:val="22"/>
          <w:szCs w:val="22"/>
        </w:rPr>
        <w:t xml:space="preserve">maximum </w:t>
      </w:r>
      <w:r w:rsidR="00C53C4F">
        <w:rPr>
          <w:sz w:val="22"/>
          <w:szCs w:val="22"/>
        </w:rPr>
        <w:t xml:space="preserve">amount of </w:t>
      </w:r>
      <w:r w:rsidR="00FC6A7E" w:rsidRPr="00FC6891">
        <w:rPr>
          <w:sz w:val="22"/>
          <w:szCs w:val="22"/>
        </w:rPr>
        <w:t>loan available to the student</w:t>
      </w:r>
      <w:r w:rsidR="00C91521" w:rsidRPr="00FC6891">
        <w:rPr>
          <w:sz w:val="22"/>
          <w:szCs w:val="22"/>
        </w:rPr>
        <w:t>)</w:t>
      </w:r>
      <w:r>
        <w:rPr>
          <w:sz w:val="22"/>
          <w:szCs w:val="22"/>
        </w:rPr>
        <w:t>; and, i</w:t>
      </w:r>
      <w:r w:rsidR="00C91521" w:rsidRPr="00FC6891">
        <w:rPr>
          <w:sz w:val="22"/>
          <w:szCs w:val="22"/>
        </w:rPr>
        <w:t>n relation to</w:t>
      </w:r>
      <w:r w:rsidR="007156F3" w:rsidRPr="00FC6891">
        <w:rPr>
          <w:sz w:val="22"/>
          <w:szCs w:val="22"/>
        </w:rPr>
        <w:t xml:space="preserve"> regulations providing for the designation of higher education courses</w:t>
      </w:r>
      <w:r w:rsidR="003B567B" w:rsidRPr="00FC6891">
        <w:rPr>
          <w:sz w:val="22"/>
          <w:szCs w:val="22"/>
        </w:rPr>
        <w:t>, if a provider was on the register at the time the regulations were made but has</w:t>
      </w:r>
      <w:r>
        <w:rPr>
          <w:sz w:val="22"/>
          <w:szCs w:val="22"/>
        </w:rPr>
        <w:t xml:space="preserve"> since been de-registered, the</w:t>
      </w:r>
      <w:r w:rsidR="003B567B" w:rsidRPr="00FC6891">
        <w:rPr>
          <w:sz w:val="22"/>
          <w:szCs w:val="22"/>
        </w:rPr>
        <w:t xml:space="preserve"> amendments</w:t>
      </w:r>
      <w:r>
        <w:rPr>
          <w:sz w:val="22"/>
          <w:szCs w:val="22"/>
        </w:rPr>
        <w:t xml:space="preserve"> to clause 82</w:t>
      </w:r>
      <w:r w:rsidR="003B567B" w:rsidRPr="00FC6891">
        <w:rPr>
          <w:sz w:val="22"/>
          <w:szCs w:val="22"/>
        </w:rPr>
        <w:t xml:space="preserve"> </w:t>
      </w:r>
      <w:r w:rsidR="00424A67" w:rsidRPr="00FC6891">
        <w:rPr>
          <w:sz w:val="22"/>
          <w:szCs w:val="22"/>
        </w:rPr>
        <w:t>could</w:t>
      </w:r>
      <w:r w:rsidR="003B567B" w:rsidRPr="00FC6891">
        <w:rPr>
          <w:sz w:val="22"/>
          <w:szCs w:val="22"/>
        </w:rPr>
        <w:t xml:space="preserve"> allow for the provider to not be designated on the basis that </w:t>
      </w:r>
      <w:r>
        <w:rPr>
          <w:sz w:val="22"/>
          <w:szCs w:val="22"/>
        </w:rPr>
        <w:t>it is</w:t>
      </w:r>
      <w:r w:rsidR="003B567B" w:rsidRPr="00FC6891">
        <w:rPr>
          <w:sz w:val="22"/>
          <w:szCs w:val="22"/>
        </w:rPr>
        <w:t xml:space="preserve"> no longer on the register (subject to any transitional provision made).</w:t>
      </w:r>
    </w:p>
    <w:p w:rsidR="00FC6A7E" w:rsidRPr="008D3825" w:rsidRDefault="00FC6A7E" w:rsidP="00FC6A7E">
      <w:pPr>
        <w:spacing w:before="100" w:beforeAutospacing="1" w:after="100" w:afterAutospacing="1"/>
        <w:jc w:val="both"/>
        <w:rPr>
          <w:sz w:val="22"/>
          <w:szCs w:val="22"/>
          <w:u w:val="single"/>
        </w:rPr>
      </w:pPr>
      <w:r w:rsidRPr="008D3825">
        <w:rPr>
          <w:sz w:val="22"/>
          <w:szCs w:val="22"/>
          <w:u w:val="single"/>
        </w:rPr>
        <w:t xml:space="preserve">Justification for procedure selected </w:t>
      </w:r>
    </w:p>
    <w:p w:rsidR="001133D0" w:rsidRPr="00C91521" w:rsidRDefault="00C91521" w:rsidP="00003D47">
      <w:pPr>
        <w:pStyle w:val="ListParagraph"/>
        <w:numPr>
          <w:ilvl w:val="0"/>
          <w:numId w:val="1"/>
        </w:numPr>
        <w:autoSpaceDE w:val="0"/>
        <w:autoSpaceDN w:val="0"/>
        <w:adjustRightInd w:val="0"/>
        <w:spacing w:before="100" w:beforeAutospacing="1" w:after="100" w:afterAutospacing="1"/>
        <w:jc w:val="both"/>
        <w:rPr>
          <w:b/>
          <w:i/>
          <w:sz w:val="22"/>
          <w:szCs w:val="22"/>
        </w:rPr>
      </w:pPr>
      <w:r>
        <w:rPr>
          <w:sz w:val="22"/>
          <w:szCs w:val="22"/>
        </w:rPr>
        <w:t xml:space="preserve">Our reasoning in relation to </w:t>
      </w:r>
      <w:r w:rsidR="00C53C4F">
        <w:rPr>
          <w:sz w:val="22"/>
          <w:szCs w:val="22"/>
        </w:rPr>
        <w:t xml:space="preserve">the procedure that applies to regulations made under </w:t>
      </w:r>
      <w:r>
        <w:rPr>
          <w:sz w:val="22"/>
          <w:szCs w:val="22"/>
        </w:rPr>
        <w:t xml:space="preserve">clause 82 is </w:t>
      </w:r>
      <w:r w:rsidR="00C53C4F">
        <w:rPr>
          <w:sz w:val="22"/>
          <w:szCs w:val="22"/>
        </w:rPr>
        <w:t>the same as that</w:t>
      </w:r>
      <w:r>
        <w:rPr>
          <w:sz w:val="22"/>
          <w:szCs w:val="22"/>
        </w:rPr>
        <w:t xml:space="preserve"> set out in the previous Memorandum. </w:t>
      </w:r>
      <w:r w:rsidR="00FC6A7E" w:rsidRPr="00C91521">
        <w:rPr>
          <w:sz w:val="22"/>
          <w:szCs w:val="22"/>
        </w:rPr>
        <w:t>Parliament determined which parliamentary procedure was appropriate for student support arrangements in 1998, and this is reflected in the THEA 1998. The THEA 1998 already contains flexibility in terms of the procedure, as section 42 provides that the first set of regulations under section 22 must be affirmative while subsequ</w:t>
      </w:r>
      <w:r w:rsidR="00C53C4F">
        <w:rPr>
          <w:sz w:val="22"/>
          <w:szCs w:val="22"/>
        </w:rPr>
        <w:t xml:space="preserve">ent regulations may be negative, </w:t>
      </w:r>
      <w:r w:rsidR="00FC6A7E" w:rsidRPr="00C91521">
        <w:rPr>
          <w:sz w:val="22"/>
          <w:szCs w:val="22"/>
        </w:rPr>
        <w:t>and there is a further option under section 42(5) to use the affirmative procedure for any subsequent set of regulations under section 22. The Department does not consider there are good reasons for applying a different parlia</w:t>
      </w:r>
      <w:r w:rsidR="00C53C4F">
        <w:rPr>
          <w:sz w:val="22"/>
          <w:szCs w:val="22"/>
        </w:rPr>
        <w:t xml:space="preserve">mentary procedure in connection with the </w:t>
      </w:r>
      <w:r w:rsidR="00FC6A7E" w:rsidRPr="00C91521">
        <w:rPr>
          <w:sz w:val="22"/>
          <w:szCs w:val="22"/>
        </w:rPr>
        <w:t>amendment</w:t>
      </w:r>
      <w:r w:rsidR="00C53C4F">
        <w:rPr>
          <w:sz w:val="22"/>
          <w:szCs w:val="22"/>
        </w:rPr>
        <w:t>s described above</w:t>
      </w:r>
      <w:r w:rsidR="00FC6A7E" w:rsidRPr="00C91521">
        <w:rPr>
          <w:sz w:val="22"/>
          <w:szCs w:val="22"/>
        </w:rPr>
        <w:t xml:space="preserve">. </w:t>
      </w:r>
    </w:p>
    <w:p w:rsidR="001133D0" w:rsidRDefault="001133D0" w:rsidP="00003D47">
      <w:pPr>
        <w:jc w:val="both"/>
        <w:rPr>
          <w:rFonts w:eastAsiaTheme="minorHAnsi"/>
          <w:b/>
          <w:color w:val="000000" w:themeColor="text1"/>
          <w:sz w:val="22"/>
          <w:szCs w:val="22"/>
          <w:lang w:eastAsia="en-US"/>
        </w:rPr>
      </w:pPr>
      <w:r>
        <w:rPr>
          <w:rFonts w:eastAsiaTheme="minorHAnsi"/>
          <w:b/>
          <w:color w:val="000000" w:themeColor="text1"/>
          <w:sz w:val="22"/>
          <w:szCs w:val="22"/>
          <w:lang w:eastAsia="en-US"/>
        </w:rPr>
        <w:t>Department for Education</w:t>
      </w:r>
    </w:p>
    <w:p w:rsidR="001133D0" w:rsidRDefault="001133D0" w:rsidP="00003D47">
      <w:pPr>
        <w:jc w:val="both"/>
        <w:rPr>
          <w:rFonts w:eastAsiaTheme="minorHAnsi"/>
          <w:b/>
          <w:color w:val="000000" w:themeColor="text1"/>
          <w:sz w:val="22"/>
          <w:szCs w:val="22"/>
          <w:lang w:eastAsia="en-US"/>
        </w:rPr>
      </w:pPr>
    </w:p>
    <w:p w:rsidR="001133D0" w:rsidRPr="001133D0" w:rsidRDefault="001133D0" w:rsidP="00003D47">
      <w:pPr>
        <w:jc w:val="both"/>
        <w:rPr>
          <w:rFonts w:eastAsiaTheme="minorHAnsi"/>
          <w:b/>
          <w:color w:val="000000" w:themeColor="text1"/>
          <w:sz w:val="22"/>
          <w:szCs w:val="22"/>
          <w:lang w:eastAsia="en-US"/>
        </w:rPr>
      </w:pPr>
      <w:r>
        <w:rPr>
          <w:rFonts w:eastAsiaTheme="minorHAnsi"/>
          <w:b/>
          <w:color w:val="000000" w:themeColor="text1"/>
          <w:sz w:val="22"/>
          <w:szCs w:val="22"/>
          <w:lang w:eastAsia="en-US"/>
        </w:rPr>
        <w:t>January 2017</w:t>
      </w:r>
    </w:p>
    <w:p w:rsidR="0014202E" w:rsidRDefault="001133D0" w:rsidP="00987534">
      <w:pPr>
        <w:jc w:val="center"/>
        <w:rPr>
          <w:b/>
          <w:sz w:val="22"/>
          <w:szCs w:val="22"/>
        </w:rPr>
      </w:pPr>
      <w:r>
        <w:rPr>
          <w:rFonts w:eastAsiaTheme="minorHAnsi"/>
          <w:lang w:eastAsia="en-US"/>
        </w:rPr>
        <w:br w:type="page"/>
      </w:r>
      <w:r w:rsidR="0014202E" w:rsidRPr="00E13322">
        <w:rPr>
          <w:b/>
          <w:sz w:val="22"/>
          <w:szCs w:val="22"/>
        </w:rPr>
        <w:lastRenderedPageBreak/>
        <w:t xml:space="preserve">Annex </w:t>
      </w:r>
      <w:r w:rsidR="00222AB5">
        <w:rPr>
          <w:b/>
          <w:sz w:val="22"/>
          <w:szCs w:val="22"/>
        </w:rPr>
        <w:t>–</w:t>
      </w:r>
      <w:r w:rsidR="0014202E" w:rsidRPr="00E13322">
        <w:rPr>
          <w:b/>
          <w:sz w:val="22"/>
          <w:szCs w:val="22"/>
        </w:rPr>
        <w:t xml:space="preserve"> Amendments</w:t>
      </w:r>
    </w:p>
    <w:p w:rsidR="00222AB5" w:rsidRDefault="00222AB5" w:rsidP="00987534">
      <w:pPr>
        <w:jc w:val="center"/>
        <w:rPr>
          <w:b/>
          <w:sz w:val="22"/>
          <w:szCs w:val="22"/>
        </w:rPr>
      </w:pPr>
    </w:p>
    <w:p w:rsidR="00222AB5" w:rsidRPr="00222AB5" w:rsidRDefault="00222AB5" w:rsidP="00222AB5">
      <w:pPr>
        <w:spacing w:after="200" w:line="276" w:lineRule="auto"/>
        <w:rPr>
          <w:rFonts w:eastAsiaTheme="minorHAnsi"/>
          <w:b/>
          <w:bCs/>
          <w:sz w:val="22"/>
          <w:szCs w:val="22"/>
          <w:lang w:eastAsia="en-US"/>
        </w:rPr>
      </w:pPr>
      <w:r w:rsidRPr="00222AB5">
        <w:rPr>
          <w:rFonts w:eastAsiaTheme="minorHAnsi"/>
          <w:b/>
          <w:bCs/>
          <w:sz w:val="22"/>
          <w:szCs w:val="22"/>
          <w:lang w:eastAsia="en-US"/>
        </w:rPr>
        <w:t>Schedule 2</w:t>
      </w:r>
    </w:p>
    <w:p w:rsidR="00222AB5" w:rsidRPr="00222AB5" w:rsidRDefault="00222AB5" w:rsidP="00222AB5">
      <w:pPr>
        <w:spacing w:after="200" w:line="276" w:lineRule="auto"/>
        <w:rPr>
          <w:rFonts w:eastAsiaTheme="minorHAnsi"/>
          <w:sz w:val="22"/>
          <w:szCs w:val="22"/>
          <w:lang w:eastAsia="en-US"/>
        </w:rPr>
      </w:pPr>
      <w:r w:rsidRPr="00222AB5">
        <w:rPr>
          <w:rFonts w:eastAsiaTheme="minorHAnsi"/>
          <w:sz w:val="22"/>
          <w:szCs w:val="22"/>
          <w:lang w:eastAsia="en-US"/>
        </w:rPr>
        <w:t>VISCOUNT YOUNGER OF LECKIE</w:t>
      </w:r>
    </w:p>
    <w:p w:rsidR="00222AB5" w:rsidRPr="00222AB5" w:rsidRDefault="00222AB5" w:rsidP="00222AB5">
      <w:pPr>
        <w:spacing w:after="200" w:line="276" w:lineRule="auto"/>
        <w:rPr>
          <w:rFonts w:eastAsiaTheme="minorHAnsi"/>
          <w:sz w:val="22"/>
          <w:szCs w:val="22"/>
          <w:lang w:eastAsia="en-US"/>
        </w:rPr>
      </w:pPr>
      <w:r w:rsidRPr="00222AB5">
        <w:rPr>
          <w:rFonts w:eastAsiaTheme="minorHAnsi"/>
          <w:sz w:val="22"/>
          <w:szCs w:val="22"/>
          <w:lang w:eastAsia="en-US"/>
        </w:rPr>
        <w:t>Page 76, line 36, after “be” insert “equal to or”</w:t>
      </w:r>
    </w:p>
    <w:p w:rsidR="00222AB5" w:rsidRPr="00222AB5" w:rsidRDefault="00222AB5" w:rsidP="00222AB5">
      <w:pPr>
        <w:spacing w:after="200" w:line="276" w:lineRule="auto"/>
        <w:rPr>
          <w:rFonts w:eastAsiaTheme="minorHAnsi"/>
          <w:sz w:val="22"/>
          <w:szCs w:val="22"/>
          <w:lang w:eastAsia="en-US"/>
        </w:rPr>
      </w:pPr>
      <w:r w:rsidRPr="00222AB5">
        <w:rPr>
          <w:rFonts w:eastAsiaTheme="minorHAnsi"/>
          <w:sz w:val="22"/>
          <w:szCs w:val="22"/>
          <w:lang w:eastAsia="en-US"/>
        </w:rPr>
        <w:t>Page 77, line 23, after “be” insert “equal to or”</w:t>
      </w:r>
    </w:p>
    <w:p w:rsidR="00222AB5" w:rsidRDefault="00222AB5" w:rsidP="00987534">
      <w:pPr>
        <w:jc w:val="center"/>
        <w:rPr>
          <w:rFonts w:eastAsiaTheme="minorHAnsi"/>
          <w:lang w:eastAsia="en-US"/>
        </w:rPr>
      </w:pPr>
    </w:p>
    <w:p w:rsidR="00222AB5" w:rsidRPr="00222AB5" w:rsidRDefault="00222AB5" w:rsidP="00222AB5">
      <w:pPr>
        <w:spacing w:after="200" w:line="276" w:lineRule="auto"/>
        <w:rPr>
          <w:rFonts w:eastAsiaTheme="minorHAnsi"/>
          <w:b/>
          <w:bCs/>
          <w:sz w:val="22"/>
          <w:szCs w:val="22"/>
          <w:lang w:eastAsia="en-US"/>
        </w:rPr>
      </w:pPr>
      <w:r w:rsidRPr="00222AB5">
        <w:rPr>
          <w:rFonts w:eastAsiaTheme="minorHAnsi"/>
          <w:b/>
          <w:bCs/>
          <w:sz w:val="22"/>
          <w:szCs w:val="22"/>
          <w:lang w:eastAsia="en-US"/>
        </w:rPr>
        <w:t>Clause 82</w:t>
      </w:r>
    </w:p>
    <w:p w:rsidR="00222AB5" w:rsidRPr="00222AB5" w:rsidRDefault="00222AB5" w:rsidP="00222AB5">
      <w:pPr>
        <w:spacing w:after="200" w:line="276" w:lineRule="auto"/>
        <w:rPr>
          <w:rFonts w:eastAsiaTheme="minorHAnsi"/>
          <w:sz w:val="22"/>
          <w:szCs w:val="22"/>
          <w:lang w:eastAsia="en-US"/>
        </w:rPr>
      </w:pPr>
      <w:r w:rsidRPr="00222AB5">
        <w:rPr>
          <w:rFonts w:eastAsiaTheme="minorHAnsi"/>
          <w:sz w:val="22"/>
          <w:szCs w:val="22"/>
          <w:lang w:eastAsia="en-US"/>
        </w:rPr>
        <w:t>VISCOUNT YOUNGER OF LECKIE</w:t>
      </w:r>
    </w:p>
    <w:p w:rsidR="00222AB5" w:rsidRPr="00222AB5" w:rsidRDefault="00222AB5" w:rsidP="00222AB5">
      <w:pPr>
        <w:spacing w:after="200" w:line="276" w:lineRule="auto"/>
        <w:rPr>
          <w:rFonts w:eastAsiaTheme="minorHAnsi"/>
          <w:sz w:val="22"/>
          <w:szCs w:val="22"/>
          <w:lang w:eastAsia="en-US"/>
        </w:rPr>
      </w:pPr>
      <w:r w:rsidRPr="00222AB5">
        <w:rPr>
          <w:rFonts w:eastAsiaTheme="minorHAnsi"/>
          <w:sz w:val="22"/>
          <w:szCs w:val="22"/>
          <w:lang w:eastAsia="en-US"/>
        </w:rPr>
        <w:t>Page 52, line 34, after “persons” insert “(whether before or after the regulations are made)”</w:t>
      </w:r>
    </w:p>
    <w:p w:rsidR="00222AB5" w:rsidRPr="00222AB5" w:rsidRDefault="00222AB5" w:rsidP="00222AB5">
      <w:pPr>
        <w:spacing w:after="200" w:line="276" w:lineRule="auto"/>
        <w:rPr>
          <w:rFonts w:eastAsiaTheme="minorHAnsi"/>
          <w:sz w:val="22"/>
          <w:szCs w:val="22"/>
          <w:lang w:eastAsia="en-US"/>
        </w:rPr>
      </w:pPr>
      <w:r w:rsidRPr="00222AB5">
        <w:rPr>
          <w:rFonts w:eastAsiaTheme="minorHAnsi"/>
          <w:sz w:val="22"/>
          <w:szCs w:val="22"/>
          <w:lang w:eastAsia="en-US"/>
        </w:rPr>
        <w:t>Page 52, line 46, after “persons” insert “(whether before or after the regulations are made)”</w:t>
      </w:r>
    </w:p>
    <w:p w:rsidR="00222AB5" w:rsidRPr="00987534" w:rsidRDefault="00222AB5" w:rsidP="00987534">
      <w:pPr>
        <w:jc w:val="center"/>
        <w:rPr>
          <w:rFonts w:eastAsiaTheme="minorHAnsi"/>
          <w:lang w:eastAsia="en-US"/>
        </w:rPr>
      </w:pPr>
      <w:bookmarkStart w:id="2" w:name="_GoBack"/>
      <w:bookmarkEnd w:id="2"/>
    </w:p>
    <w:sectPr w:rsidR="00222AB5" w:rsidRPr="00987534" w:rsidSect="00F14AA1">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DB691" w15:done="0"/>
  <w15:commentEx w15:paraId="11119838" w15:done="0"/>
  <w15:commentEx w15:paraId="6B095104" w15:done="0"/>
  <w15:commentEx w15:paraId="5F75FAE4" w15:done="0"/>
  <w15:commentEx w15:paraId="4C26E128" w15:done="0"/>
  <w15:commentEx w15:paraId="6B51E153" w15:done="0"/>
  <w15:commentEx w15:paraId="3F3E24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66" w:rsidRDefault="009D2166">
      <w:r>
        <w:separator/>
      </w:r>
    </w:p>
  </w:endnote>
  <w:endnote w:type="continuationSeparator" w:id="0">
    <w:p w:rsidR="009D2166" w:rsidRDefault="009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Lt BT">
    <w:altName w:val="Lucida Sans Unicode"/>
    <w:charset w:val="00"/>
    <w:family w:val="swiss"/>
    <w:pitch w:val="variable"/>
    <w:sig w:usb0="00000001" w:usb1="1000204A"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570"/>
      <w:docPartObj>
        <w:docPartGallery w:val="Page Numbers (Bottom of Page)"/>
        <w:docPartUnique/>
      </w:docPartObj>
    </w:sdtPr>
    <w:sdtEndPr>
      <w:rPr>
        <w:noProof/>
      </w:rPr>
    </w:sdtEndPr>
    <w:sdtContent>
      <w:p w:rsidR="009D2166" w:rsidRDefault="009D2166">
        <w:pPr>
          <w:pStyle w:val="Footer"/>
          <w:jc w:val="center"/>
        </w:pPr>
      </w:p>
      <w:p w:rsidR="009D2166" w:rsidRPr="00EC47C1" w:rsidRDefault="009D2166">
        <w:pPr>
          <w:pStyle w:val="Footer"/>
          <w:jc w:val="center"/>
        </w:pPr>
        <w:r w:rsidRPr="00EC47C1">
          <w:fldChar w:fldCharType="begin"/>
        </w:r>
        <w:r w:rsidRPr="00EC47C1">
          <w:instrText xml:space="preserve"> PAGE   \* MERGEFORMAT </w:instrText>
        </w:r>
        <w:r w:rsidRPr="00EC47C1">
          <w:fldChar w:fldCharType="separate"/>
        </w:r>
        <w:r w:rsidR="00222AB5">
          <w:rPr>
            <w:noProof/>
          </w:rPr>
          <w:t>5</w:t>
        </w:r>
        <w:r w:rsidRPr="00EC47C1">
          <w:rPr>
            <w:noProof/>
          </w:rPr>
          <w:fldChar w:fldCharType="end"/>
        </w:r>
      </w:p>
    </w:sdtContent>
  </w:sdt>
  <w:p w:rsidR="009D2166" w:rsidRDefault="009D2166">
    <w:pPr>
      <w:pStyle w:val="Footer"/>
    </w:pPr>
  </w:p>
  <w:p w:rsidR="009D2166" w:rsidRDefault="009D2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66" w:rsidRDefault="009D2166">
      <w:r>
        <w:separator/>
      </w:r>
    </w:p>
  </w:footnote>
  <w:footnote w:type="continuationSeparator" w:id="0">
    <w:p w:rsidR="009D2166" w:rsidRDefault="009D2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3C8E"/>
    <w:multiLevelType w:val="hybridMultilevel"/>
    <w:tmpl w:val="527A9504"/>
    <w:lvl w:ilvl="0" w:tplc="521A031C">
      <w:start w:val="1"/>
      <w:numFmt w:val="decimal"/>
      <w:pStyle w:val="ParaNumbered"/>
      <w:lvlText w:val="%1 "/>
      <w:lvlJc w:val="left"/>
      <w:pPr>
        <w:ind w:left="220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081C5D"/>
    <w:multiLevelType w:val="multilevel"/>
    <w:tmpl w:val="1D3CD454"/>
    <w:lvl w:ilvl="0">
      <w:start w:val="1"/>
      <w:numFmt w:val="lowerLetter"/>
      <w:pStyle w:val="ListBullet"/>
      <w:lvlText w:val="(%1)"/>
      <w:lvlJc w:val="left"/>
      <w:pPr>
        <w:tabs>
          <w:tab w:val="num" w:pos="1191"/>
        </w:tabs>
        <w:ind w:left="1191" w:hanging="454"/>
      </w:pPr>
      <w:rPr>
        <w:rFonts w:ascii="Times New Roman" w:hAnsi="Times New Roman" w:cs="Times New Roman" w:hint="default"/>
        <w:color w:val="auto"/>
        <w:sz w:val="24"/>
        <w:szCs w:val="24"/>
      </w:rPr>
    </w:lvl>
    <w:lvl w:ilvl="1">
      <w:start w:val="1"/>
      <w:numFmt w:val="bullet"/>
      <w:pStyle w:val="ListBullet2"/>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2">
    <w:nsid w:val="2F2B5248"/>
    <w:multiLevelType w:val="hybridMultilevel"/>
    <w:tmpl w:val="A044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5725B"/>
    <w:multiLevelType w:val="hybridMultilevel"/>
    <w:tmpl w:val="E29CFAFC"/>
    <w:lvl w:ilvl="0" w:tplc="42648970">
      <w:start w:val="1"/>
      <w:numFmt w:val="decimal"/>
      <w:lvlText w:val="%1."/>
      <w:lvlJc w:val="left"/>
      <w:pPr>
        <w:tabs>
          <w:tab w:val="num" w:pos="510"/>
        </w:tabs>
        <w:ind w:left="510" w:hanging="510"/>
      </w:pPr>
      <w:rPr>
        <w:rFonts w:ascii="Times New Roman" w:hAnsi="Times New Roman" w:cs="Arial" w:hint="default"/>
        <w:b w:val="0"/>
        <w:i w:val="0"/>
        <w:strike w:val="0"/>
        <w:color w:val="auto"/>
        <w:sz w:val="22"/>
        <w:szCs w:val="22"/>
        <w:u w:val="none"/>
      </w:rPr>
    </w:lvl>
    <w:lvl w:ilvl="1" w:tplc="814E0E28">
      <w:start w:val="1"/>
      <w:numFmt w:val="lowerRoman"/>
      <w:lvlText w:val="(%2)"/>
      <w:lvlJc w:val="left"/>
      <w:pPr>
        <w:tabs>
          <w:tab w:val="num" w:pos="1440"/>
        </w:tabs>
        <w:ind w:left="1440" w:hanging="360"/>
      </w:pPr>
      <w:rPr>
        <w:rFonts w:ascii="Times New Roman" w:eastAsia="Times New Roman" w:hAnsi="Times New Roman" w:cs="Times New Roman"/>
      </w:rPr>
    </w:lvl>
    <w:lvl w:ilvl="2" w:tplc="BDE6D43A">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1C72182"/>
    <w:multiLevelType w:val="hybridMultilevel"/>
    <w:tmpl w:val="5B2E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835247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599B655B"/>
    <w:multiLevelType w:val="hybridMultilevel"/>
    <w:tmpl w:val="EBA6D4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E3341D"/>
    <w:multiLevelType w:val="hybridMultilevel"/>
    <w:tmpl w:val="878EDAC2"/>
    <w:lvl w:ilvl="0" w:tplc="FA648388">
      <w:start w:val="1"/>
      <w:numFmt w:val="decimal"/>
      <w:lvlText w:val="%1."/>
      <w:lvlJc w:val="left"/>
      <w:pPr>
        <w:ind w:left="72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D202D4A"/>
    <w:multiLevelType w:val="hybridMultilevel"/>
    <w:tmpl w:val="EB12A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A536A1"/>
    <w:multiLevelType w:val="hybridMultilevel"/>
    <w:tmpl w:val="616CCB3A"/>
    <w:lvl w:ilvl="0" w:tplc="008C41DC">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1"/>
  </w:num>
  <w:num w:numId="3">
    <w:abstractNumId w:val="5"/>
  </w:num>
  <w:num w:numId="4">
    <w:abstractNumId w:val="3"/>
  </w:num>
  <w:num w:numId="5">
    <w:abstractNumId w:val="6"/>
  </w:num>
  <w:num w:numId="6">
    <w:abstractNumId w:val="0"/>
  </w:num>
  <w:num w:numId="7">
    <w:abstractNumId w:val="3"/>
  </w:num>
  <w:num w:numId="8">
    <w:abstractNumId w:val="3"/>
  </w:num>
  <w:num w:numId="9">
    <w:abstractNumId w:val="3"/>
  </w:num>
  <w:num w:numId="10">
    <w:abstractNumId w:val="3"/>
  </w:num>
  <w:num w:numId="11">
    <w:abstractNumId w:val="3"/>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Gardiner">
    <w15:presenceInfo w15:providerId="AD" w15:userId="S-1-5-21-1141400437-1419162236-2865881067-6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F7"/>
    <w:rsid w:val="00000C59"/>
    <w:rsid w:val="00001216"/>
    <w:rsid w:val="000016D4"/>
    <w:rsid w:val="000023CE"/>
    <w:rsid w:val="00002955"/>
    <w:rsid w:val="00002F05"/>
    <w:rsid w:val="00003D47"/>
    <w:rsid w:val="00004E74"/>
    <w:rsid w:val="00005C06"/>
    <w:rsid w:val="00005E5E"/>
    <w:rsid w:val="000066A3"/>
    <w:rsid w:val="0000671F"/>
    <w:rsid w:val="00006835"/>
    <w:rsid w:val="00006F24"/>
    <w:rsid w:val="0000726E"/>
    <w:rsid w:val="00007F97"/>
    <w:rsid w:val="00010182"/>
    <w:rsid w:val="00010630"/>
    <w:rsid w:val="0001225C"/>
    <w:rsid w:val="00014193"/>
    <w:rsid w:val="0001445A"/>
    <w:rsid w:val="0001527D"/>
    <w:rsid w:val="00015D83"/>
    <w:rsid w:val="00015E46"/>
    <w:rsid w:val="00016641"/>
    <w:rsid w:val="000175D3"/>
    <w:rsid w:val="00020244"/>
    <w:rsid w:val="00020842"/>
    <w:rsid w:val="000211AF"/>
    <w:rsid w:val="0002215D"/>
    <w:rsid w:val="000225FC"/>
    <w:rsid w:val="00026ECC"/>
    <w:rsid w:val="00030B24"/>
    <w:rsid w:val="00030E49"/>
    <w:rsid w:val="00030EC1"/>
    <w:rsid w:val="00032702"/>
    <w:rsid w:val="00033198"/>
    <w:rsid w:val="00034DE9"/>
    <w:rsid w:val="00035505"/>
    <w:rsid w:val="00035D5C"/>
    <w:rsid w:val="00036805"/>
    <w:rsid w:val="00040241"/>
    <w:rsid w:val="00040853"/>
    <w:rsid w:val="000444E0"/>
    <w:rsid w:val="0004550F"/>
    <w:rsid w:val="00046C2C"/>
    <w:rsid w:val="0004706F"/>
    <w:rsid w:val="0004794A"/>
    <w:rsid w:val="00050AA9"/>
    <w:rsid w:val="0005105A"/>
    <w:rsid w:val="0005132C"/>
    <w:rsid w:val="00052DBB"/>
    <w:rsid w:val="0005374E"/>
    <w:rsid w:val="00053ADF"/>
    <w:rsid w:val="00054B40"/>
    <w:rsid w:val="000568FE"/>
    <w:rsid w:val="00056F21"/>
    <w:rsid w:val="00057CFF"/>
    <w:rsid w:val="000607C5"/>
    <w:rsid w:val="00060F13"/>
    <w:rsid w:val="000618E6"/>
    <w:rsid w:val="00062D1E"/>
    <w:rsid w:val="000634AE"/>
    <w:rsid w:val="0006467A"/>
    <w:rsid w:val="0006599F"/>
    <w:rsid w:val="000673B3"/>
    <w:rsid w:val="00070274"/>
    <w:rsid w:val="00070FA9"/>
    <w:rsid w:val="000714A0"/>
    <w:rsid w:val="00072DC5"/>
    <w:rsid w:val="00073BA1"/>
    <w:rsid w:val="00073EE4"/>
    <w:rsid w:val="00073FF2"/>
    <w:rsid w:val="00074680"/>
    <w:rsid w:val="000750E5"/>
    <w:rsid w:val="00075F52"/>
    <w:rsid w:val="00076572"/>
    <w:rsid w:val="00080780"/>
    <w:rsid w:val="00080DD0"/>
    <w:rsid w:val="00081D3C"/>
    <w:rsid w:val="0008244A"/>
    <w:rsid w:val="00082D89"/>
    <w:rsid w:val="00082F51"/>
    <w:rsid w:val="00083855"/>
    <w:rsid w:val="00083F50"/>
    <w:rsid w:val="000862C9"/>
    <w:rsid w:val="000868F2"/>
    <w:rsid w:val="00090062"/>
    <w:rsid w:val="00090301"/>
    <w:rsid w:val="0009220B"/>
    <w:rsid w:val="000948D2"/>
    <w:rsid w:val="000A087E"/>
    <w:rsid w:val="000A10E9"/>
    <w:rsid w:val="000A1DAF"/>
    <w:rsid w:val="000A34ED"/>
    <w:rsid w:val="000A36E4"/>
    <w:rsid w:val="000A405F"/>
    <w:rsid w:val="000A5AE7"/>
    <w:rsid w:val="000A6DF6"/>
    <w:rsid w:val="000A6FF7"/>
    <w:rsid w:val="000A7775"/>
    <w:rsid w:val="000B43B2"/>
    <w:rsid w:val="000B459A"/>
    <w:rsid w:val="000B5C75"/>
    <w:rsid w:val="000B6053"/>
    <w:rsid w:val="000B6E51"/>
    <w:rsid w:val="000B6EE5"/>
    <w:rsid w:val="000B724A"/>
    <w:rsid w:val="000C0399"/>
    <w:rsid w:val="000C062E"/>
    <w:rsid w:val="000C1658"/>
    <w:rsid w:val="000C21AF"/>
    <w:rsid w:val="000C2539"/>
    <w:rsid w:val="000C3606"/>
    <w:rsid w:val="000C403A"/>
    <w:rsid w:val="000C4EA4"/>
    <w:rsid w:val="000C541D"/>
    <w:rsid w:val="000C5510"/>
    <w:rsid w:val="000C5BF8"/>
    <w:rsid w:val="000C66E1"/>
    <w:rsid w:val="000C6F68"/>
    <w:rsid w:val="000D0964"/>
    <w:rsid w:val="000D0B65"/>
    <w:rsid w:val="000D29EF"/>
    <w:rsid w:val="000D376A"/>
    <w:rsid w:val="000D3A41"/>
    <w:rsid w:val="000D48B0"/>
    <w:rsid w:val="000D4A0B"/>
    <w:rsid w:val="000D505C"/>
    <w:rsid w:val="000D5D56"/>
    <w:rsid w:val="000D7C73"/>
    <w:rsid w:val="000E03E9"/>
    <w:rsid w:val="000E0D76"/>
    <w:rsid w:val="000E243B"/>
    <w:rsid w:val="000E2905"/>
    <w:rsid w:val="000E2995"/>
    <w:rsid w:val="000E2B3B"/>
    <w:rsid w:val="000E497D"/>
    <w:rsid w:val="000E49B3"/>
    <w:rsid w:val="000E4B07"/>
    <w:rsid w:val="000E5E25"/>
    <w:rsid w:val="000E678D"/>
    <w:rsid w:val="000F02BD"/>
    <w:rsid w:val="000F1624"/>
    <w:rsid w:val="000F1717"/>
    <w:rsid w:val="000F1E9C"/>
    <w:rsid w:val="000F42E2"/>
    <w:rsid w:val="000F566E"/>
    <w:rsid w:val="000F7C7F"/>
    <w:rsid w:val="000F7D57"/>
    <w:rsid w:val="00100509"/>
    <w:rsid w:val="0010155B"/>
    <w:rsid w:val="00101F12"/>
    <w:rsid w:val="00102154"/>
    <w:rsid w:val="00103256"/>
    <w:rsid w:val="001039D0"/>
    <w:rsid w:val="00103F06"/>
    <w:rsid w:val="00106276"/>
    <w:rsid w:val="00106506"/>
    <w:rsid w:val="0010772C"/>
    <w:rsid w:val="001105E5"/>
    <w:rsid w:val="001109FB"/>
    <w:rsid w:val="0011156D"/>
    <w:rsid w:val="0011198E"/>
    <w:rsid w:val="00112365"/>
    <w:rsid w:val="001133D0"/>
    <w:rsid w:val="0011490E"/>
    <w:rsid w:val="001149B2"/>
    <w:rsid w:val="00115680"/>
    <w:rsid w:val="0011607D"/>
    <w:rsid w:val="001167C0"/>
    <w:rsid w:val="001200D4"/>
    <w:rsid w:val="001202C2"/>
    <w:rsid w:val="0012117A"/>
    <w:rsid w:val="001217FE"/>
    <w:rsid w:val="00122C17"/>
    <w:rsid w:val="0012300B"/>
    <w:rsid w:val="00123DB8"/>
    <w:rsid w:val="00124879"/>
    <w:rsid w:val="001250EE"/>
    <w:rsid w:val="00125981"/>
    <w:rsid w:val="00125997"/>
    <w:rsid w:val="001264A4"/>
    <w:rsid w:val="001275A9"/>
    <w:rsid w:val="00130918"/>
    <w:rsid w:val="00131DD9"/>
    <w:rsid w:val="00133289"/>
    <w:rsid w:val="001346AF"/>
    <w:rsid w:val="00134FEB"/>
    <w:rsid w:val="00135609"/>
    <w:rsid w:val="00136CF6"/>
    <w:rsid w:val="0013743B"/>
    <w:rsid w:val="001413B3"/>
    <w:rsid w:val="00141C83"/>
    <w:rsid w:val="0014202E"/>
    <w:rsid w:val="00142986"/>
    <w:rsid w:val="00142B24"/>
    <w:rsid w:val="00143E97"/>
    <w:rsid w:val="00144F64"/>
    <w:rsid w:val="00146604"/>
    <w:rsid w:val="00146C6E"/>
    <w:rsid w:val="00147482"/>
    <w:rsid w:val="00147E75"/>
    <w:rsid w:val="00150A8D"/>
    <w:rsid w:val="001519C2"/>
    <w:rsid w:val="00152B7B"/>
    <w:rsid w:val="00152D4C"/>
    <w:rsid w:val="001534A5"/>
    <w:rsid w:val="001548DB"/>
    <w:rsid w:val="00155D6F"/>
    <w:rsid w:val="0015655C"/>
    <w:rsid w:val="00156884"/>
    <w:rsid w:val="00156B3A"/>
    <w:rsid w:val="00156F7D"/>
    <w:rsid w:val="00157856"/>
    <w:rsid w:val="001619A5"/>
    <w:rsid w:val="0016226E"/>
    <w:rsid w:val="0016248E"/>
    <w:rsid w:val="001625A5"/>
    <w:rsid w:val="0016294A"/>
    <w:rsid w:val="001632F0"/>
    <w:rsid w:val="00163B0A"/>
    <w:rsid w:val="00164556"/>
    <w:rsid w:val="00166FAA"/>
    <w:rsid w:val="001671C3"/>
    <w:rsid w:val="0016752B"/>
    <w:rsid w:val="0016776C"/>
    <w:rsid w:val="00167912"/>
    <w:rsid w:val="00167AC0"/>
    <w:rsid w:val="00167BF3"/>
    <w:rsid w:val="00170BCE"/>
    <w:rsid w:val="001711C6"/>
    <w:rsid w:val="00171BA2"/>
    <w:rsid w:val="00172231"/>
    <w:rsid w:val="00172E0A"/>
    <w:rsid w:val="00174255"/>
    <w:rsid w:val="00176146"/>
    <w:rsid w:val="0017771E"/>
    <w:rsid w:val="001800A1"/>
    <w:rsid w:val="00180176"/>
    <w:rsid w:val="001804A3"/>
    <w:rsid w:val="0018208C"/>
    <w:rsid w:val="0018276F"/>
    <w:rsid w:val="00183440"/>
    <w:rsid w:val="00184716"/>
    <w:rsid w:val="00184721"/>
    <w:rsid w:val="0018481A"/>
    <w:rsid w:val="00184B3A"/>
    <w:rsid w:val="00185081"/>
    <w:rsid w:val="0018592B"/>
    <w:rsid w:val="00185EA4"/>
    <w:rsid w:val="00186305"/>
    <w:rsid w:val="001865BE"/>
    <w:rsid w:val="001874E2"/>
    <w:rsid w:val="0018766F"/>
    <w:rsid w:val="00187DD9"/>
    <w:rsid w:val="001957F0"/>
    <w:rsid w:val="00195830"/>
    <w:rsid w:val="00197B85"/>
    <w:rsid w:val="00197E5F"/>
    <w:rsid w:val="001A073B"/>
    <w:rsid w:val="001A1BFF"/>
    <w:rsid w:val="001A1C5C"/>
    <w:rsid w:val="001A2AF5"/>
    <w:rsid w:val="001A5BBC"/>
    <w:rsid w:val="001A782E"/>
    <w:rsid w:val="001B38E6"/>
    <w:rsid w:val="001B5BA0"/>
    <w:rsid w:val="001B65E4"/>
    <w:rsid w:val="001B68FD"/>
    <w:rsid w:val="001B6B52"/>
    <w:rsid w:val="001B7632"/>
    <w:rsid w:val="001B7889"/>
    <w:rsid w:val="001C0BAE"/>
    <w:rsid w:val="001C1B5E"/>
    <w:rsid w:val="001C2ED8"/>
    <w:rsid w:val="001C3F9C"/>
    <w:rsid w:val="001C4048"/>
    <w:rsid w:val="001C448C"/>
    <w:rsid w:val="001C57F1"/>
    <w:rsid w:val="001C6A3A"/>
    <w:rsid w:val="001C76F3"/>
    <w:rsid w:val="001C777A"/>
    <w:rsid w:val="001D06E2"/>
    <w:rsid w:val="001D1ABC"/>
    <w:rsid w:val="001D2A6A"/>
    <w:rsid w:val="001D39E3"/>
    <w:rsid w:val="001D3CBB"/>
    <w:rsid w:val="001D3E80"/>
    <w:rsid w:val="001D48BB"/>
    <w:rsid w:val="001D4931"/>
    <w:rsid w:val="001D6A06"/>
    <w:rsid w:val="001E0E20"/>
    <w:rsid w:val="001E14B2"/>
    <w:rsid w:val="001E18A1"/>
    <w:rsid w:val="001E19E1"/>
    <w:rsid w:val="001E2157"/>
    <w:rsid w:val="001E2921"/>
    <w:rsid w:val="001E4111"/>
    <w:rsid w:val="001E4EA1"/>
    <w:rsid w:val="001E5863"/>
    <w:rsid w:val="001E6168"/>
    <w:rsid w:val="001E6B2D"/>
    <w:rsid w:val="001F07F7"/>
    <w:rsid w:val="001F11AD"/>
    <w:rsid w:val="001F26BD"/>
    <w:rsid w:val="001F2CF6"/>
    <w:rsid w:val="001F4081"/>
    <w:rsid w:val="001F4155"/>
    <w:rsid w:val="001F4E30"/>
    <w:rsid w:val="001F53E3"/>
    <w:rsid w:val="00201009"/>
    <w:rsid w:val="0020196E"/>
    <w:rsid w:val="00201F67"/>
    <w:rsid w:val="00202753"/>
    <w:rsid w:val="002063E5"/>
    <w:rsid w:val="002064AE"/>
    <w:rsid w:val="00206A05"/>
    <w:rsid w:val="00206BA3"/>
    <w:rsid w:val="00206CE8"/>
    <w:rsid w:val="00206FB5"/>
    <w:rsid w:val="00210610"/>
    <w:rsid w:val="002119F8"/>
    <w:rsid w:val="002121F5"/>
    <w:rsid w:val="00212FB0"/>
    <w:rsid w:val="0021356D"/>
    <w:rsid w:val="0021645A"/>
    <w:rsid w:val="002170FF"/>
    <w:rsid w:val="002177E8"/>
    <w:rsid w:val="00217ED2"/>
    <w:rsid w:val="002212E5"/>
    <w:rsid w:val="002218AA"/>
    <w:rsid w:val="00221DC1"/>
    <w:rsid w:val="00222AB5"/>
    <w:rsid w:val="00223674"/>
    <w:rsid w:val="00223916"/>
    <w:rsid w:val="00225025"/>
    <w:rsid w:val="00226216"/>
    <w:rsid w:val="00227801"/>
    <w:rsid w:val="0022788B"/>
    <w:rsid w:val="00233929"/>
    <w:rsid w:val="002342D2"/>
    <w:rsid w:val="00234A5A"/>
    <w:rsid w:val="00235EA8"/>
    <w:rsid w:val="0023622E"/>
    <w:rsid w:val="00236815"/>
    <w:rsid w:val="00236DDD"/>
    <w:rsid w:val="00240DF7"/>
    <w:rsid w:val="00241350"/>
    <w:rsid w:val="0024639A"/>
    <w:rsid w:val="00247C89"/>
    <w:rsid w:val="00247DD9"/>
    <w:rsid w:val="00251CFE"/>
    <w:rsid w:val="00251F16"/>
    <w:rsid w:val="002551BC"/>
    <w:rsid w:val="002557C3"/>
    <w:rsid w:val="002557DB"/>
    <w:rsid w:val="00255C83"/>
    <w:rsid w:val="002561C8"/>
    <w:rsid w:val="00256286"/>
    <w:rsid w:val="002607BD"/>
    <w:rsid w:val="002619ED"/>
    <w:rsid w:val="00261BEE"/>
    <w:rsid w:val="00265C21"/>
    <w:rsid w:val="002664E6"/>
    <w:rsid w:val="00266C2F"/>
    <w:rsid w:val="002715E4"/>
    <w:rsid w:val="00272185"/>
    <w:rsid w:val="0027442F"/>
    <w:rsid w:val="00274485"/>
    <w:rsid w:val="00276534"/>
    <w:rsid w:val="00280900"/>
    <w:rsid w:val="00282193"/>
    <w:rsid w:val="00282879"/>
    <w:rsid w:val="002832ED"/>
    <w:rsid w:val="00283B72"/>
    <w:rsid w:val="00285924"/>
    <w:rsid w:val="00285D7F"/>
    <w:rsid w:val="00285E3A"/>
    <w:rsid w:val="00287418"/>
    <w:rsid w:val="0029137C"/>
    <w:rsid w:val="0029258A"/>
    <w:rsid w:val="002953F5"/>
    <w:rsid w:val="0029631A"/>
    <w:rsid w:val="002968E5"/>
    <w:rsid w:val="002978A1"/>
    <w:rsid w:val="002A0CDE"/>
    <w:rsid w:val="002A20B6"/>
    <w:rsid w:val="002A34ED"/>
    <w:rsid w:val="002A4B0B"/>
    <w:rsid w:val="002A6F14"/>
    <w:rsid w:val="002B033E"/>
    <w:rsid w:val="002B1187"/>
    <w:rsid w:val="002B11B8"/>
    <w:rsid w:val="002B1234"/>
    <w:rsid w:val="002B144C"/>
    <w:rsid w:val="002B246C"/>
    <w:rsid w:val="002B256B"/>
    <w:rsid w:val="002B2A43"/>
    <w:rsid w:val="002B37F3"/>
    <w:rsid w:val="002B4079"/>
    <w:rsid w:val="002B52BF"/>
    <w:rsid w:val="002B5DFE"/>
    <w:rsid w:val="002B5FE3"/>
    <w:rsid w:val="002B62CC"/>
    <w:rsid w:val="002B6C8C"/>
    <w:rsid w:val="002B7456"/>
    <w:rsid w:val="002B7562"/>
    <w:rsid w:val="002B7DB7"/>
    <w:rsid w:val="002B7DF5"/>
    <w:rsid w:val="002C017F"/>
    <w:rsid w:val="002C0906"/>
    <w:rsid w:val="002C1A41"/>
    <w:rsid w:val="002C1FF9"/>
    <w:rsid w:val="002C26AF"/>
    <w:rsid w:val="002C30A4"/>
    <w:rsid w:val="002C4BFA"/>
    <w:rsid w:val="002C5011"/>
    <w:rsid w:val="002C64FA"/>
    <w:rsid w:val="002C71C0"/>
    <w:rsid w:val="002C75C2"/>
    <w:rsid w:val="002D170E"/>
    <w:rsid w:val="002D40A3"/>
    <w:rsid w:val="002D43FD"/>
    <w:rsid w:val="002D7330"/>
    <w:rsid w:val="002D7A68"/>
    <w:rsid w:val="002E0475"/>
    <w:rsid w:val="002E2A26"/>
    <w:rsid w:val="002E2DCF"/>
    <w:rsid w:val="002E3475"/>
    <w:rsid w:val="002E34E3"/>
    <w:rsid w:val="002E3803"/>
    <w:rsid w:val="002E5C34"/>
    <w:rsid w:val="002E7827"/>
    <w:rsid w:val="002F1351"/>
    <w:rsid w:val="002F4577"/>
    <w:rsid w:val="002F6969"/>
    <w:rsid w:val="002F75C8"/>
    <w:rsid w:val="002F77EA"/>
    <w:rsid w:val="00301173"/>
    <w:rsid w:val="00301DEB"/>
    <w:rsid w:val="00304877"/>
    <w:rsid w:val="00305046"/>
    <w:rsid w:val="003058EA"/>
    <w:rsid w:val="0030678A"/>
    <w:rsid w:val="00310739"/>
    <w:rsid w:val="00310D93"/>
    <w:rsid w:val="00311F34"/>
    <w:rsid w:val="00314263"/>
    <w:rsid w:val="003154DA"/>
    <w:rsid w:val="0031663B"/>
    <w:rsid w:val="00317D85"/>
    <w:rsid w:val="0032005E"/>
    <w:rsid w:val="003221DC"/>
    <w:rsid w:val="00323051"/>
    <w:rsid w:val="00323320"/>
    <w:rsid w:val="00323EB1"/>
    <w:rsid w:val="0032462A"/>
    <w:rsid w:val="0032519F"/>
    <w:rsid w:val="003265B5"/>
    <w:rsid w:val="003278AA"/>
    <w:rsid w:val="00332EA3"/>
    <w:rsid w:val="003333B6"/>
    <w:rsid w:val="00333D9D"/>
    <w:rsid w:val="00333E00"/>
    <w:rsid w:val="00336F13"/>
    <w:rsid w:val="003374AE"/>
    <w:rsid w:val="003374D7"/>
    <w:rsid w:val="003415F4"/>
    <w:rsid w:val="0034321B"/>
    <w:rsid w:val="00343544"/>
    <w:rsid w:val="00343870"/>
    <w:rsid w:val="00343B64"/>
    <w:rsid w:val="00343DDE"/>
    <w:rsid w:val="003455EB"/>
    <w:rsid w:val="00345C42"/>
    <w:rsid w:val="00346D17"/>
    <w:rsid w:val="00346E27"/>
    <w:rsid w:val="00351E3A"/>
    <w:rsid w:val="00352B08"/>
    <w:rsid w:val="00352B4E"/>
    <w:rsid w:val="00354341"/>
    <w:rsid w:val="00354EED"/>
    <w:rsid w:val="00355CF2"/>
    <w:rsid w:val="003563B5"/>
    <w:rsid w:val="00357BB4"/>
    <w:rsid w:val="0036140B"/>
    <w:rsid w:val="00363046"/>
    <w:rsid w:val="00363BA6"/>
    <w:rsid w:val="003655E2"/>
    <w:rsid w:val="003666F0"/>
    <w:rsid w:val="00366AF4"/>
    <w:rsid w:val="00366B08"/>
    <w:rsid w:val="00367A26"/>
    <w:rsid w:val="00372EDB"/>
    <w:rsid w:val="003732DF"/>
    <w:rsid w:val="003757DF"/>
    <w:rsid w:val="00377FF1"/>
    <w:rsid w:val="003801F9"/>
    <w:rsid w:val="00380774"/>
    <w:rsid w:val="00381510"/>
    <w:rsid w:val="00382133"/>
    <w:rsid w:val="00382177"/>
    <w:rsid w:val="003827C5"/>
    <w:rsid w:val="00384E01"/>
    <w:rsid w:val="00390029"/>
    <w:rsid w:val="003905BE"/>
    <w:rsid w:val="00391CB7"/>
    <w:rsid w:val="0039568D"/>
    <w:rsid w:val="00395F04"/>
    <w:rsid w:val="0039689B"/>
    <w:rsid w:val="003970DB"/>
    <w:rsid w:val="00397B38"/>
    <w:rsid w:val="003A0AC5"/>
    <w:rsid w:val="003A1126"/>
    <w:rsid w:val="003A1722"/>
    <w:rsid w:val="003A355D"/>
    <w:rsid w:val="003A37D1"/>
    <w:rsid w:val="003A4BF2"/>
    <w:rsid w:val="003A621F"/>
    <w:rsid w:val="003A7E00"/>
    <w:rsid w:val="003A7E41"/>
    <w:rsid w:val="003A7F9D"/>
    <w:rsid w:val="003B0876"/>
    <w:rsid w:val="003B2460"/>
    <w:rsid w:val="003B26DD"/>
    <w:rsid w:val="003B3914"/>
    <w:rsid w:val="003B3A57"/>
    <w:rsid w:val="003B47D2"/>
    <w:rsid w:val="003B4EF5"/>
    <w:rsid w:val="003B567B"/>
    <w:rsid w:val="003B5BE8"/>
    <w:rsid w:val="003B6DBC"/>
    <w:rsid w:val="003C089D"/>
    <w:rsid w:val="003C1889"/>
    <w:rsid w:val="003C196C"/>
    <w:rsid w:val="003C23FD"/>
    <w:rsid w:val="003C34B4"/>
    <w:rsid w:val="003C45D8"/>
    <w:rsid w:val="003C53A6"/>
    <w:rsid w:val="003C53DE"/>
    <w:rsid w:val="003D0629"/>
    <w:rsid w:val="003D1851"/>
    <w:rsid w:val="003D19AE"/>
    <w:rsid w:val="003D2938"/>
    <w:rsid w:val="003D31A0"/>
    <w:rsid w:val="003D3CE3"/>
    <w:rsid w:val="003D5AF8"/>
    <w:rsid w:val="003D5BB9"/>
    <w:rsid w:val="003D7124"/>
    <w:rsid w:val="003D76A1"/>
    <w:rsid w:val="003E1A0A"/>
    <w:rsid w:val="003E1B53"/>
    <w:rsid w:val="003E3983"/>
    <w:rsid w:val="003E40FA"/>
    <w:rsid w:val="003E4DFC"/>
    <w:rsid w:val="003E57D3"/>
    <w:rsid w:val="003E5B5B"/>
    <w:rsid w:val="003E65A4"/>
    <w:rsid w:val="003E716C"/>
    <w:rsid w:val="003E76EB"/>
    <w:rsid w:val="003F01D8"/>
    <w:rsid w:val="003F0687"/>
    <w:rsid w:val="003F10E3"/>
    <w:rsid w:val="003F3019"/>
    <w:rsid w:val="003F49F5"/>
    <w:rsid w:val="003F4E3D"/>
    <w:rsid w:val="003F535F"/>
    <w:rsid w:val="00400EA9"/>
    <w:rsid w:val="00404637"/>
    <w:rsid w:val="00404B1B"/>
    <w:rsid w:val="004052BD"/>
    <w:rsid w:val="00405BFC"/>
    <w:rsid w:val="00405DC1"/>
    <w:rsid w:val="00407587"/>
    <w:rsid w:val="004106FE"/>
    <w:rsid w:val="004111AC"/>
    <w:rsid w:val="00411715"/>
    <w:rsid w:val="00412302"/>
    <w:rsid w:val="00412A4C"/>
    <w:rsid w:val="00412CAF"/>
    <w:rsid w:val="00413293"/>
    <w:rsid w:val="00415907"/>
    <w:rsid w:val="0041672A"/>
    <w:rsid w:val="00417EAF"/>
    <w:rsid w:val="00420878"/>
    <w:rsid w:val="00420987"/>
    <w:rsid w:val="00421D9B"/>
    <w:rsid w:val="0042230F"/>
    <w:rsid w:val="004243C7"/>
    <w:rsid w:val="00424A67"/>
    <w:rsid w:val="004259C2"/>
    <w:rsid w:val="00426462"/>
    <w:rsid w:val="00430054"/>
    <w:rsid w:val="00430FEB"/>
    <w:rsid w:val="0043246C"/>
    <w:rsid w:val="0043271E"/>
    <w:rsid w:val="0043316E"/>
    <w:rsid w:val="004334FC"/>
    <w:rsid w:val="00433B7C"/>
    <w:rsid w:val="00434812"/>
    <w:rsid w:val="00435DA8"/>
    <w:rsid w:val="0043612C"/>
    <w:rsid w:val="00437602"/>
    <w:rsid w:val="004429AC"/>
    <w:rsid w:val="004442AF"/>
    <w:rsid w:val="004452AC"/>
    <w:rsid w:val="00445711"/>
    <w:rsid w:val="00446616"/>
    <w:rsid w:val="0044674F"/>
    <w:rsid w:val="004503C5"/>
    <w:rsid w:val="0045177D"/>
    <w:rsid w:val="004517A3"/>
    <w:rsid w:val="00452F58"/>
    <w:rsid w:val="00453C00"/>
    <w:rsid w:val="00454B50"/>
    <w:rsid w:val="00456429"/>
    <w:rsid w:val="00456458"/>
    <w:rsid w:val="00457092"/>
    <w:rsid w:val="00457875"/>
    <w:rsid w:val="00457FCA"/>
    <w:rsid w:val="004608FA"/>
    <w:rsid w:val="00462EC3"/>
    <w:rsid w:val="00463275"/>
    <w:rsid w:val="0046413C"/>
    <w:rsid w:val="00464BEC"/>
    <w:rsid w:val="00464EEC"/>
    <w:rsid w:val="00472E22"/>
    <w:rsid w:val="00474D2B"/>
    <w:rsid w:val="0047598B"/>
    <w:rsid w:val="004759EE"/>
    <w:rsid w:val="004763F2"/>
    <w:rsid w:val="004765CE"/>
    <w:rsid w:val="00477A41"/>
    <w:rsid w:val="00477EA3"/>
    <w:rsid w:val="0048272D"/>
    <w:rsid w:val="0048481B"/>
    <w:rsid w:val="004849CE"/>
    <w:rsid w:val="0048637D"/>
    <w:rsid w:val="00486B3F"/>
    <w:rsid w:val="00487D4A"/>
    <w:rsid w:val="00490A52"/>
    <w:rsid w:val="00493004"/>
    <w:rsid w:val="00493813"/>
    <w:rsid w:val="004946E7"/>
    <w:rsid w:val="0049559C"/>
    <w:rsid w:val="004965AA"/>
    <w:rsid w:val="004A236F"/>
    <w:rsid w:val="004A263E"/>
    <w:rsid w:val="004A33EF"/>
    <w:rsid w:val="004A34C0"/>
    <w:rsid w:val="004A573D"/>
    <w:rsid w:val="004A6E14"/>
    <w:rsid w:val="004A714C"/>
    <w:rsid w:val="004B0437"/>
    <w:rsid w:val="004B06EA"/>
    <w:rsid w:val="004B2810"/>
    <w:rsid w:val="004B3902"/>
    <w:rsid w:val="004B3F0D"/>
    <w:rsid w:val="004B414C"/>
    <w:rsid w:val="004B41F0"/>
    <w:rsid w:val="004B4328"/>
    <w:rsid w:val="004B4C2F"/>
    <w:rsid w:val="004B5C5F"/>
    <w:rsid w:val="004B6263"/>
    <w:rsid w:val="004B6408"/>
    <w:rsid w:val="004B7501"/>
    <w:rsid w:val="004C00D5"/>
    <w:rsid w:val="004C2624"/>
    <w:rsid w:val="004C2ED2"/>
    <w:rsid w:val="004C3979"/>
    <w:rsid w:val="004C40BC"/>
    <w:rsid w:val="004C6D78"/>
    <w:rsid w:val="004D15E2"/>
    <w:rsid w:val="004D1E90"/>
    <w:rsid w:val="004D29DF"/>
    <w:rsid w:val="004D2C1A"/>
    <w:rsid w:val="004D3267"/>
    <w:rsid w:val="004D33E8"/>
    <w:rsid w:val="004D41E3"/>
    <w:rsid w:val="004D538C"/>
    <w:rsid w:val="004D5514"/>
    <w:rsid w:val="004D5B48"/>
    <w:rsid w:val="004D608C"/>
    <w:rsid w:val="004D6589"/>
    <w:rsid w:val="004E0BB3"/>
    <w:rsid w:val="004E0F70"/>
    <w:rsid w:val="004E12DA"/>
    <w:rsid w:val="004E1673"/>
    <w:rsid w:val="004E3173"/>
    <w:rsid w:val="004E4631"/>
    <w:rsid w:val="004E4BAC"/>
    <w:rsid w:val="004E4D0E"/>
    <w:rsid w:val="004E5AAA"/>
    <w:rsid w:val="004F02EF"/>
    <w:rsid w:val="004F3A07"/>
    <w:rsid w:val="004F4032"/>
    <w:rsid w:val="004F4C48"/>
    <w:rsid w:val="004F5032"/>
    <w:rsid w:val="004F54B8"/>
    <w:rsid w:val="00500B9F"/>
    <w:rsid w:val="00502548"/>
    <w:rsid w:val="005028C2"/>
    <w:rsid w:val="005050BA"/>
    <w:rsid w:val="00506217"/>
    <w:rsid w:val="0051004B"/>
    <w:rsid w:val="0051198D"/>
    <w:rsid w:val="0051198E"/>
    <w:rsid w:val="00512327"/>
    <w:rsid w:val="0051350F"/>
    <w:rsid w:val="00513B88"/>
    <w:rsid w:val="00513D57"/>
    <w:rsid w:val="00514B94"/>
    <w:rsid w:val="00515264"/>
    <w:rsid w:val="00515C8A"/>
    <w:rsid w:val="00517E04"/>
    <w:rsid w:val="00520717"/>
    <w:rsid w:val="00520781"/>
    <w:rsid w:val="005218B7"/>
    <w:rsid w:val="005218F4"/>
    <w:rsid w:val="00521914"/>
    <w:rsid w:val="005246D1"/>
    <w:rsid w:val="00525B53"/>
    <w:rsid w:val="005274B3"/>
    <w:rsid w:val="005317A4"/>
    <w:rsid w:val="00532174"/>
    <w:rsid w:val="005321BB"/>
    <w:rsid w:val="00532D8B"/>
    <w:rsid w:val="00533777"/>
    <w:rsid w:val="005343F9"/>
    <w:rsid w:val="005358E1"/>
    <w:rsid w:val="00535D61"/>
    <w:rsid w:val="00537190"/>
    <w:rsid w:val="0054022F"/>
    <w:rsid w:val="00541025"/>
    <w:rsid w:val="00543192"/>
    <w:rsid w:val="0054343A"/>
    <w:rsid w:val="00543802"/>
    <w:rsid w:val="005441A0"/>
    <w:rsid w:val="005444C3"/>
    <w:rsid w:val="005445F4"/>
    <w:rsid w:val="00544DA3"/>
    <w:rsid w:val="005458B4"/>
    <w:rsid w:val="00546715"/>
    <w:rsid w:val="005478C0"/>
    <w:rsid w:val="0055544D"/>
    <w:rsid w:val="0055795D"/>
    <w:rsid w:val="00560A50"/>
    <w:rsid w:val="00563EE8"/>
    <w:rsid w:val="00565B4C"/>
    <w:rsid w:val="0057113B"/>
    <w:rsid w:val="00571260"/>
    <w:rsid w:val="00573E3A"/>
    <w:rsid w:val="00573EE2"/>
    <w:rsid w:val="005746DC"/>
    <w:rsid w:val="005757A9"/>
    <w:rsid w:val="0057587C"/>
    <w:rsid w:val="005758ED"/>
    <w:rsid w:val="005758F3"/>
    <w:rsid w:val="00575EA2"/>
    <w:rsid w:val="0057603F"/>
    <w:rsid w:val="0057637D"/>
    <w:rsid w:val="00577DAC"/>
    <w:rsid w:val="005832E0"/>
    <w:rsid w:val="00585169"/>
    <w:rsid w:val="00585967"/>
    <w:rsid w:val="00585A44"/>
    <w:rsid w:val="005873CD"/>
    <w:rsid w:val="00591064"/>
    <w:rsid w:val="005914E6"/>
    <w:rsid w:val="00591A0A"/>
    <w:rsid w:val="0059369E"/>
    <w:rsid w:val="00596521"/>
    <w:rsid w:val="005967F0"/>
    <w:rsid w:val="005971AD"/>
    <w:rsid w:val="00597DAA"/>
    <w:rsid w:val="005A0248"/>
    <w:rsid w:val="005A1477"/>
    <w:rsid w:val="005A19DB"/>
    <w:rsid w:val="005A2281"/>
    <w:rsid w:val="005A4B19"/>
    <w:rsid w:val="005A4C1E"/>
    <w:rsid w:val="005A655E"/>
    <w:rsid w:val="005A6FCB"/>
    <w:rsid w:val="005B09BB"/>
    <w:rsid w:val="005B1D17"/>
    <w:rsid w:val="005B2646"/>
    <w:rsid w:val="005B4052"/>
    <w:rsid w:val="005B421B"/>
    <w:rsid w:val="005B5149"/>
    <w:rsid w:val="005B51F8"/>
    <w:rsid w:val="005B552F"/>
    <w:rsid w:val="005B653C"/>
    <w:rsid w:val="005B67AF"/>
    <w:rsid w:val="005C0AC7"/>
    <w:rsid w:val="005C0B71"/>
    <w:rsid w:val="005C139B"/>
    <w:rsid w:val="005C195A"/>
    <w:rsid w:val="005C3863"/>
    <w:rsid w:val="005C3AE5"/>
    <w:rsid w:val="005C460F"/>
    <w:rsid w:val="005C4D6B"/>
    <w:rsid w:val="005C5F16"/>
    <w:rsid w:val="005C6EC4"/>
    <w:rsid w:val="005C7F8E"/>
    <w:rsid w:val="005D0472"/>
    <w:rsid w:val="005D0E52"/>
    <w:rsid w:val="005D1558"/>
    <w:rsid w:val="005D3431"/>
    <w:rsid w:val="005D46C3"/>
    <w:rsid w:val="005D5711"/>
    <w:rsid w:val="005D58D5"/>
    <w:rsid w:val="005D5BFE"/>
    <w:rsid w:val="005D6A4D"/>
    <w:rsid w:val="005D724C"/>
    <w:rsid w:val="005E0168"/>
    <w:rsid w:val="005E0BA2"/>
    <w:rsid w:val="005E1694"/>
    <w:rsid w:val="005E2199"/>
    <w:rsid w:val="005E2497"/>
    <w:rsid w:val="005E369F"/>
    <w:rsid w:val="005E3A4C"/>
    <w:rsid w:val="005E40A1"/>
    <w:rsid w:val="005E64E5"/>
    <w:rsid w:val="005E709F"/>
    <w:rsid w:val="005E74D4"/>
    <w:rsid w:val="005E7B0A"/>
    <w:rsid w:val="005F0125"/>
    <w:rsid w:val="005F0BB0"/>
    <w:rsid w:val="005F166B"/>
    <w:rsid w:val="005F171A"/>
    <w:rsid w:val="005F1961"/>
    <w:rsid w:val="005F428B"/>
    <w:rsid w:val="005F46F4"/>
    <w:rsid w:val="005F4C25"/>
    <w:rsid w:val="005F5725"/>
    <w:rsid w:val="005F61F7"/>
    <w:rsid w:val="005F64A2"/>
    <w:rsid w:val="005F7466"/>
    <w:rsid w:val="005F7DE7"/>
    <w:rsid w:val="00600E1E"/>
    <w:rsid w:val="006011EB"/>
    <w:rsid w:val="00601978"/>
    <w:rsid w:val="00601F5A"/>
    <w:rsid w:val="00602260"/>
    <w:rsid w:val="0060497D"/>
    <w:rsid w:val="00604A2B"/>
    <w:rsid w:val="00606529"/>
    <w:rsid w:val="0060675A"/>
    <w:rsid w:val="00606F01"/>
    <w:rsid w:val="006112A5"/>
    <w:rsid w:val="00611408"/>
    <w:rsid w:val="00612C4B"/>
    <w:rsid w:val="0061678D"/>
    <w:rsid w:val="006170BB"/>
    <w:rsid w:val="00620382"/>
    <w:rsid w:val="0062056C"/>
    <w:rsid w:val="00621AA3"/>
    <w:rsid w:val="0062294C"/>
    <w:rsid w:val="0062449E"/>
    <w:rsid w:val="00624CA6"/>
    <w:rsid w:val="00624EA3"/>
    <w:rsid w:val="00630BCA"/>
    <w:rsid w:val="00630D11"/>
    <w:rsid w:val="00631228"/>
    <w:rsid w:val="00631FDE"/>
    <w:rsid w:val="006329AB"/>
    <w:rsid w:val="00632A6B"/>
    <w:rsid w:val="0063333A"/>
    <w:rsid w:val="00633F2C"/>
    <w:rsid w:val="006353BE"/>
    <w:rsid w:val="00635597"/>
    <w:rsid w:val="0063584D"/>
    <w:rsid w:val="006362E1"/>
    <w:rsid w:val="00636B97"/>
    <w:rsid w:val="00636C19"/>
    <w:rsid w:val="0063718D"/>
    <w:rsid w:val="00640B7C"/>
    <w:rsid w:val="00640D9C"/>
    <w:rsid w:val="00640F13"/>
    <w:rsid w:val="00641740"/>
    <w:rsid w:val="00641F4E"/>
    <w:rsid w:val="00642940"/>
    <w:rsid w:val="006432F0"/>
    <w:rsid w:val="00643D76"/>
    <w:rsid w:val="006446CA"/>
    <w:rsid w:val="00644C17"/>
    <w:rsid w:val="00645844"/>
    <w:rsid w:val="00645A12"/>
    <w:rsid w:val="00645B4E"/>
    <w:rsid w:val="00651333"/>
    <w:rsid w:val="006527C9"/>
    <w:rsid w:val="00653043"/>
    <w:rsid w:val="00653082"/>
    <w:rsid w:val="00654FD1"/>
    <w:rsid w:val="006551DD"/>
    <w:rsid w:val="00656CBD"/>
    <w:rsid w:val="00657E56"/>
    <w:rsid w:val="00660B97"/>
    <w:rsid w:val="00661EAC"/>
    <w:rsid w:val="00661F4E"/>
    <w:rsid w:val="006627EF"/>
    <w:rsid w:val="0066305B"/>
    <w:rsid w:val="0066308D"/>
    <w:rsid w:val="00663588"/>
    <w:rsid w:val="006641F2"/>
    <w:rsid w:val="00664D8E"/>
    <w:rsid w:val="00664D9E"/>
    <w:rsid w:val="00664DD1"/>
    <w:rsid w:val="006652F2"/>
    <w:rsid w:val="00666A71"/>
    <w:rsid w:val="00670885"/>
    <w:rsid w:val="00670BD6"/>
    <w:rsid w:val="006718C1"/>
    <w:rsid w:val="006722F7"/>
    <w:rsid w:val="00672B58"/>
    <w:rsid w:val="00674A58"/>
    <w:rsid w:val="0067516A"/>
    <w:rsid w:val="00675257"/>
    <w:rsid w:val="006752FA"/>
    <w:rsid w:val="006759D0"/>
    <w:rsid w:val="00676ACC"/>
    <w:rsid w:val="00680905"/>
    <w:rsid w:val="00684934"/>
    <w:rsid w:val="006849B2"/>
    <w:rsid w:val="0068524B"/>
    <w:rsid w:val="00685481"/>
    <w:rsid w:val="006857DD"/>
    <w:rsid w:val="0068786F"/>
    <w:rsid w:val="00687A2E"/>
    <w:rsid w:val="00690F8E"/>
    <w:rsid w:val="006926D8"/>
    <w:rsid w:val="00692A46"/>
    <w:rsid w:val="00692D31"/>
    <w:rsid w:val="00693219"/>
    <w:rsid w:val="00694C08"/>
    <w:rsid w:val="00697A37"/>
    <w:rsid w:val="006A127E"/>
    <w:rsid w:val="006A1525"/>
    <w:rsid w:val="006A1A73"/>
    <w:rsid w:val="006A22B3"/>
    <w:rsid w:val="006A2569"/>
    <w:rsid w:val="006A3B64"/>
    <w:rsid w:val="006A3B7A"/>
    <w:rsid w:val="006A3B7C"/>
    <w:rsid w:val="006A4ADB"/>
    <w:rsid w:val="006A5FC1"/>
    <w:rsid w:val="006A6127"/>
    <w:rsid w:val="006A63BC"/>
    <w:rsid w:val="006B0D2B"/>
    <w:rsid w:val="006B19CD"/>
    <w:rsid w:val="006B2156"/>
    <w:rsid w:val="006B24B3"/>
    <w:rsid w:val="006B3CEE"/>
    <w:rsid w:val="006B4327"/>
    <w:rsid w:val="006B52D8"/>
    <w:rsid w:val="006B5530"/>
    <w:rsid w:val="006B716F"/>
    <w:rsid w:val="006C08F7"/>
    <w:rsid w:val="006C0A73"/>
    <w:rsid w:val="006C0B25"/>
    <w:rsid w:val="006C15E6"/>
    <w:rsid w:val="006C2727"/>
    <w:rsid w:val="006C357A"/>
    <w:rsid w:val="006C4720"/>
    <w:rsid w:val="006C47E8"/>
    <w:rsid w:val="006C53E2"/>
    <w:rsid w:val="006C57DC"/>
    <w:rsid w:val="006C5A1B"/>
    <w:rsid w:val="006C5AE2"/>
    <w:rsid w:val="006C600A"/>
    <w:rsid w:val="006C6D1F"/>
    <w:rsid w:val="006C7FBC"/>
    <w:rsid w:val="006D0103"/>
    <w:rsid w:val="006D04F9"/>
    <w:rsid w:val="006D16AC"/>
    <w:rsid w:val="006D2AA6"/>
    <w:rsid w:val="006D45A7"/>
    <w:rsid w:val="006D4E48"/>
    <w:rsid w:val="006D5A0E"/>
    <w:rsid w:val="006D5F79"/>
    <w:rsid w:val="006D73AD"/>
    <w:rsid w:val="006D7419"/>
    <w:rsid w:val="006E0BCA"/>
    <w:rsid w:val="006E1DB0"/>
    <w:rsid w:val="006E2219"/>
    <w:rsid w:val="006E35F2"/>
    <w:rsid w:val="006E3960"/>
    <w:rsid w:val="006E4706"/>
    <w:rsid w:val="006E48EA"/>
    <w:rsid w:val="006E5AF4"/>
    <w:rsid w:val="006E5DFF"/>
    <w:rsid w:val="006E67DF"/>
    <w:rsid w:val="006E7379"/>
    <w:rsid w:val="006E75D9"/>
    <w:rsid w:val="006F02C2"/>
    <w:rsid w:val="006F04B3"/>
    <w:rsid w:val="006F067F"/>
    <w:rsid w:val="006F085A"/>
    <w:rsid w:val="006F0BAC"/>
    <w:rsid w:val="006F1138"/>
    <w:rsid w:val="006F2255"/>
    <w:rsid w:val="006F3A6D"/>
    <w:rsid w:val="006F582C"/>
    <w:rsid w:val="006F65EE"/>
    <w:rsid w:val="006F6D24"/>
    <w:rsid w:val="006F7D11"/>
    <w:rsid w:val="0070083C"/>
    <w:rsid w:val="00700C1D"/>
    <w:rsid w:val="00701904"/>
    <w:rsid w:val="00702C1A"/>
    <w:rsid w:val="00703EE8"/>
    <w:rsid w:val="007053B6"/>
    <w:rsid w:val="00706925"/>
    <w:rsid w:val="00710243"/>
    <w:rsid w:val="00710981"/>
    <w:rsid w:val="00710D1F"/>
    <w:rsid w:val="007121BD"/>
    <w:rsid w:val="0071278C"/>
    <w:rsid w:val="00712B4F"/>
    <w:rsid w:val="007133E6"/>
    <w:rsid w:val="007137E5"/>
    <w:rsid w:val="00713A48"/>
    <w:rsid w:val="00713BDD"/>
    <w:rsid w:val="00715331"/>
    <w:rsid w:val="007156F3"/>
    <w:rsid w:val="00715892"/>
    <w:rsid w:val="00715A53"/>
    <w:rsid w:val="00715A76"/>
    <w:rsid w:val="00715C41"/>
    <w:rsid w:val="007171C2"/>
    <w:rsid w:val="007204A5"/>
    <w:rsid w:val="007212C8"/>
    <w:rsid w:val="0072131B"/>
    <w:rsid w:val="007214B5"/>
    <w:rsid w:val="00721E13"/>
    <w:rsid w:val="0072218E"/>
    <w:rsid w:val="00723C66"/>
    <w:rsid w:val="0072432F"/>
    <w:rsid w:val="007253BF"/>
    <w:rsid w:val="007253D1"/>
    <w:rsid w:val="00725E7D"/>
    <w:rsid w:val="007273A1"/>
    <w:rsid w:val="00731ECA"/>
    <w:rsid w:val="00733F7F"/>
    <w:rsid w:val="007349EA"/>
    <w:rsid w:val="00736045"/>
    <w:rsid w:val="0073609D"/>
    <w:rsid w:val="00736E46"/>
    <w:rsid w:val="007373A6"/>
    <w:rsid w:val="00740433"/>
    <w:rsid w:val="00740DEE"/>
    <w:rsid w:val="00741135"/>
    <w:rsid w:val="00741CCE"/>
    <w:rsid w:val="00742874"/>
    <w:rsid w:val="00742B52"/>
    <w:rsid w:val="00742E58"/>
    <w:rsid w:val="0074358C"/>
    <w:rsid w:val="00746653"/>
    <w:rsid w:val="0074730C"/>
    <w:rsid w:val="00750107"/>
    <w:rsid w:val="00750292"/>
    <w:rsid w:val="00750753"/>
    <w:rsid w:val="00750A5D"/>
    <w:rsid w:val="00750EFF"/>
    <w:rsid w:val="007513D4"/>
    <w:rsid w:val="00751921"/>
    <w:rsid w:val="00752333"/>
    <w:rsid w:val="0075275F"/>
    <w:rsid w:val="00753AC8"/>
    <w:rsid w:val="00755F76"/>
    <w:rsid w:val="007562DC"/>
    <w:rsid w:val="00756507"/>
    <w:rsid w:val="00760903"/>
    <w:rsid w:val="00760BC4"/>
    <w:rsid w:val="00760E54"/>
    <w:rsid w:val="00762DD1"/>
    <w:rsid w:val="00763016"/>
    <w:rsid w:val="007633D7"/>
    <w:rsid w:val="00763E79"/>
    <w:rsid w:val="00763F29"/>
    <w:rsid w:val="007665A9"/>
    <w:rsid w:val="00766937"/>
    <w:rsid w:val="007673BF"/>
    <w:rsid w:val="0076743F"/>
    <w:rsid w:val="00770DF9"/>
    <w:rsid w:val="00772054"/>
    <w:rsid w:val="007725C4"/>
    <w:rsid w:val="00772DBC"/>
    <w:rsid w:val="007756D4"/>
    <w:rsid w:val="00776E51"/>
    <w:rsid w:val="00777E35"/>
    <w:rsid w:val="00777E50"/>
    <w:rsid w:val="00780299"/>
    <w:rsid w:val="00780DF7"/>
    <w:rsid w:val="007824DC"/>
    <w:rsid w:val="00782732"/>
    <w:rsid w:val="00783652"/>
    <w:rsid w:val="00784871"/>
    <w:rsid w:val="00785306"/>
    <w:rsid w:val="007874F6"/>
    <w:rsid w:val="00787722"/>
    <w:rsid w:val="00791F86"/>
    <w:rsid w:val="00792367"/>
    <w:rsid w:val="007924A5"/>
    <w:rsid w:val="00792B27"/>
    <w:rsid w:val="0079311A"/>
    <w:rsid w:val="00794ABF"/>
    <w:rsid w:val="0079739B"/>
    <w:rsid w:val="007A01AC"/>
    <w:rsid w:val="007A0918"/>
    <w:rsid w:val="007A0FFD"/>
    <w:rsid w:val="007A16B1"/>
    <w:rsid w:val="007A174E"/>
    <w:rsid w:val="007A1B7A"/>
    <w:rsid w:val="007A67CC"/>
    <w:rsid w:val="007A6800"/>
    <w:rsid w:val="007A7274"/>
    <w:rsid w:val="007A72A7"/>
    <w:rsid w:val="007B2AF6"/>
    <w:rsid w:val="007B2C3F"/>
    <w:rsid w:val="007B53FF"/>
    <w:rsid w:val="007B62D4"/>
    <w:rsid w:val="007B71C3"/>
    <w:rsid w:val="007C07B1"/>
    <w:rsid w:val="007C098B"/>
    <w:rsid w:val="007C141F"/>
    <w:rsid w:val="007C1EB8"/>
    <w:rsid w:val="007C1F87"/>
    <w:rsid w:val="007C2956"/>
    <w:rsid w:val="007C3AF4"/>
    <w:rsid w:val="007C47A1"/>
    <w:rsid w:val="007C521A"/>
    <w:rsid w:val="007C6D56"/>
    <w:rsid w:val="007D0C39"/>
    <w:rsid w:val="007D3758"/>
    <w:rsid w:val="007D442B"/>
    <w:rsid w:val="007D49AA"/>
    <w:rsid w:val="007D7EB3"/>
    <w:rsid w:val="007E0103"/>
    <w:rsid w:val="007E0CBF"/>
    <w:rsid w:val="007E1EE1"/>
    <w:rsid w:val="007E2EDE"/>
    <w:rsid w:val="007E3A47"/>
    <w:rsid w:val="007E3C56"/>
    <w:rsid w:val="007E3E75"/>
    <w:rsid w:val="007E5B35"/>
    <w:rsid w:val="007E6D28"/>
    <w:rsid w:val="007E7577"/>
    <w:rsid w:val="007E7B87"/>
    <w:rsid w:val="007F073B"/>
    <w:rsid w:val="007F0A48"/>
    <w:rsid w:val="007F0AD7"/>
    <w:rsid w:val="007F1F8C"/>
    <w:rsid w:val="007F236D"/>
    <w:rsid w:val="007F5446"/>
    <w:rsid w:val="007F5CA3"/>
    <w:rsid w:val="007F5F7D"/>
    <w:rsid w:val="007F6191"/>
    <w:rsid w:val="007F6BE0"/>
    <w:rsid w:val="007F6D0D"/>
    <w:rsid w:val="007F6F22"/>
    <w:rsid w:val="007F7407"/>
    <w:rsid w:val="007F748A"/>
    <w:rsid w:val="00800139"/>
    <w:rsid w:val="00800968"/>
    <w:rsid w:val="00800C77"/>
    <w:rsid w:val="00801357"/>
    <w:rsid w:val="00801365"/>
    <w:rsid w:val="0080284E"/>
    <w:rsid w:val="00802C1E"/>
    <w:rsid w:val="00803DD9"/>
    <w:rsid w:val="00804A39"/>
    <w:rsid w:val="00804F96"/>
    <w:rsid w:val="008068E7"/>
    <w:rsid w:val="00806DD2"/>
    <w:rsid w:val="008071CF"/>
    <w:rsid w:val="00810B32"/>
    <w:rsid w:val="00810B6A"/>
    <w:rsid w:val="00810C3A"/>
    <w:rsid w:val="008118A4"/>
    <w:rsid w:val="00811967"/>
    <w:rsid w:val="00812B9D"/>
    <w:rsid w:val="0081410B"/>
    <w:rsid w:val="00814F20"/>
    <w:rsid w:val="00814F49"/>
    <w:rsid w:val="00815A2C"/>
    <w:rsid w:val="008164B4"/>
    <w:rsid w:val="008166E0"/>
    <w:rsid w:val="00816F50"/>
    <w:rsid w:val="008172E2"/>
    <w:rsid w:val="008175C7"/>
    <w:rsid w:val="00817C9B"/>
    <w:rsid w:val="00820977"/>
    <w:rsid w:val="00820C30"/>
    <w:rsid w:val="00820D0A"/>
    <w:rsid w:val="00821B1D"/>
    <w:rsid w:val="00821B4E"/>
    <w:rsid w:val="0082232E"/>
    <w:rsid w:val="00822A67"/>
    <w:rsid w:val="00822C10"/>
    <w:rsid w:val="00822EE2"/>
    <w:rsid w:val="0082378E"/>
    <w:rsid w:val="008242E6"/>
    <w:rsid w:val="0082484A"/>
    <w:rsid w:val="00826320"/>
    <w:rsid w:val="00826F95"/>
    <w:rsid w:val="008272C3"/>
    <w:rsid w:val="00827496"/>
    <w:rsid w:val="008275C8"/>
    <w:rsid w:val="00827637"/>
    <w:rsid w:val="00827BD8"/>
    <w:rsid w:val="00827C43"/>
    <w:rsid w:val="00827E25"/>
    <w:rsid w:val="0083046B"/>
    <w:rsid w:val="008314CD"/>
    <w:rsid w:val="008323FB"/>
    <w:rsid w:val="00834C10"/>
    <w:rsid w:val="00834F94"/>
    <w:rsid w:val="00835390"/>
    <w:rsid w:val="00835C31"/>
    <w:rsid w:val="0083655A"/>
    <w:rsid w:val="00837015"/>
    <w:rsid w:val="00840203"/>
    <w:rsid w:val="00840A37"/>
    <w:rsid w:val="00841622"/>
    <w:rsid w:val="00843808"/>
    <w:rsid w:val="0084414D"/>
    <w:rsid w:val="008443EA"/>
    <w:rsid w:val="00844CC5"/>
    <w:rsid w:val="00845226"/>
    <w:rsid w:val="008458B5"/>
    <w:rsid w:val="00845D56"/>
    <w:rsid w:val="00846702"/>
    <w:rsid w:val="00846F5C"/>
    <w:rsid w:val="008470F0"/>
    <w:rsid w:val="008475A5"/>
    <w:rsid w:val="00847FB7"/>
    <w:rsid w:val="008566A8"/>
    <w:rsid w:val="00856784"/>
    <w:rsid w:val="00856962"/>
    <w:rsid w:val="008577A4"/>
    <w:rsid w:val="008579D4"/>
    <w:rsid w:val="008623BE"/>
    <w:rsid w:val="00862457"/>
    <w:rsid w:val="0086274D"/>
    <w:rsid w:val="00863E5F"/>
    <w:rsid w:val="00864052"/>
    <w:rsid w:val="00864FB6"/>
    <w:rsid w:val="00865CBC"/>
    <w:rsid w:val="00866BC0"/>
    <w:rsid w:val="008707EE"/>
    <w:rsid w:val="008708A0"/>
    <w:rsid w:val="00871024"/>
    <w:rsid w:val="00871582"/>
    <w:rsid w:val="00871E18"/>
    <w:rsid w:val="008738FC"/>
    <w:rsid w:val="008746A3"/>
    <w:rsid w:val="00874E23"/>
    <w:rsid w:val="008752B9"/>
    <w:rsid w:val="0087536A"/>
    <w:rsid w:val="00875A43"/>
    <w:rsid w:val="00875C38"/>
    <w:rsid w:val="00876064"/>
    <w:rsid w:val="008760F0"/>
    <w:rsid w:val="00876BA9"/>
    <w:rsid w:val="008802C4"/>
    <w:rsid w:val="0088081F"/>
    <w:rsid w:val="00881C72"/>
    <w:rsid w:val="00882578"/>
    <w:rsid w:val="008846D9"/>
    <w:rsid w:val="008854D4"/>
    <w:rsid w:val="00885B02"/>
    <w:rsid w:val="00887141"/>
    <w:rsid w:val="00887148"/>
    <w:rsid w:val="00887D2E"/>
    <w:rsid w:val="0089094B"/>
    <w:rsid w:val="00891AD2"/>
    <w:rsid w:val="00897878"/>
    <w:rsid w:val="008A06D5"/>
    <w:rsid w:val="008A2CDF"/>
    <w:rsid w:val="008A3094"/>
    <w:rsid w:val="008A3708"/>
    <w:rsid w:val="008A55BC"/>
    <w:rsid w:val="008A5D7D"/>
    <w:rsid w:val="008A6457"/>
    <w:rsid w:val="008A770F"/>
    <w:rsid w:val="008A7E89"/>
    <w:rsid w:val="008B03AF"/>
    <w:rsid w:val="008B1284"/>
    <w:rsid w:val="008B2913"/>
    <w:rsid w:val="008B409D"/>
    <w:rsid w:val="008B78A5"/>
    <w:rsid w:val="008C1571"/>
    <w:rsid w:val="008C1792"/>
    <w:rsid w:val="008C1922"/>
    <w:rsid w:val="008C2706"/>
    <w:rsid w:val="008C4F12"/>
    <w:rsid w:val="008C7542"/>
    <w:rsid w:val="008D00B1"/>
    <w:rsid w:val="008D0BA5"/>
    <w:rsid w:val="008D1C05"/>
    <w:rsid w:val="008D1FC0"/>
    <w:rsid w:val="008D29FE"/>
    <w:rsid w:val="008D3825"/>
    <w:rsid w:val="008D5D7A"/>
    <w:rsid w:val="008D71B0"/>
    <w:rsid w:val="008D7D01"/>
    <w:rsid w:val="008E0EBD"/>
    <w:rsid w:val="008E14F1"/>
    <w:rsid w:val="008E1F15"/>
    <w:rsid w:val="008E2152"/>
    <w:rsid w:val="008E2F9A"/>
    <w:rsid w:val="008E31CE"/>
    <w:rsid w:val="008E3F46"/>
    <w:rsid w:val="008E411B"/>
    <w:rsid w:val="008E4FE3"/>
    <w:rsid w:val="008E620E"/>
    <w:rsid w:val="008E68CC"/>
    <w:rsid w:val="008E76FA"/>
    <w:rsid w:val="008F01E0"/>
    <w:rsid w:val="008F0BEA"/>
    <w:rsid w:val="008F1899"/>
    <w:rsid w:val="008F1A2E"/>
    <w:rsid w:val="008F2759"/>
    <w:rsid w:val="008F48FE"/>
    <w:rsid w:val="008F4989"/>
    <w:rsid w:val="008F4E0F"/>
    <w:rsid w:val="008F5802"/>
    <w:rsid w:val="008F5F43"/>
    <w:rsid w:val="008F624F"/>
    <w:rsid w:val="008F6C29"/>
    <w:rsid w:val="008F6DEF"/>
    <w:rsid w:val="008F7363"/>
    <w:rsid w:val="008F786A"/>
    <w:rsid w:val="00900B84"/>
    <w:rsid w:val="009011AF"/>
    <w:rsid w:val="00903099"/>
    <w:rsid w:val="00903757"/>
    <w:rsid w:val="00903D00"/>
    <w:rsid w:val="0090527D"/>
    <w:rsid w:val="009064A2"/>
    <w:rsid w:val="00907796"/>
    <w:rsid w:val="00910A5E"/>
    <w:rsid w:val="0091343D"/>
    <w:rsid w:val="00913FA0"/>
    <w:rsid w:val="00915549"/>
    <w:rsid w:val="00916D17"/>
    <w:rsid w:val="009175E4"/>
    <w:rsid w:val="00917C0E"/>
    <w:rsid w:val="00917DC6"/>
    <w:rsid w:val="009206B0"/>
    <w:rsid w:val="009224DA"/>
    <w:rsid w:val="00923172"/>
    <w:rsid w:val="00923C1E"/>
    <w:rsid w:val="00925D77"/>
    <w:rsid w:val="00927036"/>
    <w:rsid w:val="0093063A"/>
    <w:rsid w:val="00930DAC"/>
    <w:rsid w:val="0093115E"/>
    <w:rsid w:val="00931B22"/>
    <w:rsid w:val="009323B0"/>
    <w:rsid w:val="00932522"/>
    <w:rsid w:val="009345E2"/>
    <w:rsid w:val="009357F2"/>
    <w:rsid w:val="00935FA0"/>
    <w:rsid w:val="00936978"/>
    <w:rsid w:val="0093716F"/>
    <w:rsid w:val="009378EE"/>
    <w:rsid w:val="009379CF"/>
    <w:rsid w:val="009400C9"/>
    <w:rsid w:val="009401B3"/>
    <w:rsid w:val="00940313"/>
    <w:rsid w:val="00940BC3"/>
    <w:rsid w:val="00941313"/>
    <w:rsid w:val="009422E6"/>
    <w:rsid w:val="00945B49"/>
    <w:rsid w:val="009462DD"/>
    <w:rsid w:val="0094692C"/>
    <w:rsid w:val="009479EA"/>
    <w:rsid w:val="00947AE5"/>
    <w:rsid w:val="00950072"/>
    <w:rsid w:val="009501E2"/>
    <w:rsid w:val="00951711"/>
    <w:rsid w:val="009521E9"/>
    <w:rsid w:val="00953C17"/>
    <w:rsid w:val="0095417A"/>
    <w:rsid w:val="009544CC"/>
    <w:rsid w:val="00954A0E"/>
    <w:rsid w:val="00954DB3"/>
    <w:rsid w:val="009558FD"/>
    <w:rsid w:val="00955C18"/>
    <w:rsid w:val="009604C5"/>
    <w:rsid w:val="00960AD5"/>
    <w:rsid w:val="0096160D"/>
    <w:rsid w:val="009620DD"/>
    <w:rsid w:val="009645C2"/>
    <w:rsid w:val="00964657"/>
    <w:rsid w:val="00964E19"/>
    <w:rsid w:val="00964EBA"/>
    <w:rsid w:val="009652E4"/>
    <w:rsid w:val="00965BAB"/>
    <w:rsid w:val="00965D05"/>
    <w:rsid w:val="00966571"/>
    <w:rsid w:val="009666FC"/>
    <w:rsid w:val="0096675D"/>
    <w:rsid w:val="00967056"/>
    <w:rsid w:val="009677DA"/>
    <w:rsid w:val="00971435"/>
    <w:rsid w:val="009726C1"/>
    <w:rsid w:val="00973C8C"/>
    <w:rsid w:val="00973CDD"/>
    <w:rsid w:val="009772B1"/>
    <w:rsid w:val="009803BE"/>
    <w:rsid w:val="00980902"/>
    <w:rsid w:val="00981A5C"/>
    <w:rsid w:val="0098348B"/>
    <w:rsid w:val="0098476D"/>
    <w:rsid w:val="00985E04"/>
    <w:rsid w:val="00986254"/>
    <w:rsid w:val="00986B28"/>
    <w:rsid w:val="00986BCF"/>
    <w:rsid w:val="00987534"/>
    <w:rsid w:val="009908DE"/>
    <w:rsid w:val="0099126E"/>
    <w:rsid w:val="00991FC8"/>
    <w:rsid w:val="00992DF3"/>
    <w:rsid w:val="00992F56"/>
    <w:rsid w:val="00993423"/>
    <w:rsid w:val="0099414B"/>
    <w:rsid w:val="00995444"/>
    <w:rsid w:val="009958A4"/>
    <w:rsid w:val="009A01E4"/>
    <w:rsid w:val="009A37DF"/>
    <w:rsid w:val="009A3EA5"/>
    <w:rsid w:val="009A3F9A"/>
    <w:rsid w:val="009A440F"/>
    <w:rsid w:val="009A56A7"/>
    <w:rsid w:val="009A68C1"/>
    <w:rsid w:val="009A6AF7"/>
    <w:rsid w:val="009A6DA7"/>
    <w:rsid w:val="009B1CBF"/>
    <w:rsid w:val="009B363C"/>
    <w:rsid w:val="009B3FAB"/>
    <w:rsid w:val="009B566E"/>
    <w:rsid w:val="009B7344"/>
    <w:rsid w:val="009C0733"/>
    <w:rsid w:val="009C076C"/>
    <w:rsid w:val="009C08F6"/>
    <w:rsid w:val="009C26C2"/>
    <w:rsid w:val="009C2D6E"/>
    <w:rsid w:val="009C436E"/>
    <w:rsid w:val="009C45F5"/>
    <w:rsid w:val="009C7729"/>
    <w:rsid w:val="009C7C33"/>
    <w:rsid w:val="009C7E85"/>
    <w:rsid w:val="009D0228"/>
    <w:rsid w:val="009D0CC0"/>
    <w:rsid w:val="009D1713"/>
    <w:rsid w:val="009D20F3"/>
    <w:rsid w:val="009D2166"/>
    <w:rsid w:val="009D2289"/>
    <w:rsid w:val="009D2479"/>
    <w:rsid w:val="009D3906"/>
    <w:rsid w:val="009D52EF"/>
    <w:rsid w:val="009D5B31"/>
    <w:rsid w:val="009D662B"/>
    <w:rsid w:val="009D7904"/>
    <w:rsid w:val="009D7B7C"/>
    <w:rsid w:val="009E0D20"/>
    <w:rsid w:val="009E191E"/>
    <w:rsid w:val="009E2394"/>
    <w:rsid w:val="009E2838"/>
    <w:rsid w:val="009E2EB3"/>
    <w:rsid w:val="009E3CA2"/>
    <w:rsid w:val="009E4B2C"/>
    <w:rsid w:val="009E58C9"/>
    <w:rsid w:val="009E6058"/>
    <w:rsid w:val="009E65FE"/>
    <w:rsid w:val="009E799A"/>
    <w:rsid w:val="009F1876"/>
    <w:rsid w:val="009F1C46"/>
    <w:rsid w:val="009F2EB9"/>
    <w:rsid w:val="009F30A7"/>
    <w:rsid w:val="009F4A9C"/>
    <w:rsid w:val="009F6CEF"/>
    <w:rsid w:val="00A01063"/>
    <w:rsid w:val="00A026B0"/>
    <w:rsid w:val="00A037B6"/>
    <w:rsid w:val="00A0390D"/>
    <w:rsid w:val="00A03A9C"/>
    <w:rsid w:val="00A04735"/>
    <w:rsid w:val="00A04F8C"/>
    <w:rsid w:val="00A0624A"/>
    <w:rsid w:val="00A072A6"/>
    <w:rsid w:val="00A0781A"/>
    <w:rsid w:val="00A102A5"/>
    <w:rsid w:val="00A11F53"/>
    <w:rsid w:val="00A11F5E"/>
    <w:rsid w:val="00A1264D"/>
    <w:rsid w:val="00A158EC"/>
    <w:rsid w:val="00A16411"/>
    <w:rsid w:val="00A16C20"/>
    <w:rsid w:val="00A17149"/>
    <w:rsid w:val="00A20C3A"/>
    <w:rsid w:val="00A20D8D"/>
    <w:rsid w:val="00A22D05"/>
    <w:rsid w:val="00A23B4B"/>
    <w:rsid w:val="00A23D92"/>
    <w:rsid w:val="00A27E34"/>
    <w:rsid w:val="00A30885"/>
    <w:rsid w:val="00A30A8A"/>
    <w:rsid w:val="00A30F09"/>
    <w:rsid w:val="00A3149F"/>
    <w:rsid w:val="00A31B9B"/>
    <w:rsid w:val="00A32350"/>
    <w:rsid w:val="00A32953"/>
    <w:rsid w:val="00A32E0B"/>
    <w:rsid w:val="00A36216"/>
    <w:rsid w:val="00A40D35"/>
    <w:rsid w:val="00A43CD1"/>
    <w:rsid w:val="00A456A2"/>
    <w:rsid w:val="00A4632C"/>
    <w:rsid w:val="00A47D8E"/>
    <w:rsid w:val="00A5017F"/>
    <w:rsid w:val="00A56167"/>
    <w:rsid w:val="00A56CB4"/>
    <w:rsid w:val="00A606EE"/>
    <w:rsid w:val="00A627E1"/>
    <w:rsid w:val="00A634CA"/>
    <w:rsid w:val="00A64B8A"/>
    <w:rsid w:val="00A653BA"/>
    <w:rsid w:val="00A66223"/>
    <w:rsid w:val="00A66368"/>
    <w:rsid w:val="00A67C6A"/>
    <w:rsid w:val="00A7056A"/>
    <w:rsid w:val="00A73555"/>
    <w:rsid w:val="00A741C5"/>
    <w:rsid w:val="00A74344"/>
    <w:rsid w:val="00A76971"/>
    <w:rsid w:val="00A76BDD"/>
    <w:rsid w:val="00A76DFA"/>
    <w:rsid w:val="00A80B53"/>
    <w:rsid w:val="00A83E2F"/>
    <w:rsid w:val="00A90B73"/>
    <w:rsid w:val="00A9194B"/>
    <w:rsid w:val="00A9268A"/>
    <w:rsid w:val="00A92F83"/>
    <w:rsid w:val="00AA0DB8"/>
    <w:rsid w:val="00AA276C"/>
    <w:rsid w:val="00AA363B"/>
    <w:rsid w:val="00AA3690"/>
    <w:rsid w:val="00AA4AC8"/>
    <w:rsid w:val="00AA4CB6"/>
    <w:rsid w:val="00AA7803"/>
    <w:rsid w:val="00AB0354"/>
    <w:rsid w:val="00AB2953"/>
    <w:rsid w:val="00AB4177"/>
    <w:rsid w:val="00AB4228"/>
    <w:rsid w:val="00AB44EE"/>
    <w:rsid w:val="00AB5AE9"/>
    <w:rsid w:val="00AB5F42"/>
    <w:rsid w:val="00AB66BE"/>
    <w:rsid w:val="00AB6974"/>
    <w:rsid w:val="00AB6AC4"/>
    <w:rsid w:val="00AC0429"/>
    <w:rsid w:val="00AC0477"/>
    <w:rsid w:val="00AC2F43"/>
    <w:rsid w:val="00AC3C1B"/>
    <w:rsid w:val="00AC7241"/>
    <w:rsid w:val="00AC7AE6"/>
    <w:rsid w:val="00AD1F9F"/>
    <w:rsid w:val="00AD4374"/>
    <w:rsid w:val="00AD4B3A"/>
    <w:rsid w:val="00AD6639"/>
    <w:rsid w:val="00AD6D2C"/>
    <w:rsid w:val="00AD6F08"/>
    <w:rsid w:val="00AD72D9"/>
    <w:rsid w:val="00AE0118"/>
    <w:rsid w:val="00AE01DC"/>
    <w:rsid w:val="00AE025F"/>
    <w:rsid w:val="00AE104B"/>
    <w:rsid w:val="00AE1DD6"/>
    <w:rsid w:val="00AE27C3"/>
    <w:rsid w:val="00AE2B37"/>
    <w:rsid w:val="00AE4F2F"/>
    <w:rsid w:val="00AE5C6D"/>
    <w:rsid w:val="00AE5CDC"/>
    <w:rsid w:val="00AE614E"/>
    <w:rsid w:val="00AE73FA"/>
    <w:rsid w:val="00AF0A14"/>
    <w:rsid w:val="00AF0C22"/>
    <w:rsid w:val="00AF237C"/>
    <w:rsid w:val="00AF4527"/>
    <w:rsid w:val="00AF46D6"/>
    <w:rsid w:val="00AF4978"/>
    <w:rsid w:val="00AF65A0"/>
    <w:rsid w:val="00B01E1B"/>
    <w:rsid w:val="00B03ACD"/>
    <w:rsid w:val="00B043DE"/>
    <w:rsid w:val="00B04776"/>
    <w:rsid w:val="00B0666F"/>
    <w:rsid w:val="00B07280"/>
    <w:rsid w:val="00B07B74"/>
    <w:rsid w:val="00B07BD9"/>
    <w:rsid w:val="00B1010F"/>
    <w:rsid w:val="00B11AD8"/>
    <w:rsid w:val="00B123A5"/>
    <w:rsid w:val="00B131AB"/>
    <w:rsid w:val="00B13329"/>
    <w:rsid w:val="00B1482E"/>
    <w:rsid w:val="00B15228"/>
    <w:rsid w:val="00B15F87"/>
    <w:rsid w:val="00B162E0"/>
    <w:rsid w:val="00B16650"/>
    <w:rsid w:val="00B1671C"/>
    <w:rsid w:val="00B16A5D"/>
    <w:rsid w:val="00B172D1"/>
    <w:rsid w:val="00B17CD4"/>
    <w:rsid w:val="00B203FD"/>
    <w:rsid w:val="00B21244"/>
    <w:rsid w:val="00B216BE"/>
    <w:rsid w:val="00B21AA8"/>
    <w:rsid w:val="00B2329D"/>
    <w:rsid w:val="00B23B35"/>
    <w:rsid w:val="00B257DE"/>
    <w:rsid w:val="00B2608B"/>
    <w:rsid w:val="00B26422"/>
    <w:rsid w:val="00B26FDF"/>
    <w:rsid w:val="00B273FA"/>
    <w:rsid w:val="00B30D74"/>
    <w:rsid w:val="00B31779"/>
    <w:rsid w:val="00B350D9"/>
    <w:rsid w:val="00B35EDB"/>
    <w:rsid w:val="00B36CEB"/>
    <w:rsid w:val="00B40D48"/>
    <w:rsid w:val="00B410F4"/>
    <w:rsid w:val="00B416FA"/>
    <w:rsid w:val="00B43838"/>
    <w:rsid w:val="00B44C5F"/>
    <w:rsid w:val="00B44F69"/>
    <w:rsid w:val="00B45FF8"/>
    <w:rsid w:val="00B4654C"/>
    <w:rsid w:val="00B466E3"/>
    <w:rsid w:val="00B4739F"/>
    <w:rsid w:val="00B503B4"/>
    <w:rsid w:val="00B530DE"/>
    <w:rsid w:val="00B53A12"/>
    <w:rsid w:val="00B54D38"/>
    <w:rsid w:val="00B54F87"/>
    <w:rsid w:val="00B56922"/>
    <w:rsid w:val="00B56E89"/>
    <w:rsid w:val="00B57CF1"/>
    <w:rsid w:val="00B6002C"/>
    <w:rsid w:val="00B610B1"/>
    <w:rsid w:val="00B612C6"/>
    <w:rsid w:val="00B62632"/>
    <w:rsid w:val="00B62875"/>
    <w:rsid w:val="00B634D6"/>
    <w:rsid w:val="00B63B5E"/>
    <w:rsid w:val="00B63D96"/>
    <w:rsid w:val="00B7039D"/>
    <w:rsid w:val="00B714FB"/>
    <w:rsid w:val="00B71E43"/>
    <w:rsid w:val="00B72DBF"/>
    <w:rsid w:val="00B7349B"/>
    <w:rsid w:val="00B73A3F"/>
    <w:rsid w:val="00B76843"/>
    <w:rsid w:val="00B77549"/>
    <w:rsid w:val="00B77F84"/>
    <w:rsid w:val="00B8055B"/>
    <w:rsid w:val="00B80B57"/>
    <w:rsid w:val="00B80DE6"/>
    <w:rsid w:val="00B81913"/>
    <w:rsid w:val="00B81DAE"/>
    <w:rsid w:val="00B84183"/>
    <w:rsid w:val="00B84815"/>
    <w:rsid w:val="00B863B4"/>
    <w:rsid w:val="00B87CC6"/>
    <w:rsid w:val="00B90129"/>
    <w:rsid w:val="00B903EB"/>
    <w:rsid w:val="00B90EAB"/>
    <w:rsid w:val="00B910DA"/>
    <w:rsid w:val="00B9134E"/>
    <w:rsid w:val="00B91AB5"/>
    <w:rsid w:val="00B95286"/>
    <w:rsid w:val="00B956FF"/>
    <w:rsid w:val="00B9776F"/>
    <w:rsid w:val="00B97A5F"/>
    <w:rsid w:val="00BA0FE4"/>
    <w:rsid w:val="00BA2637"/>
    <w:rsid w:val="00BA2F0A"/>
    <w:rsid w:val="00BA351A"/>
    <w:rsid w:val="00BA3813"/>
    <w:rsid w:val="00BA3D33"/>
    <w:rsid w:val="00BA430A"/>
    <w:rsid w:val="00BA4C86"/>
    <w:rsid w:val="00BA5010"/>
    <w:rsid w:val="00BA50B8"/>
    <w:rsid w:val="00BA626F"/>
    <w:rsid w:val="00BA6F41"/>
    <w:rsid w:val="00BA7581"/>
    <w:rsid w:val="00BB06E4"/>
    <w:rsid w:val="00BB0B80"/>
    <w:rsid w:val="00BB10C8"/>
    <w:rsid w:val="00BB1956"/>
    <w:rsid w:val="00BB2327"/>
    <w:rsid w:val="00BB3DEE"/>
    <w:rsid w:val="00BB3F95"/>
    <w:rsid w:val="00BB402C"/>
    <w:rsid w:val="00BB463C"/>
    <w:rsid w:val="00BB4C47"/>
    <w:rsid w:val="00BB5257"/>
    <w:rsid w:val="00BB55BA"/>
    <w:rsid w:val="00BB6C02"/>
    <w:rsid w:val="00BC056A"/>
    <w:rsid w:val="00BC0A4F"/>
    <w:rsid w:val="00BC0C54"/>
    <w:rsid w:val="00BC0D31"/>
    <w:rsid w:val="00BC19BF"/>
    <w:rsid w:val="00BC1C9E"/>
    <w:rsid w:val="00BC1E7C"/>
    <w:rsid w:val="00BC3803"/>
    <w:rsid w:val="00BC4511"/>
    <w:rsid w:val="00BC47E2"/>
    <w:rsid w:val="00BC558E"/>
    <w:rsid w:val="00BC6165"/>
    <w:rsid w:val="00BC6D2A"/>
    <w:rsid w:val="00BD10B2"/>
    <w:rsid w:val="00BD2A4F"/>
    <w:rsid w:val="00BD45D2"/>
    <w:rsid w:val="00BD52A2"/>
    <w:rsid w:val="00BD56D7"/>
    <w:rsid w:val="00BD69AC"/>
    <w:rsid w:val="00BD6FFC"/>
    <w:rsid w:val="00BD73BA"/>
    <w:rsid w:val="00BD75E9"/>
    <w:rsid w:val="00BE0328"/>
    <w:rsid w:val="00BE0671"/>
    <w:rsid w:val="00BE2895"/>
    <w:rsid w:val="00BE2C26"/>
    <w:rsid w:val="00BE2CB3"/>
    <w:rsid w:val="00BE330C"/>
    <w:rsid w:val="00BE4650"/>
    <w:rsid w:val="00BE4858"/>
    <w:rsid w:val="00BE4D22"/>
    <w:rsid w:val="00BE6033"/>
    <w:rsid w:val="00BE728F"/>
    <w:rsid w:val="00BF00B3"/>
    <w:rsid w:val="00BF14E9"/>
    <w:rsid w:val="00BF33F7"/>
    <w:rsid w:val="00BF40F3"/>
    <w:rsid w:val="00BF4DBB"/>
    <w:rsid w:val="00C02E5E"/>
    <w:rsid w:val="00C03DED"/>
    <w:rsid w:val="00C05BAE"/>
    <w:rsid w:val="00C06C4E"/>
    <w:rsid w:val="00C077C2"/>
    <w:rsid w:val="00C07984"/>
    <w:rsid w:val="00C114F6"/>
    <w:rsid w:val="00C13380"/>
    <w:rsid w:val="00C13408"/>
    <w:rsid w:val="00C15B70"/>
    <w:rsid w:val="00C174BA"/>
    <w:rsid w:val="00C23312"/>
    <w:rsid w:val="00C23512"/>
    <w:rsid w:val="00C25816"/>
    <w:rsid w:val="00C26818"/>
    <w:rsid w:val="00C26948"/>
    <w:rsid w:val="00C26AE1"/>
    <w:rsid w:val="00C27257"/>
    <w:rsid w:val="00C30588"/>
    <w:rsid w:val="00C30C2F"/>
    <w:rsid w:val="00C31A92"/>
    <w:rsid w:val="00C32FE4"/>
    <w:rsid w:val="00C33B00"/>
    <w:rsid w:val="00C34921"/>
    <w:rsid w:val="00C35C7E"/>
    <w:rsid w:val="00C3690D"/>
    <w:rsid w:val="00C416D8"/>
    <w:rsid w:val="00C41B61"/>
    <w:rsid w:val="00C42164"/>
    <w:rsid w:val="00C42AE5"/>
    <w:rsid w:val="00C44153"/>
    <w:rsid w:val="00C446C5"/>
    <w:rsid w:val="00C45FA7"/>
    <w:rsid w:val="00C46680"/>
    <w:rsid w:val="00C47E3F"/>
    <w:rsid w:val="00C47EA4"/>
    <w:rsid w:val="00C51356"/>
    <w:rsid w:val="00C51AA9"/>
    <w:rsid w:val="00C52F61"/>
    <w:rsid w:val="00C532C6"/>
    <w:rsid w:val="00C53C4F"/>
    <w:rsid w:val="00C53C73"/>
    <w:rsid w:val="00C55336"/>
    <w:rsid w:val="00C55AAE"/>
    <w:rsid w:val="00C55E4E"/>
    <w:rsid w:val="00C607A3"/>
    <w:rsid w:val="00C60889"/>
    <w:rsid w:val="00C60AB2"/>
    <w:rsid w:val="00C60E3E"/>
    <w:rsid w:val="00C61983"/>
    <w:rsid w:val="00C623A8"/>
    <w:rsid w:val="00C62C69"/>
    <w:rsid w:val="00C62DA5"/>
    <w:rsid w:val="00C62EEF"/>
    <w:rsid w:val="00C62F29"/>
    <w:rsid w:val="00C65872"/>
    <w:rsid w:val="00C67291"/>
    <w:rsid w:val="00C706EA"/>
    <w:rsid w:val="00C712AE"/>
    <w:rsid w:val="00C71A16"/>
    <w:rsid w:val="00C720AA"/>
    <w:rsid w:val="00C72648"/>
    <w:rsid w:val="00C734F6"/>
    <w:rsid w:val="00C73A8A"/>
    <w:rsid w:val="00C75222"/>
    <w:rsid w:val="00C7687B"/>
    <w:rsid w:val="00C76F42"/>
    <w:rsid w:val="00C776B0"/>
    <w:rsid w:val="00C77F2A"/>
    <w:rsid w:val="00C8072C"/>
    <w:rsid w:val="00C80CD4"/>
    <w:rsid w:val="00C81776"/>
    <w:rsid w:val="00C83936"/>
    <w:rsid w:val="00C83C8D"/>
    <w:rsid w:val="00C84620"/>
    <w:rsid w:val="00C86AFB"/>
    <w:rsid w:val="00C86EE4"/>
    <w:rsid w:val="00C8762F"/>
    <w:rsid w:val="00C87B48"/>
    <w:rsid w:val="00C90ECF"/>
    <w:rsid w:val="00C91521"/>
    <w:rsid w:val="00C921D5"/>
    <w:rsid w:val="00C9278D"/>
    <w:rsid w:val="00C95E24"/>
    <w:rsid w:val="00CA0F7C"/>
    <w:rsid w:val="00CA1526"/>
    <w:rsid w:val="00CA22C6"/>
    <w:rsid w:val="00CA2E9B"/>
    <w:rsid w:val="00CA4868"/>
    <w:rsid w:val="00CA4EE5"/>
    <w:rsid w:val="00CA4F29"/>
    <w:rsid w:val="00CA60D4"/>
    <w:rsid w:val="00CA6FE7"/>
    <w:rsid w:val="00CA7174"/>
    <w:rsid w:val="00CB0127"/>
    <w:rsid w:val="00CB14EB"/>
    <w:rsid w:val="00CB2DB0"/>
    <w:rsid w:val="00CB3D48"/>
    <w:rsid w:val="00CB4CAA"/>
    <w:rsid w:val="00CB4D76"/>
    <w:rsid w:val="00CB6241"/>
    <w:rsid w:val="00CB6B96"/>
    <w:rsid w:val="00CC142C"/>
    <w:rsid w:val="00CC1F9A"/>
    <w:rsid w:val="00CC22A1"/>
    <w:rsid w:val="00CC23E2"/>
    <w:rsid w:val="00CC24DA"/>
    <w:rsid w:val="00CC29D9"/>
    <w:rsid w:val="00CC70D3"/>
    <w:rsid w:val="00CC7BAE"/>
    <w:rsid w:val="00CC7F34"/>
    <w:rsid w:val="00CD0FCE"/>
    <w:rsid w:val="00CD2035"/>
    <w:rsid w:val="00CD21BB"/>
    <w:rsid w:val="00CD2374"/>
    <w:rsid w:val="00CD268C"/>
    <w:rsid w:val="00CD28E0"/>
    <w:rsid w:val="00CD2A0D"/>
    <w:rsid w:val="00CD4CAD"/>
    <w:rsid w:val="00CD61E4"/>
    <w:rsid w:val="00CD6861"/>
    <w:rsid w:val="00CE0269"/>
    <w:rsid w:val="00CE1742"/>
    <w:rsid w:val="00CE2240"/>
    <w:rsid w:val="00CE28E0"/>
    <w:rsid w:val="00CE2C47"/>
    <w:rsid w:val="00CE3940"/>
    <w:rsid w:val="00CE39E9"/>
    <w:rsid w:val="00CE4427"/>
    <w:rsid w:val="00CE44A5"/>
    <w:rsid w:val="00CE6643"/>
    <w:rsid w:val="00CE6852"/>
    <w:rsid w:val="00CE6917"/>
    <w:rsid w:val="00CE7676"/>
    <w:rsid w:val="00CE7940"/>
    <w:rsid w:val="00CF187C"/>
    <w:rsid w:val="00CF2083"/>
    <w:rsid w:val="00CF268D"/>
    <w:rsid w:val="00CF2F9B"/>
    <w:rsid w:val="00CF3788"/>
    <w:rsid w:val="00CF3807"/>
    <w:rsid w:val="00CF38D8"/>
    <w:rsid w:val="00CF4D3E"/>
    <w:rsid w:val="00CF603F"/>
    <w:rsid w:val="00CF7187"/>
    <w:rsid w:val="00CF7197"/>
    <w:rsid w:val="00D003BC"/>
    <w:rsid w:val="00D00958"/>
    <w:rsid w:val="00D01730"/>
    <w:rsid w:val="00D017F5"/>
    <w:rsid w:val="00D02194"/>
    <w:rsid w:val="00D02A21"/>
    <w:rsid w:val="00D054CD"/>
    <w:rsid w:val="00D05694"/>
    <w:rsid w:val="00D10120"/>
    <w:rsid w:val="00D1041A"/>
    <w:rsid w:val="00D11859"/>
    <w:rsid w:val="00D11DFD"/>
    <w:rsid w:val="00D12678"/>
    <w:rsid w:val="00D129EA"/>
    <w:rsid w:val="00D1303E"/>
    <w:rsid w:val="00D1494D"/>
    <w:rsid w:val="00D162CB"/>
    <w:rsid w:val="00D174F7"/>
    <w:rsid w:val="00D203FE"/>
    <w:rsid w:val="00D20FF4"/>
    <w:rsid w:val="00D21A7B"/>
    <w:rsid w:val="00D2272F"/>
    <w:rsid w:val="00D22BD4"/>
    <w:rsid w:val="00D22C1D"/>
    <w:rsid w:val="00D2368D"/>
    <w:rsid w:val="00D2397B"/>
    <w:rsid w:val="00D23FA5"/>
    <w:rsid w:val="00D24028"/>
    <w:rsid w:val="00D24B35"/>
    <w:rsid w:val="00D251CC"/>
    <w:rsid w:val="00D2589A"/>
    <w:rsid w:val="00D2763E"/>
    <w:rsid w:val="00D30F06"/>
    <w:rsid w:val="00D319E9"/>
    <w:rsid w:val="00D336FC"/>
    <w:rsid w:val="00D342BE"/>
    <w:rsid w:val="00D34F61"/>
    <w:rsid w:val="00D36235"/>
    <w:rsid w:val="00D36491"/>
    <w:rsid w:val="00D3666C"/>
    <w:rsid w:val="00D36B73"/>
    <w:rsid w:val="00D36E1B"/>
    <w:rsid w:val="00D370C6"/>
    <w:rsid w:val="00D37CE7"/>
    <w:rsid w:val="00D4195D"/>
    <w:rsid w:val="00D429F7"/>
    <w:rsid w:val="00D42DDE"/>
    <w:rsid w:val="00D43645"/>
    <w:rsid w:val="00D44E4E"/>
    <w:rsid w:val="00D45296"/>
    <w:rsid w:val="00D4576F"/>
    <w:rsid w:val="00D45D99"/>
    <w:rsid w:val="00D465A2"/>
    <w:rsid w:val="00D46760"/>
    <w:rsid w:val="00D47997"/>
    <w:rsid w:val="00D479BE"/>
    <w:rsid w:val="00D511DA"/>
    <w:rsid w:val="00D523A7"/>
    <w:rsid w:val="00D52D99"/>
    <w:rsid w:val="00D540E6"/>
    <w:rsid w:val="00D5527B"/>
    <w:rsid w:val="00D55D31"/>
    <w:rsid w:val="00D563BA"/>
    <w:rsid w:val="00D62077"/>
    <w:rsid w:val="00D6251D"/>
    <w:rsid w:val="00D62C5B"/>
    <w:rsid w:val="00D64891"/>
    <w:rsid w:val="00D64CB7"/>
    <w:rsid w:val="00D65205"/>
    <w:rsid w:val="00D655D5"/>
    <w:rsid w:val="00D66C3D"/>
    <w:rsid w:val="00D66CD7"/>
    <w:rsid w:val="00D67729"/>
    <w:rsid w:val="00D70221"/>
    <w:rsid w:val="00D70715"/>
    <w:rsid w:val="00D72363"/>
    <w:rsid w:val="00D7247D"/>
    <w:rsid w:val="00D72F49"/>
    <w:rsid w:val="00D73C12"/>
    <w:rsid w:val="00D741B9"/>
    <w:rsid w:val="00D77B70"/>
    <w:rsid w:val="00D77BCB"/>
    <w:rsid w:val="00D81FB9"/>
    <w:rsid w:val="00D8231C"/>
    <w:rsid w:val="00D82AE6"/>
    <w:rsid w:val="00D831AE"/>
    <w:rsid w:val="00D84579"/>
    <w:rsid w:val="00D846A2"/>
    <w:rsid w:val="00D85FC9"/>
    <w:rsid w:val="00D86126"/>
    <w:rsid w:val="00D872C9"/>
    <w:rsid w:val="00D87740"/>
    <w:rsid w:val="00D87AD3"/>
    <w:rsid w:val="00D87B3D"/>
    <w:rsid w:val="00D87B80"/>
    <w:rsid w:val="00D90513"/>
    <w:rsid w:val="00D91E93"/>
    <w:rsid w:val="00D92E25"/>
    <w:rsid w:val="00D936BC"/>
    <w:rsid w:val="00D94C63"/>
    <w:rsid w:val="00D963CF"/>
    <w:rsid w:val="00D97CC9"/>
    <w:rsid w:val="00DA0E6B"/>
    <w:rsid w:val="00DA2FB4"/>
    <w:rsid w:val="00DA3373"/>
    <w:rsid w:val="00DA3413"/>
    <w:rsid w:val="00DA3781"/>
    <w:rsid w:val="00DA5992"/>
    <w:rsid w:val="00DA70F8"/>
    <w:rsid w:val="00DB0933"/>
    <w:rsid w:val="00DB10C0"/>
    <w:rsid w:val="00DB1CF5"/>
    <w:rsid w:val="00DB2B72"/>
    <w:rsid w:val="00DB3CC6"/>
    <w:rsid w:val="00DB44B5"/>
    <w:rsid w:val="00DB5E62"/>
    <w:rsid w:val="00DB70AC"/>
    <w:rsid w:val="00DB7699"/>
    <w:rsid w:val="00DB7F15"/>
    <w:rsid w:val="00DC07C4"/>
    <w:rsid w:val="00DC12E5"/>
    <w:rsid w:val="00DC1A81"/>
    <w:rsid w:val="00DC1B87"/>
    <w:rsid w:val="00DC1CB3"/>
    <w:rsid w:val="00DC23D9"/>
    <w:rsid w:val="00DC3056"/>
    <w:rsid w:val="00DC362F"/>
    <w:rsid w:val="00DC46EC"/>
    <w:rsid w:val="00DC4D48"/>
    <w:rsid w:val="00DC7853"/>
    <w:rsid w:val="00DC7EC7"/>
    <w:rsid w:val="00DD0765"/>
    <w:rsid w:val="00DD127B"/>
    <w:rsid w:val="00DD3E28"/>
    <w:rsid w:val="00DD49C0"/>
    <w:rsid w:val="00DD54B1"/>
    <w:rsid w:val="00DD5A4B"/>
    <w:rsid w:val="00DD60C9"/>
    <w:rsid w:val="00DD686E"/>
    <w:rsid w:val="00DE016A"/>
    <w:rsid w:val="00DE1C37"/>
    <w:rsid w:val="00DE296C"/>
    <w:rsid w:val="00DE4A0F"/>
    <w:rsid w:val="00DE7F8E"/>
    <w:rsid w:val="00DF19ED"/>
    <w:rsid w:val="00DF1E9B"/>
    <w:rsid w:val="00DF3D0E"/>
    <w:rsid w:val="00DF41C5"/>
    <w:rsid w:val="00DF4788"/>
    <w:rsid w:val="00DF4CDC"/>
    <w:rsid w:val="00E0037F"/>
    <w:rsid w:val="00E00619"/>
    <w:rsid w:val="00E00863"/>
    <w:rsid w:val="00E0134A"/>
    <w:rsid w:val="00E01429"/>
    <w:rsid w:val="00E014D0"/>
    <w:rsid w:val="00E03A33"/>
    <w:rsid w:val="00E03A7B"/>
    <w:rsid w:val="00E04E01"/>
    <w:rsid w:val="00E07632"/>
    <w:rsid w:val="00E115B6"/>
    <w:rsid w:val="00E12B19"/>
    <w:rsid w:val="00E12D84"/>
    <w:rsid w:val="00E132F2"/>
    <w:rsid w:val="00E13322"/>
    <w:rsid w:val="00E13B24"/>
    <w:rsid w:val="00E1468D"/>
    <w:rsid w:val="00E146BE"/>
    <w:rsid w:val="00E200D5"/>
    <w:rsid w:val="00E2057F"/>
    <w:rsid w:val="00E20F05"/>
    <w:rsid w:val="00E23232"/>
    <w:rsid w:val="00E23333"/>
    <w:rsid w:val="00E2356D"/>
    <w:rsid w:val="00E23A2E"/>
    <w:rsid w:val="00E23D01"/>
    <w:rsid w:val="00E2497C"/>
    <w:rsid w:val="00E25EE4"/>
    <w:rsid w:val="00E26690"/>
    <w:rsid w:val="00E26BE5"/>
    <w:rsid w:val="00E26FBB"/>
    <w:rsid w:val="00E3013A"/>
    <w:rsid w:val="00E3077C"/>
    <w:rsid w:val="00E31DA6"/>
    <w:rsid w:val="00E31F6A"/>
    <w:rsid w:val="00E326DA"/>
    <w:rsid w:val="00E33599"/>
    <w:rsid w:val="00E33996"/>
    <w:rsid w:val="00E33E8E"/>
    <w:rsid w:val="00E349DA"/>
    <w:rsid w:val="00E350C8"/>
    <w:rsid w:val="00E35B9E"/>
    <w:rsid w:val="00E35E42"/>
    <w:rsid w:val="00E35E8E"/>
    <w:rsid w:val="00E3685C"/>
    <w:rsid w:val="00E369FB"/>
    <w:rsid w:val="00E37754"/>
    <w:rsid w:val="00E40DF9"/>
    <w:rsid w:val="00E418E1"/>
    <w:rsid w:val="00E41DF5"/>
    <w:rsid w:val="00E42375"/>
    <w:rsid w:val="00E4251B"/>
    <w:rsid w:val="00E42A33"/>
    <w:rsid w:val="00E435CA"/>
    <w:rsid w:val="00E45289"/>
    <w:rsid w:val="00E45AC7"/>
    <w:rsid w:val="00E47DA4"/>
    <w:rsid w:val="00E50200"/>
    <w:rsid w:val="00E50C8D"/>
    <w:rsid w:val="00E51C69"/>
    <w:rsid w:val="00E52822"/>
    <w:rsid w:val="00E52FB8"/>
    <w:rsid w:val="00E537A1"/>
    <w:rsid w:val="00E53CAA"/>
    <w:rsid w:val="00E5518B"/>
    <w:rsid w:val="00E569D4"/>
    <w:rsid w:val="00E57111"/>
    <w:rsid w:val="00E60BBB"/>
    <w:rsid w:val="00E60E5D"/>
    <w:rsid w:val="00E61293"/>
    <w:rsid w:val="00E637CC"/>
    <w:rsid w:val="00E638EF"/>
    <w:rsid w:val="00E64291"/>
    <w:rsid w:val="00E64690"/>
    <w:rsid w:val="00E64850"/>
    <w:rsid w:val="00E64954"/>
    <w:rsid w:val="00E64D0C"/>
    <w:rsid w:val="00E652BF"/>
    <w:rsid w:val="00E67395"/>
    <w:rsid w:val="00E67927"/>
    <w:rsid w:val="00E70199"/>
    <w:rsid w:val="00E7074B"/>
    <w:rsid w:val="00E71A79"/>
    <w:rsid w:val="00E73908"/>
    <w:rsid w:val="00E73C34"/>
    <w:rsid w:val="00E745C2"/>
    <w:rsid w:val="00E75713"/>
    <w:rsid w:val="00E76C41"/>
    <w:rsid w:val="00E76DB7"/>
    <w:rsid w:val="00E810BF"/>
    <w:rsid w:val="00E81650"/>
    <w:rsid w:val="00E82D2D"/>
    <w:rsid w:val="00E83427"/>
    <w:rsid w:val="00E84BE2"/>
    <w:rsid w:val="00E85841"/>
    <w:rsid w:val="00E87B80"/>
    <w:rsid w:val="00E91D2A"/>
    <w:rsid w:val="00E91E10"/>
    <w:rsid w:val="00E92439"/>
    <w:rsid w:val="00E936E6"/>
    <w:rsid w:val="00E93BC5"/>
    <w:rsid w:val="00E943F1"/>
    <w:rsid w:val="00E94BD7"/>
    <w:rsid w:val="00E95085"/>
    <w:rsid w:val="00E96675"/>
    <w:rsid w:val="00EA109B"/>
    <w:rsid w:val="00EA1DF9"/>
    <w:rsid w:val="00EA235B"/>
    <w:rsid w:val="00EA3D15"/>
    <w:rsid w:val="00EA3FB9"/>
    <w:rsid w:val="00EA49C5"/>
    <w:rsid w:val="00EA4D96"/>
    <w:rsid w:val="00EA6BD9"/>
    <w:rsid w:val="00EA7815"/>
    <w:rsid w:val="00EB048D"/>
    <w:rsid w:val="00EB0954"/>
    <w:rsid w:val="00EB0E2B"/>
    <w:rsid w:val="00EB0FA6"/>
    <w:rsid w:val="00EB1F8E"/>
    <w:rsid w:val="00EB206C"/>
    <w:rsid w:val="00EB4516"/>
    <w:rsid w:val="00EB5E6A"/>
    <w:rsid w:val="00EB6969"/>
    <w:rsid w:val="00EC01BF"/>
    <w:rsid w:val="00EC0561"/>
    <w:rsid w:val="00EC061A"/>
    <w:rsid w:val="00EC1B2E"/>
    <w:rsid w:val="00EC2283"/>
    <w:rsid w:val="00EC3F12"/>
    <w:rsid w:val="00EC47C1"/>
    <w:rsid w:val="00EC4C38"/>
    <w:rsid w:val="00EC64FD"/>
    <w:rsid w:val="00EC66D2"/>
    <w:rsid w:val="00EC6E71"/>
    <w:rsid w:val="00EC7C6C"/>
    <w:rsid w:val="00ED19CB"/>
    <w:rsid w:val="00ED226A"/>
    <w:rsid w:val="00ED394B"/>
    <w:rsid w:val="00ED3AA1"/>
    <w:rsid w:val="00ED3D59"/>
    <w:rsid w:val="00ED58B6"/>
    <w:rsid w:val="00EE0144"/>
    <w:rsid w:val="00EE0F5E"/>
    <w:rsid w:val="00EE2204"/>
    <w:rsid w:val="00EE3A71"/>
    <w:rsid w:val="00EE3CD8"/>
    <w:rsid w:val="00EE4D45"/>
    <w:rsid w:val="00EE4FF8"/>
    <w:rsid w:val="00EE57A1"/>
    <w:rsid w:val="00EE6CE9"/>
    <w:rsid w:val="00EE7705"/>
    <w:rsid w:val="00EE7FC0"/>
    <w:rsid w:val="00EF069F"/>
    <w:rsid w:val="00EF0731"/>
    <w:rsid w:val="00EF0C60"/>
    <w:rsid w:val="00EF17E3"/>
    <w:rsid w:val="00EF1FA6"/>
    <w:rsid w:val="00EF2A91"/>
    <w:rsid w:val="00EF3917"/>
    <w:rsid w:val="00EF3B23"/>
    <w:rsid w:val="00EF4710"/>
    <w:rsid w:val="00EF5DBB"/>
    <w:rsid w:val="00EF6F53"/>
    <w:rsid w:val="00EF7FA2"/>
    <w:rsid w:val="00F01E73"/>
    <w:rsid w:val="00F02DC2"/>
    <w:rsid w:val="00F030CA"/>
    <w:rsid w:val="00F032A4"/>
    <w:rsid w:val="00F034AB"/>
    <w:rsid w:val="00F0480B"/>
    <w:rsid w:val="00F04E12"/>
    <w:rsid w:val="00F0553F"/>
    <w:rsid w:val="00F06081"/>
    <w:rsid w:val="00F143B4"/>
    <w:rsid w:val="00F14AA1"/>
    <w:rsid w:val="00F1579B"/>
    <w:rsid w:val="00F15BA4"/>
    <w:rsid w:val="00F165C9"/>
    <w:rsid w:val="00F17527"/>
    <w:rsid w:val="00F20290"/>
    <w:rsid w:val="00F20D2F"/>
    <w:rsid w:val="00F23BB9"/>
    <w:rsid w:val="00F24014"/>
    <w:rsid w:val="00F25CCA"/>
    <w:rsid w:val="00F265F4"/>
    <w:rsid w:val="00F26B16"/>
    <w:rsid w:val="00F27158"/>
    <w:rsid w:val="00F2769D"/>
    <w:rsid w:val="00F277AA"/>
    <w:rsid w:val="00F27F1F"/>
    <w:rsid w:val="00F31CFD"/>
    <w:rsid w:val="00F325D7"/>
    <w:rsid w:val="00F32715"/>
    <w:rsid w:val="00F3310D"/>
    <w:rsid w:val="00F358B9"/>
    <w:rsid w:val="00F361DC"/>
    <w:rsid w:val="00F36544"/>
    <w:rsid w:val="00F3692E"/>
    <w:rsid w:val="00F36EDE"/>
    <w:rsid w:val="00F37DBA"/>
    <w:rsid w:val="00F37EDA"/>
    <w:rsid w:val="00F4126A"/>
    <w:rsid w:val="00F42948"/>
    <w:rsid w:val="00F4457E"/>
    <w:rsid w:val="00F454D2"/>
    <w:rsid w:val="00F45B44"/>
    <w:rsid w:val="00F4685A"/>
    <w:rsid w:val="00F46CC7"/>
    <w:rsid w:val="00F46FD5"/>
    <w:rsid w:val="00F471CF"/>
    <w:rsid w:val="00F53886"/>
    <w:rsid w:val="00F53B12"/>
    <w:rsid w:val="00F55D7E"/>
    <w:rsid w:val="00F5625F"/>
    <w:rsid w:val="00F56589"/>
    <w:rsid w:val="00F6128D"/>
    <w:rsid w:val="00F613E2"/>
    <w:rsid w:val="00F62133"/>
    <w:rsid w:val="00F630FB"/>
    <w:rsid w:val="00F643B1"/>
    <w:rsid w:val="00F65094"/>
    <w:rsid w:val="00F655D5"/>
    <w:rsid w:val="00F65972"/>
    <w:rsid w:val="00F67703"/>
    <w:rsid w:val="00F72339"/>
    <w:rsid w:val="00F74320"/>
    <w:rsid w:val="00F74647"/>
    <w:rsid w:val="00F7527A"/>
    <w:rsid w:val="00F75BFA"/>
    <w:rsid w:val="00F76FFA"/>
    <w:rsid w:val="00F77DDF"/>
    <w:rsid w:val="00F804C9"/>
    <w:rsid w:val="00F80EE2"/>
    <w:rsid w:val="00F838E8"/>
    <w:rsid w:val="00F84CC4"/>
    <w:rsid w:val="00F8543A"/>
    <w:rsid w:val="00F85465"/>
    <w:rsid w:val="00F85CED"/>
    <w:rsid w:val="00F86A72"/>
    <w:rsid w:val="00F8786E"/>
    <w:rsid w:val="00F87FCA"/>
    <w:rsid w:val="00F918CB"/>
    <w:rsid w:val="00F91C86"/>
    <w:rsid w:val="00F9326F"/>
    <w:rsid w:val="00F935C9"/>
    <w:rsid w:val="00F941E3"/>
    <w:rsid w:val="00F94E1D"/>
    <w:rsid w:val="00F95208"/>
    <w:rsid w:val="00FA05E3"/>
    <w:rsid w:val="00FA0CE0"/>
    <w:rsid w:val="00FA0F68"/>
    <w:rsid w:val="00FA121C"/>
    <w:rsid w:val="00FA1854"/>
    <w:rsid w:val="00FA18D4"/>
    <w:rsid w:val="00FA2B9D"/>
    <w:rsid w:val="00FA3FC0"/>
    <w:rsid w:val="00FA469F"/>
    <w:rsid w:val="00FA500A"/>
    <w:rsid w:val="00FA5482"/>
    <w:rsid w:val="00FA590F"/>
    <w:rsid w:val="00FB02BF"/>
    <w:rsid w:val="00FB05E2"/>
    <w:rsid w:val="00FB0C58"/>
    <w:rsid w:val="00FB269D"/>
    <w:rsid w:val="00FB371E"/>
    <w:rsid w:val="00FB3EB8"/>
    <w:rsid w:val="00FB404F"/>
    <w:rsid w:val="00FB49EF"/>
    <w:rsid w:val="00FB4FD9"/>
    <w:rsid w:val="00FB5E87"/>
    <w:rsid w:val="00FB5E9B"/>
    <w:rsid w:val="00FB6460"/>
    <w:rsid w:val="00FB6636"/>
    <w:rsid w:val="00FB67EB"/>
    <w:rsid w:val="00FB77B5"/>
    <w:rsid w:val="00FB7AFD"/>
    <w:rsid w:val="00FB7D63"/>
    <w:rsid w:val="00FC02F8"/>
    <w:rsid w:val="00FC08C9"/>
    <w:rsid w:val="00FC0FB9"/>
    <w:rsid w:val="00FC133B"/>
    <w:rsid w:val="00FC149C"/>
    <w:rsid w:val="00FC1D9D"/>
    <w:rsid w:val="00FC5A40"/>
    <w:rsid w:val="00FC631D"/>
    <w:rsid w:val="00FC6891"/>
    <w:rsid w:val="00FC6A7E"/>
    <w:rsid w:val="00FC6B7E"/>
    <w:rsid w:val="00FC6FAF"/>
    <w:rsid w:val="00FD1B6F"/>
    <w:rsid w:val="00FD3E8E"/>
    <w:rsid w:val="00FD44E9"/>
    <w:rsid w:val="00FD588A"/>
    <w:rsid w:val="00FD5A96"/>
    <w:rsid w:val="00FD5CEA"/>
    <w:rsid w:val="00FD619D"/>
    <w:rsid w:val="00FD6789"/>
    <w:rsid w:val="00FD7057"/>
    <w:rsid w:val="00FD7372"/>
    <w:rsid w:val="00FE1547"/>
    <w:rsid w:val="00FE1798"/>
    <w:rsid w:val="00FE2625"/>
    <w:rsid w:val="00FE2D3E"/>
    <w:rsid w:val="00FE3896"/>
    <w:rsid w:val="00FE3EF4"/>
    <w:rsid w:val="00FE54E2"/>
    <w:rsid w:val="00FE5EDD"/>
    <w:rsid w:val="00FE5F53"/>
    <w:rsid w:val="00FF0AA8"/>
    <w:rsid w:val="00FF0AD0"/>
    <w:rsid w:val="00FF0ED3"/>
    <w:rsid w:val="00FF11CD"/>
    <w:rsid w:val="00FF140F"/>
    <w:rsid w:val="00FF2AE5"/>
    <w:rsid w:val="00FF3431"/>
    <w:rsid w:val="00FF35FF"/>
    <w:rsid w:val="00FF3B3E"/>
    <w:rsid w:val="00FF644D"/>
    <w:rsid w:val="00FF647A"/>
    <w:rsid w:val="00FF66D6"/>
    <w:rsid w:val="00FF6875"/>
    <w:rsid w:val="00FF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202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33F7"/>
    <w:pPr>
      <w:tabs>
        <w:tab w:val="center" w:pos="4153"/>
        <w:tab w:val="right" w:pos="8306"/>
      </w:tabs>
    </w:pPr>
  </w:style>
  <w:style w:type="character" w:customStyle="1" w:styleId="HeaderChar">
    <w:name w:val="Header Char"/>
    <w:basedOn w:val="DefaultParagraphFont"/>
    <w:link w:val="Header"/>
    <w:uiPriority w:val="99"/>
    <w:rsid w:val="00BF33F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F33F7"/>
    <w:pPr>
      <w:tabs>
        <w:tab w:val="center" w:pos="4153"/>
        <w:tab w:val="right" w:pos="8306"/>
      </w:tabs>
    </w:pPr>
  </w:style>
  <w:style w:type="character" w:customStyle="1" w:styleId="FooterChar">
    <w:name w:val="Footer Char"/>
    <w:basedOn w:val="DefaultParagraphFont"/>
    <w:link w:val="Footer"/>
    <w:uiPriority w:val="99"/>
    <w:rsid w:val="00BF33F7"/>
    <w:rPr>
      <w:rFonts w:ascii="Times New Roman" w:eastAsia="Times New Roman" w:hAnsi="Times New Roman" w:cs="Times New Roman"/>
      <w:sz w:val="24"/>
      <w:szCs w:val="24"/>
      <w:lang w:eastAsia="en-GB"/>
    </w:rPr>
  </w:style>
  <w:style w:type="character" w:styleId="CommentReference">
    <w:name w:val="annotation reference"/>
    <w:uiPriority w:val="99"/>
    <w:rsid w:val="00BF33F7"/>
    <w:rPr>
      <w:sz w:val="16"/>
      <w:szCs w:val="16"/>
    </w:rPr>
  </w:style>
  <w:style w:type="paragraph" w:styleId="CommentText">
    <w:name w:val="annotation text"/>
    <w:basedOn w:val="Normal"/>
    <w:link w:val="CommentTextChar"/>
    <w:uiPriority w:val="99"/>
    <w:rsid w:val="00BF33F7"/>
    <w:rPr>
      <w:sz w:val="20"/>
      <w:szCs w:val="20"/>
    </w:rPr>
  </w:style>
  <w:style w:type="character" w:customStyle="1" w:styleId="CommentTextChar">
    <w:name w:val="Comment Text Char"/>
    <w:basedOn w:val="DefaultParagraphFont"/>
    <w:link w:val="CommentText"/>
    <w:uiPriority w:val="99"/>
    <w:rsid w:val="00BF33F7"/>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F33F7"/>
    <w:rPr>
      <w:rFonts w:ascii="Tahoma" w:hAnsi="Tahoma" w:cs="Tahoma"/>
      <w:sz w:val="16"/>
      <w:szCs w:val="16"/>
    </w:rPr>
  </w:style>
  <w:style w:type="character" w:customStyle="1" w:styleId="BalloonTextChar">
    <w:name w:val="Balloon Text Char"/>
    <w:basedOn w:val="DefaultParagraphFont"/>
    <w:link w:val="BalloonText"/>
    <w:semiHidden/>
    <w:rsid w:val="00BF33F7"/>
    <w:rPr>
      <w:rFonts w:ascii="Tahoma" w:eastAsia="Times New Roman" w:hAnsi="Tahoma" w:cs="Tahoma"/>
      <w:sz w:val="16"/>
      <w:szCs w:val="16"/>
      <w:lang w:eastAsia="en-GB"/>
    </w:rPr>
  </w:style>
  <w:style w:type="paragraph" w:customStyle="1" w:styleId="MOJnormal">
    <w:name w:val="MOJ normal"/>
    <w:rsid w:val="00BF33F7"/>
    <w:pPr>
      <w:spacing w:after="0" w:line="280" w:lineRule="exact"/>
    </w:pPr>
    <w:rPr>
      <w:rFonts w:ascii="Arial" w:eastAsia="Times New Roman" w:hAnsi="Arial" w:cs="Times New Roman"/>
      <w:szCs w:val="24"/>
      <w:lang w:eastAsia="en-GB"/>
    </w:rPr>
  </w:style>
  <w:style w:type="paragraph" w:customStyle="1" w:styleId="ListParagraph1">
    <w:name w:val="List Paragraph1"/>
    <w:aliases w:val="Dot pt,F5 List Paragraph,No Spacing1,List Paragraph Char Char Char,Indicator Text,Numbered Para 1,Bullet Points,MAIN CONTENT,List Paragraph12,Bullet 1,OBC Bullet,Bullet Style,Colorful List - Accent 11,Normal numbered"/>
    <w:basedOn w:val="Normal"/>
    <w:link w:val="ListParagraphChar"/>
    <w:uiPriority w:val="34"/>
    <w:qFormat/>
    <w:rsid w:val="00BF33F7"/>
    <w:pPr>
      <w:spacing w:after="200" w:line="276" w:lineRule="auto"/>
      <w:ind w:left="720"/>
      <w:contextualSpacing/>
    </w:pPr>
    <w:rPr>
      <w:rFonts w:ascii="Calibri" w:hAnsi="Calibri"/>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
    <w:link w:val="ListParagraph1"/>
    <w:uiPriority w:val="34"/>
    <w:qFormat/>
    <w:locked/>
    <w:rsid w:val="00BF33F7"/>
    <w:rPr>
      <w:rFonts w:ascii="Calibri" w:eastAsia="Times New Roman" w:hAnsi="Calibri" w:cs="Times New Roman"/>
      <w:lang w:eastAsia="en-GB"/>
    </w:rPr>
  </w:style>
  <w:style w:type="character" w:styleId="Strong">
    <w:name w:val="Strong"/>
    <w:qFormat/>
    <w:rsid w:val="00BF33F7"/>
    <w:rPr>
      <w:b/>
      <w:bCs/>
    </w:rPr>
  </w:style>
  <w:style w:type="character" w:styleId="PageNumber">
    <w:name w:val="page number"/>
    <w:basedOn w:val="DefaultParagraphFont"/>
    <w:rsid w:val="00BF33F7"/>
  </w:style>
  <w:style w:type="paragraph" w:styleId="CommentSubject">
    <w:name w:val="annotation subject"/>
    <w:basedOn w:val="CommentText"/>
    <w:next w:val="CommentText"/>
    <w:link w:val="CommentSubjectChar"/>
    <w:semiHidden/>
    <w:rsid w:val="00BF33F7"/>
    <w:rPr>
      <w:b/>
      <w:bCs/>
    </w:rPr>
  </w:style>
  <w:style w:type="character" w:customStyle="1" w:styleId="CommentSubjectChar">
    <w:name w:val="Comment Subject Char"/>
    <w:basedOn w:val="CommentTextChar"/>
    <w:link w:val="CommentSubject"/>
    <w:semiHidden/>
    <w:rsid w:val="00BF33F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rsid w:val="00BF33F7"/>
    <w:pPr>
      <w:spacing w:after="200" w:line="276" w:lineRule="auto"/>
    </w:pPr>
    <w:rPr>
      <w:rFonts w:ascii="Calibri" w:hAnsi="Calibri"/>
      <w:sz w:val="20"/>
      <w:szCs w:val="20"/>
      <w:lang w:eastAsia="en-US"/>
    </w:rPr>
  </w:style>
  <w:style w:type="character" w:customStyle="1" w:styleId="FootnoteTextChar">
    <w:name w:val="Footnote Text Char"/>
    <w:basedOn w:val="DefaultParagraphFont"/>
    <w:link w:val="FootnoteText"/>
    <w:rsid w:val="00BF33F7"/>
    <w:rPr>
      <w:rFonts w:ascii="Calibri" w:eastAsia="Times New Roman" w:hAnsi="Calibri" w:cs="Times New Roman"/>
      <w:sz w:val="20"/>
      <w:szCs w:val="20"/>
    </w:rPr>
  </w:style>
  <w:style w:type="character" w:styleId="FootnoteReference">
    <w:name w:val="footnote reference"/>
    <w:rsid w:val="00BF33F7"/>
    <w:rPr>
      <w:vertAlign w:val="superscript"/>
    </w:rPr>
  </w:style>
  <w:style w:type="paragraph" w:styleId="Revision">
    <w:name w:val="Revision"/>
    <w:hidden/>
    <w:uiPriority w:val="99"/>
    <w:semiHidden/>
    <w:rsid w:val="00BF33F7"/>
    <w:pPr>
      <w:spacing w:after="0" w:line="240" w:lineRule="auto"/>
    </w:pPr>
    <w:rPr>
      <w:rFonts w:ascii="Times New Roman" w:eastAsia="Times New Roman" w:hAnsi="Times New Roman" w:cs="Times New Roman"/>
      <w:sz w:val="24"/>
      <w:szCs w:val="24"/>
      <w:lang w:eastAsia="en-GB"/>
    </w:rPr>
  </w:style>
  <w:style w:type="paragraph" w:styleId="ListBullet">
    <w:name w:val="List Bullet"/>
    <w:basedOn w:val="Normal"/>
    <w:rsid w:val="00BF33F7"/>
    <w:pPr>
      <w:numPr>
        <w:numId w:val="2"/>
      </w:numPr>
      <w:spacing w:after="165" w:line="280" w:lineRule="atLeast"/>
    </w:pPr>
    <w:rPr>
      <w:rFonts w:ascii="Humnst777 Lt BT" w:hAnsi="Humnst777 Lt BT" w:cs="Tahoma"/>
      <w:sz w:val="22"/>
      <w:szCs w:val="16"/>
    </w:rPr>
  </w:style>
  <w:style w:type="paragraph" w:styleId="ListBullet2">
    <w:name w:val="List Bullet 2"/>
    <w:basedOn w:val="ListBullet"/>
    <w:rsid w:val="00BF33F7"/>
    <w:pPr>
      <w:numPr>
        <w:ilvl w:val="1"/>
      </w:numPr>
    </w:pPr>
  </w:style>
  <w:style w:type="paragraph" w:styleId="ListBullet3">
    <w:name w:val="List Bullet 3"/>
    <w:basedOn w:val="ListBullet2"/>
    <w:rsid w:val="00BF33F7"/>
    <w:pPr>
      <w:numPr>
        <w:ilvl w:val="2"/>
      </w:numPr>
    </w:pPr>
  </w:style>
  <w:style w:type="paragraph" w:styleId="BodyText">
    <w:name w:val="Body Text"/>
    <w:basedOn w:val="Normal"/>
    <w:link w:val="BodyTextChar"/>
    <w:unhideWhenUsed/>
    <w:rsid w:val="00BF33F7"/>
    <w:pPr>
      <w:spacing w:after="120" w:line="276" w:lineRule="auto"/>
    </w:pPr>
    <w:rPr>
      <w:rFonts w:ascii="Calibri" w:hAnsi="Calibri"/>
      <w:sz w:val="22"/>
      <w:szCs w:val="22"/>
    </w:rPr>
  </w:style>
  <w:style w:type="character" w:customStyle="1" w:styleId="BodyTextChar">
    <w:name w:val="Body Text Char"/>
    <w:basedOn w:val="DefaultParagraphFont"/>
    <w:link w:val="BodyText"/>
    <w:rsid w:val="00BF33F7"/>
    <w:rPr>
      <w:rFonts w:ascii="Calibri" w:eastAsia="Times New Roman" w:hAnsi="Calibri" w:cs="Times New Roman"/>
      <w:lang w:eastAsia="en-GB"/>
    </w:rPr>
  </w:style>
  <w:style w:type="character" w:styleId="Emphasis">
    <w:name w:val="Emphasis"/>
    <w:uiPriority w:val="20"/>
    <w:qFormat/>
    <w:rsid w:val="00BF33F7"/>
    <w:rPr>
      <w:i/>
      <w:iCs/>
    </w:rPr>
  </w:style>
  <w:style w:type="paragraph" w:customStyle="1" w:styleId="DeptBullets">
    <w:name w:val="DeptBullets"/>
    <w:basedOn w:val="Normal"/>
    <w:rsid w:val="00BF33F7"/>
    <w:pPr>
      <w:widowControl w:val="0"/>
      <w:numPr>
        <w:numId w:val="3"/>
      </w:numPr>
      <w:overflowPunct w:val="0"/>
      <w:autoSpaceDE w:val="0"/>
      <w:autoSpaceDN w:val="0"/>
      <w:adjustRightInd w:val="0"/>
      <w:spacing w:after="240"/>
      <w:textAlignment w:val="baseline"/>
    </w:pPr>
    <w:rPr>
      <w:rFonts w:ascii="Arial" w:hAnsi="Arial"/>
      <w:szCs w:val="20"/>
      <w:lang w:eastAsia="en-US"/>
    </w:rPr>
  </w:style>
  <w:style w:type="paragraph" w:styleId="ListParagraph">
    <w:name w:val="List Paragraph"/>
    <w:aliases w:val="List Paragraph2,List Paragraph11,L"/>
    <w:basedOn w:val="Normal"/>
    <w:uiPriority w:val="34"/>
    <w:qFormat/>
    <w:rsid w:val="00BF33F7"/>
    <w:pPr>
      <w:ind w:left="720"/>
      <w:contextualSpacing/>
    </w:pPr>
  </w:style>
  <w:style w:type="paragraph" w:styleId="NoSpacing">
    <w:name w:val="No Spacing"/>
    <w:uiPriority w:val="1"/>
    <w:qFormat/>
    <w:rsid w:val="00BF33F7"/>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863E5F"/>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020244"/>
    <w:rPr>
      <w:rFonts w:asciiTheme="majorHAnsi" w:eastAsiaTheme="majorEastAsia" w:hAnsiTheme="majorHAnsi" w:cstheme="majorBidi"/>
      <w:b/>
      <w:bCs/>
      <w:color w:val="365F91" w:themeColor="accent1" w:themeShade="BF"/>
      <w:sz w:val="28"/>
      <w:szCs w:val="28"/>
    </w:rPr>
  </w:style>
  <w:style w:type="numbering" w:styleId="111111">
    <w:name w:val="Outline List 2"/>
    <w:basedOn w:val="NoList"/>
    <w:rsid w:val="0051004B"/>
    <w:pPr>
      <w:numPr>
        <w:numId w:val="5"/>
      </w:numPr>
    </w:pPr>
  </w:style>
  <w:style w:type="character" w:styleId="Hyperlink">
    <w:name w:val="Hyperlink"/>
    <w:basedOn w:val="DefaultParagraphFont"/>
    <w:rsid w:val="00EF17E3"/>
    <w:rPr>
      <w:color w:val="0000FF" w:themeColor="hyperlink"/>
      <w:u w:val="single"/>
    </w:rPr>
  </w:style>
  <w:style w:type="character" w:styleId="LineNumber">
    <w:name w:val="line number"/>
    <w:basedOn w:val="DefaultParagraphFont"/>
    <w:uiPriority w:val="99"/>
    <w:semiHidden/>
    <w:unhideWhenUsed/>
    <w:rsid w:val="00800C77"/>
  </w:style>
  <w:style w:type="paragraph" w:customStyle="1" w:styleId="ParaNumbered">
    <w:name w:val="Para: Numbered"/>
    <w:basedOn w:val="Normal"/>
    <w:link w:val="ParaNumberedChar"/>
    <w:qFormat/>
    <w:rsid w:val="006C08F7"/>
    <w:pPr>
      <w:widowControl w:val="0"/>
      <w:numPr>
        <w:numId w:val="6"/>
      </w:numPr>
      <w:suppressAutoHyphens/>
      <w:autoSpaceDE w:val="0"/>
      <w:autoSpaceDN w:val="0"/>
      <w:adjustRightInd w:val="0"/>
      <w:spacing w:after="150" w:line="200" w:lineRule="atLeast"/>
      <w:ind w:left="714" w:hanging="357"/>
      <w:textAlignment w:val="center"/>
    </w:pPr>
    <w:rPr>
      <w:rFonts w:ascii="Palatino Linotype" w:eastAsiaTheme="minorEastAsia" w:hAnsi="Palatino Linotype" w:cs="PalatinoLinotype-Roman"/>
      <w:color w:val="000000"/>
      <w:sz w:val="20"/>
    </w:rPr>
  </w:style>
  <w:style w:type="character" w:customStyle="1" w:styleId="ParaNumberedChar">
    <w:name w:val="Para: Numbered Char"/>
    <w:basedOn w:val="DefaultParagraphFont"/>
    <w:link w:val="ParaNumbered"/>
    <w:rsid w:val="006C08F7"/>
    <w:rPr>
      <w:rFonts w:ascii="Palatino Linotype" w:eastAsiaTheme="minorEastAsia" w:hAnsi="Palatino Linotype" w:cs="PalatinoLinotype-Roman"/>
      <w:color w:val="000000"/>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202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33F7"/>
    <w:pPr>
      <w:tabs>
        <w:tab w:val="center" w:pos="4153"/>
        <w:tab w:val="right" w:pos="8306"/>
      </w:tabs>
    </w:pPr>
  </w:style>
  <w:style w:type="character" w:customStyle="1" w:styleId="HeaderChar">
    <w:name w:val="Header Char"/>
    <w:basedOn w:val="DefaultParagraphFont"/>
    <w:link w:val="Header"/>
    <w:uiPriority w:val="99"/>
    <w:rsid w:val="00BF33F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F33F7"/>
    <w:pPr>
      <w:tabs>
        <w:tab w:val="center" w:pos="4153"/>
        <w:tab w:val="right" w:pos="8306"/>
      </w:tabs>
    </w:pPr>
  </w:style>
  <w:style w:type="character" w:customStyle="1" w:styleId="FooterChar">
    <w:name w:val="Footer Char"/>
    <w:basedOn w:val="DefaultParagraphFont"/>
    <w:link w:val="Footer"/>
    <w:uiPriority w:val="99"/>
    <w:rsid w:val="00BF33F7"/>
    <w:rPr>
      <w:rFonts w:ascii="Times New Roman" w:eastAsia="Times New Roman" w:hAnsi="Times New Roman" w:cs="Times New Roman"/>
      <w:sz w:val="24"/>
      <w:szCs w:val="24"/>
      <w:lang w:eastAsia="en-GB"/>
    </w:rPr>
  </w:style>
  <w:style w:type="character" w:styleId="CommentReference">
    <w:name w:val="annotation reference"/>
    <w:uiPriority w:val="99"/>
    <w:rsid w:val="00BF33F7"/>
    <w:rPr>
      <w:sz w:val="16"/>
      <w:szCs w:val="16"/>
    </w:rPr>
  </w:style>
  <w:style w:type="paragraph" w:styleId="CommentText">
    <w:name w:val="annotation text"/>
    <w:basedOn w:val="Normal"/>
    <w:link w:val="CommentTextChar"/>
    <w:uiPriority w:val="99"/>
    <w:rsid w:val="00BF33F7"/>
    <w:rPr>
      <w:sz w:val="20"/>
      <w:szCs w:val="20"/>
    </w:rPr>
  </w:style>
  <w:style w:type="character" w:customStyle="1" w:styleId="CommentTextChar">
    <w:name w:val="Comment Text Char"/>
    <w:basedOn w:val="DefaultParagraphFont"/>
    <w:link w:val="CommentText"/>
    <w:uiPriority w:val="99"/>
    <w:rsid w:val="00BF33F7"/>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F33F7"/>
    <w:rPr>
      <w:rFonts w:ascii="Tahoma" w:hAnsi="Tahoma" w:cs="Tahoma"/>
      <w:sz w:val="16"/>
      <w:szCs w:val="16"/>
    </w:rPr>
  </w:style>
  <w:style w:type="character" w:customStyle="1" w:styleId="BalloonTextChar">
    <w:name w:val="Balloon Text Char"/>
    <w:basedOn w:val="DefaultParagraphFont"/>
    <w:link w:val="BalloonText"/>
    <w:semiHidden/>
    <w:rsid w:val="00BF33F7"/>
    <w:rPr>
      <w:rFonts w:ascii="Tahoma" w:eastAsia="Times New Roman" w:hAnsi="Tahoma" w:cs="Tahoma"/>
      <w:sz w:val="16"/>
      <w:szCs w:val="16"/>
      <w:lang w:eastAsia="en-GB"/>
    </w:rPr>
  </w:style>
  <w:style w:type="paragraph" w:customStyle="1" w:styleId="MOJnormal">
    <w:name w:val="MOJ normal"/>
    <w:rsid w:val="00BF33F7"/>
    <w:pPr>
      <w:spacing w:after="0" w:line="280" w:lineRule="exact"/>
    </w:pPr>
    <w:rPr>
      <w:rFonts w:ascii="Arial" w:eastAsia="Times New Roman" w:hAnsi="Arial" w:cs="Times New Roman"/>
      <w:szCs w:val="24"/>
      <w:lang w:eastAsia="en-GB"/>
    </w:rPr>
  </w:style>
  <w:style w:type="paragraph" w:customStyle="1" w:styleId="ListParagraph1">
    <w:name w:val="List Paragraph1"/>
    <w:aliases w:val="Dot pt,F5 List Paragraph,No Spacing1,List Paragraph Char Char Char,Indicator Text,Numbered Para 1,Bullet Points,MAIN CONTENT,List Paragraph12,Bullet 1,OBC Bullet,Bullet Style,Colorful List - Accent 11,Normal numbered"/>
    <w:basedOn w:val="Normal"/>
    <w:link w:val="ListParagraphChar"/>
    <w:uiPriority w:val="34"/>
    <w:qFormat/>
    <w:rsid w:val="00BF33F7"/>
    <w:pPr>
      <w:spacing w:after="200" w:line="276" w:lineRule="auto"/>
      <w:ind w:left="720"/>
      <w:contextualSpacing/>
    </w:pPr>
    <w:rPr>
      <w:rFonts w:ascii="Calibri" w:hAnsi="Calibri"/>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
    <w:link w:val="ListParagraph1"/>
    <w:uiPriority w:val="34"/>
    <w:qFormat/>
    <w:locked/>
    <w:rsid w:val="00BF33F7"/>
    <w:rPr>
      <w:rFonts w:ascii="Calibri" w:eastAsia="Times New Roman" w:hAnsi="Calibri" w:cs="Times New Roman"/>
      <w:lang w:eastAsia="en-GB"/>
    </w:rPr>
  </w:style>
  <w:style w:type="character" w:styleId="Strong">
    <w:name w:val="Strong"/>
    <w:qFormat/>
    <w:rsid w:val="00BF33F7"/>
    <w:rPr>
      <w:b/>
      <w:bCs/>
    </w:rPr>
  </w:style>
  <w:style w:type="character" w:styleId="PageNumber">
    <w:name w:val="page number"/>
    <w:basedOn w:val="DefaultParagraphFont"/>
    <w:rsid w:val="00BF33F7"/>
  </w:style>
  <w:style w:type="paragraph" w:styleId="CommentSubject">
    <w:name w:val="annotation subject"/>
    <w:basedOn w:val="CommentText"/>
    <w:next w:val="CommentText"/>
    <w:link w:val="CommentSubjectChar"/>
    <w:semiHidden/>
    <w:rsid w:val="00BF33F7"/>
    <w:rPr>
      <w:b/>
      <w:bCs/>
    </w:rPr>
  </w:style>
  <w:style w:type="character" w:customStyle="1" w:styleId="CommentSubjectChar">
    <w:name w:val="Comment Subject Char"/>
    <w:basedOn w:val="CommentTextChar"/>
    <w:link w:val="CommentSubject"/>
    <w:semiHidden/>
    <w:rsid w:val="00BF33F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rsid w:val="00BF33F7"/>
    <w:pPr>
      <w:spacing w:after="200" w:line="276" w:lineRule="auto"/>
    </w:pPr>
    <w:rPr>
      <w:rFonts w:ascii="Calibri" w:hAnsi="Calibri"/>
      <w:sz w:val="20"/>
      <w:szCs w:val="20"/>
      <w:lang w:eastAsia="en-US"/>
    </w:rPr>
  </w:style>
  <w:style w:type="character" w:customStyle="1" w:styleId="FootnoteTextChar">
    <w:name w:val="Footnote Text Char"/>
    <w:basedOn w:val="DefaultParagraphFont"/>
    <w:link w:val="FootnoteText"/>
    <w:rsid w:val="00BF33F7"/>
    <w:rPr>
      <w:rFonts w:ascii="Calibri" w:eastAsia="Times New Roman" w:hAnsi="Calibri" w:cs="Times New Roman"/>
      <w:sz w:val="20"/>
      <w:szCs w:val="20"/>
    </w:rPr>
  </w:style>
  <w:style w:type="character" w:styleId="FootnoteReference">
    <w:name w:val="footnote reference"/>
    <w:rsid w:val="00BF33F7"/>
    <w:rPr>
      <w:vertAlign w:val="superscript"/>
    </w:rPr>
  </w:style>
  <w:style w:type="paragraph" w:styleId="Revision">
    <w:name w:val="Revision"/>
    <w:hidden/>
    <w:uiPriority w:val="99"/>
    <w:semiHidden/>
    <w:rsid w:val="00BF33F7"/>
    <w:pPr>
      <w:spacing w:after="0" w:line="240" w:lineRule="auto"/>
    </w:pPr>
    <w:rPr>
      <w:rFonts w:ascii="Times New Roman" w:eastAsia="Times New Roman" w:hAnsi="Times New Roman" w:cs="Times New Roman"/>
      <w:sz w:val="24"/>
      <w:szCs w:val="24"/>
      <w:lang w:eastAsia="en-GB"/>
    </w:rPr>
  </w:style>
  <w:style w:type="paragraph" w:styleId="ListBullet">
    <w:name w:val="List Bullet"/>
    <w:basedOn w:val="Normal"/>
    <w:rsid w:val="00BF33F7"/>
    <w:pPr>
      <w:numPr>
        <w:numId w:val="2"/>
      </w:numPr>
      <w:spacing w:after="165" w:line="280" w:lineRule="atLeast"/>
    </w:pPr>
    <w:rPr>
      <w:rFonts w:ascii="Humnst777 Lt BT" w:hAnsi="Humnst777 Lt BT" w:cs="Tahoma"/>
      <w:sz w:val="22"/>
      <w:szCs w:val="16"/>
    </w:rPr>
  </w:style>
  <w:style w:type="paragraph" w:styleId="ListBullet2">
    <w:name w:val="List Bullet 2"/>
    <w:basedOn w:val="ListBullet"/>
    <w:rsid w:val="00BF33F7"/>
    <w:pPr>
      <w:numPr>
        <w:ilvl w:val="1"/>
      </w:numPr>
    </w:pPr>
  </w:style>
  <w:style w:type="paragraph" w:styleId="ListBullet3">
    <w:name w:val="List Bullet 3"/>
    <w:basedOn w:val="ListBullet2"/>
    <w:rsid w:val="00BF33F7"/>
    <w:pPr>
      <w:numPr>
        <w:ilvl w:val="2"/>
      </w:numPr>
    </w:pPr>
  </w:style>
  <w:style w:type="paragraph" w:styleId="BodyText">
    <w:name w:val="Body Text"/>
    <w:basedOn w:val="Normal"/>
    <w:link w:val="BodyTextChar"/>
    <w:unhideWhenUsed/>
    <w:rsid w:val="00BF33F7"/>
    <w:pPr>
      <w:spacing w:after="120" w:line="276" w:lineRule="auto"/>
    </w:pPr>
    <w:rPr>
      <w:rFonts w:ascii="Calibri" w:hAnsi="Calibri"/>
      <w:sz w:val="22"/>
      <w:szCs w:val="22"/>
    </w:rPr>
  </w:style>
  <w:style w:type="character" w:customStyle="1" w:styleId="BodyTextChar">
    <w:name w:val="Body Text Char"/>
    <w:basedOn w:val="DefaultParagraphFont"/>
    <w:link w:val="BodyText"/>
    <w:rsid w:val="00BF33F7"/>
    <w:rPr>
      <w:rFonts w:ascii="Calibri" w:eastAsia="Times New Roman" w:hAnsi="Calibri" w:cs="Times New Roman"/>
      <w:lang w:eastAsia="en-GB"/>
    </w:rPr>
  </w:style>
  <w:style w:type="character" w:styleId="Emphasis">
    <w:name w:val="Emphasis"/>
    <w:uiPriority w:val="20"/>
    <w:qFormat/>
    <w:rsid w:val="00BF33F7"/>
    <w:rPr>
      <w:i/>
      <w:iCs/>
    </w:rPr>
  </w:style>
  <w:style w:type="paragraph" w:customStyle="1" w:styleId="DeptBullets">
    <w:name w:val="DeptBullets"/>
    <w:basedOn w:val="Normal"/>
    <w:rsid w:val="00BF33F7"/>
    <w:pPr>
      <w:widowControl w:val="0"/>
      <w:numPr>
        <w:numId w:val="3"/>
      </w:numPr>
      <w:overflowPunct w:val="0"/>
      <w:autoSpaceDE w:val="0"/>
      <w:autoSpaceDN w:val="0"/>
      <w:adjustRightInd w:val="0"/>
      <w:spacing w:after="240"/>
      <w:textAlignment w:val="baseline"/>
    </w:pPr>
    <w:rPr>
      <w:rFonts w:ascii="Arial" w:hAnsi="Arial"/>
      <w:szCs w:val="20"/>
      <w:lang w:eastAsia="en-US"/>
    </w:rPr>
  </w:style>
  <w:style w:type="paragraph" w:styleId="ListParagraph">
    <w:name w:val="List Paragraph"/>
    <w:aliases w:val="List Paragraph2,List Paragraph11,L"/>
    <w:basedOn w:val="Normal"/>
    <w:uiPriority w:val="34"/>
    <w:qFormat/>
    <w:rsid w:val="00BF33F7"/>
    <w:pPr>
      <w:ind w:left="720"/>
      <w:contextualSpacing/>
    </w:pPr>
  </w:style>
  <w:style w:type="paragraph" w:styleId="NoSpacing">
    <w:name w:val="No Spacing"/>
    <w:uiPriority w:val="1"/>
    <w:qFormat/>
    <w:rsid w:val="00BF33F7"/>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863E5F"/>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020244"/>
    <w:rPr>
      <w:rFonts w:asciiTheme="majorHAnsi" w:eastAsiaTheme="majorEastAsia" w:hAnsiTheme="majorHAnsi" w:cstheme="majorBidi"/>
      <w:b/>
      <w:bCs/>
      <w:color w:val="365F91" w:themeColor="accent1" w:themeShade="BF"/>
      <w:sz w:val="28"/>
      <w:szCs w:val="28"/>
    </w:rPr>
  </w:style>
  <w:style w:type="numbering" w:styleId="111111">
    <w:name w:val="Outline List 2"/>
    <w:basedOn w:val="NoList"/>
    <w:rsid w:val="0051004B"/>
    <w:pPr>
      <w:numPr>
        <w:numId w:val="5"/>
      </w:numPr>
    </w:pPr>
  </w:style>
  <w:style w:type="character" w:styleId="Hyperlink">
    <w:name w:val="Hyperlink"/>
    <w:basedOn w:val="DefaultParagraphFont"/>
    <w:rsid w:val="00EF17E3"/>
    <w:rPr>
      <w:color w:val="0000FF" w:themeColor="hyperlink"/>
      <w:u w:val="single"/>
    </w:rPr>
  </w:style>
  <w:style w:type="character" w:styleId="LineNumber">
    <w:name w:val="line number"/>
    <w:basedOn w:val="DefaultParagraphFont"/>
    <w:uiPriority w:val="99"/>
    <w:semiHidden/>
    <w:unhideWhenUsed/>
    <w:rsid w:val="00800C77"/>
  </w:style>
  <w:style w:type="paragraph" w:customStyle="1" w:styleId="ParaNumbered">
    <w:name w:val="Para: Numbered"/>
    <w:basedOn w:val="Normal"/>
    <w:link w:val="ParaNumberedChar"/>
    <w:qFormat/>
    <w:rsid w:val="006C08F7"/>
    <w:pPr>
      <w:widowControl w:val="0"/>
      <w:numPr>
        <w:numId w:val="6"/>
      </w:numPr>
      <w:suppressAutoHyphens/>
      <w:autoSpaceDE w:val="0"/>
      <w:autoSpaceDN w:val="0"/>
      <w:adjustRightInd w:val="0"/>
      <w:spacing w:after="150" w:line="200" w:lineRule="atLeast"/>
      <w:ind w:left="714" w:hanging="357"/>
      <w:textAlignment w:val="center"/>
    </w:pPr>
    <w:rPr>
      <w:rFonts w:ascii="Palatino Linotype" w:eastAsiaTheme="minorEastAsia" w:hAnsi="Palatino Linotype" w:cs="PalatinoLinotype-Roman"/>
      <w:color w:val="000000"/>
      <w:sz w:val="20"/>
    </w:rPr>
  </w:style>
  <w:style w:type="character" w:customStyle="1" w:styleId="ParaNumberedChar">
    <w:name w:val="Para: Numbered Char"/>
    <w:basedOn w:val="DefaultParagraphFont"/>
    <w:link w:val="ParaNumbered"/>
    <w:rsid w:val="006C08F7"/>
    <w:rPr>
      <w:rFonts w:ascii="Palatino Linotype" w:eastAsiaTheme="minorEastAsia" w:hAnsi="Palatino Linotype" w:cs="PalatinoLinotype-Roman"/>
      <w:color w:val="000000"/>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950">
      <w:bodyDiv w:val="1"/>
      <w:marLeft w:val="0"/>
      <w:marRight w:val="0"/>
      <w:marTop w:val="0"/>
      <w:marBottom w:val="0"/>
      <w:divBdr>
        <w:top w:val="none" w:sz="0" w:space="0" w:color="auto"/>
        <w:left w:val="none" w:sz="0" w:space="0" w:color="auto"/>
        <w:bottom w:val="none" w:sz="0" w:space="0" w:color="auto"/>
        <w:right w:val="none" w:sz="0" w:space="0" w:color="auto"/>
      </w:divBdr>
    </w:div>
    <w:div w:id="25374958">
      <w:bodyDiv w:val="1"/>
      <w:marLeft w:val="0"/>
      <w:marRight w:val="0"/>
      <w:marTop w:val="0"/>
      <w:marBottom w:val="0"/>
      <w:divBdr>
        <w:top w:val="none" w:sz="0" w:space="0" w:color="auto"/>
        <w:left w:val="none" w:sz="0" w:space="0" w:color="auto"/>
        <w:bottom w:val="none" w:sz="0" w:space="0" w:color="auto"/>
        <w:right w:val="none" w:sz="0" w:space="0" w:color="auto"/>
      </w:divBdr>
    </w:div>
    <w:div w:id="263733359">
      <w:bodyDiv w:val="1"/>
      <w:marLeft w:val="0"/>
      <w:marRight w:val="0"/>
      <w:marTop w:val="0"/>
      <w:marBottom w:val="0"/>
      <w:divBdr>
        <w:top w:val="none" w:sz="0" w:space="0" w:color="auto"/>
        <w:left w:val="none" w:sz="0" w:space="0" w:color="auto"/>
        <w:bottom w:val="none" w:sz="0" w:space="0" w:color="auto"/>
        <w:right w:val="none" w:sz="0" w:space="0" w:color="auto"/>
      </w:divBdr>
    </w:div>
    <w:div w:id="432168979">
      <w:bodyDiv w:val="1"/>
      <w:marLeft w:val="0"/>
      <w:marRight w:val="0"/>
      <w:marTop w:val="0"/>
      <w:marBottom w:val="0"/>
      <w:divBdr>
        <w:top w:val="none" w:sz="0" w:space="0" w:color="auto"/>
        <w:left w:val="none" w:sz="0" w:space="0" w:color="auto"/>
        <w:bottom w:val="none" w:sz="0" w:space="0" w:color="auto"/>
        <w:right w:val="none" w:sz="0" w:space="0" w:color="auto"/>
      </w:divBdr>
    </w:div>
    <w:div w:id="445123910">
      <w:bodyDiv w:val="1"/>
      <w:marLeft w:val="0"/>
      <w:marRight w:val="0"/>
      <w:marTop w:val="0"/>
      <w:marBottom w:val="0"/>
      <w:divBdr>
        <w:top w:val="none" w:sz="0" w:space="0" w:color="auto"/>
        <w:left w:val="none" w:sz="0" w:space="0" w:color="auto"/>
        <w:bottom w:val="none" w:sz="0" w:space="0" w:color="auto"/>
        <w:right w:val="none" w:sz="0" w:space="0" w:color="auto"/>
      </w:divBdr>
    </w:div>
    <w:div w:id="474298916">
      <w:bodyDiv w:val="1"/>
      <w:marLeft w:val="0"/>
      <w:marRight w:val="0"/>
      <w:marTop w:val="0"/>
      <w:marBottom w:val="0"/>
      <w:divBdr>
        <w:top w:val="none" w:sz="0" w:space="0" w:color="auto"/>
        <w:left w:val="none" w:sz="0" w:space="0" w:color="auto"/>
        <w:bottom w:val="none" w:sz="0" w:space="0" w:color="auto"/>
        <w:right w:val="none" w:sz="0" w:space="0" w:color="auto"/>
      </w:divBdr>
    </w:div>
    <w:div w:id="548999690">
      <w:bodyDiv w:val="1"/>
      <w:marLeft w:val="0"/>
      <w:marRight w:val="0"/>
      <w:marTop w:val="0"/>
      <w:marBottom w:val="0"/>
      <w:divBdr>
        <w:top w:val="none" w:sz="0" w:space="0" w:color="auto"/>
        <w:left w:val="none" w:sz="0" w:space="0" w:color="auto"/>
        <w:bottom w:val="none" w:sz="0" w:space="0" w:color="auto"/>
        <w:right w:val="none" w:sz="0" w:space="0" w:color="auto"/>
      </w:divBdr>
    </w:div>
    <w:div w:id="560793881">
      <w:bodyDiv w:val="1"/>
      <w:marLeft w:val="0"/>
      <w:marRight w:val="0"/>
      <w:marTop w:val="0"/>
      <w:marBottom w:val="0"/>
      <w:divBdr>
        <w:top w:val="none" w:sz="0" w:space="0" w:color="auto"/>
        <w:left w:val="none" w:sz="0" w:space="0" w:color="auto"/>
        <w:bottom w:val="none" w:sz="0" w:space="0" w:color="auto"/>
        <w:right w:val="none" w:sz="0" w:space="0" w:color="auto"/>
      </w:divBdr>
    </w:div>
    <w:div w:id="769741728">
      <w:bodyDiv w:val="1"/>
      <w:marLeft w:val="0"/>
      <w:marRight w:val="0"/>
      <w:marTop w:val="0"/>
      <w:marBottom w:val="0"/>
      <w:divBdr>
        <w:top w:val="none" w:sz="0" w:space="0" w:color="auto"/>
        <w:left w:val="none" w:sz="0" w:space="0" w:color="auto"/>
        <w:bottom w:val="none" w:sz="0" w:space="0" w:color="auto"/>
        <w:right w:val="none" w:sz="0" w:space="0" w:color="auto"/>
      </w:divBdr>
    </w:div>
    <w:div w:id="884216308">
      <w:bodyDiv w:val="1"/>
      <w:marLeft w:val="0"/>
      <w:marRight w:val="0"/>
      <w:marTop w:val="0"/>
      <w:marBottom w:val="0"/>
      <w:divBdr>
        <w:top w:val="none" w:sz="0" w:space="0" w:color="auto"/>
        <w:left w:val="none" w:sz="0" w:space="0" w:color="auto"/>
        <w:bottom w:val="none" w:sz="0" w:space="0" w:color="auto"/>
        <w:right w:val="none" w:sz="0" w:space="0" w:color="auto"/>
      </w:divBdr>
    </w:div>
    <w:div w:id="891620286">
      <w:bodyDiv w:val="1"/>
      <w:marLeft w:val="0"/>
      <w:marRight w:val="0"/>
      <w:marTop w:val="0"/>
      <w:marBottom w:val="0"/>
      <w:divBdr>
        <w:top w:val="none" w:sz="0" w:space="0" w:color="auto"/>
        <w:left w:val="none" w:sz="0" w:space="0" w:color="auto"/>
        <w:bottom w:val="none" w:sz="0" w:space="0" w:color="auto"/>
        <w:right w:val="none" w:sz="0" w:space="0" w:color="auto"/>
      </w:divBdr>
    </w:div>
    <w:div w:id="1041593407">
      <w:bodyDiv w:val="1"/>
      <w:marLeft w:val="0"/>
      <w:marRight w:val="0"/>
      <w:marTop w:val="0"/>
      <w:marBottom w:val="0"/>
      <w:divBdr>
        <w:top w:val="none" w:sz="0" w:space="0" w:color="auto"/>
        <w:left w:val="none" w:sz="0" w:space="0" w:color="auto"/>
        <w:bottom w:val="none" w:sz="0" w:space="0" w:color="auto"/>
        <w:right w:val="none" w:sz="0" w:space="0" w:color="auto"/>
      </w:divBdr>
    </w:div>
    <w:div w:id="1134562168">
      <w:bodyDiv w:val="1"/>
      <w:marLeft w:val="0"/>
      <w:marRight w:val="0"/>
      <w:marTop w:val="0"/>
      <w:marBottom w:val="0"/>
      <w:divBdr>
        <w:top w:val="none" w:sz="0" w:space="0" w:color="auto"/>
        <w:left w:val="none" w:sz="0" w:space="0" w:color="auto"/>
        <w:bottom w:val="none" w:sz="0" w:space="0" w:color="auto"/>
        <w:right w:val="none" w:sz="0" w:space="0" w:color="auto"/>
      </w:divBdr>
    </w:div>
    <w:div w:id="1237008080">
      <w:bodyDiv w:val="1"/>
      <w:marLeft w:val="0"/>
      <w:marRight w:val="0"/>
      <w:marTop w:val="0"/>
      <w:marBottom w:val="0"/>
      <w:divBdr>
        <w:top w:val="none" w:sz="0" w:space="0" w:color="auto"/>
        <w:left w:val="none" w:sz="0" w:space="0" w:color="auto"/>
        <w:bottom w:val="none" w:sz="0" w:space="0" w:color="auto"/>
        <w:right w:val="none" w:sz="0" w:space="0" w:color="auto"/>
      </w:divBdr>
    </w:div>
    <w:div w:id="1238243595">
      <w:bodyDiv w:val="1"/>
      <w:marLeft w:val="0"/>
      <w:marRight w:val="0"/>
      <w:marTop w:val="0"/>
      <w:marBottom w:val="0"/>
      <w:divBdr>
        <w:top w:val="none" w:sz="0" w:space="0" w:color="auto"/>
        <w:left w:val="none" w:sz="0" w:space="0" w:color="auto"/>
        <w:bottom w:val="none" w:sz="0" w:space="0" w:color="auto"/>
        <w:right w:val="none" w:sz="0" w:space="0" w:color="auto"/>
      </w:divBdr>
    </w:div>
    <w:div w:id="1286080963">
      <w:bodyDiv w:val="1"/>
      <w:marLeft w:val="0"/>
      <w:marRight w:val="0"/>
      <w:marTop w:val="0"/>
      <w:marBottom w:val="0"/>
      <w:divBdr>
        <w:top w:val="none" w:sz="0" w:space="0" w:color="auto"/>
        <w:left w:val="none" w:sz="0" w:space="0" w:color="auto"/>
        <w:bottom w:val="none" w:sz="0" w:space="0" w:color="auto"/>
        <w:right w:val="none" w:sz="0" w:space="0" w:color="auto"/>
      </w:divBdr>
    </w:div>
    <w:div w:id="1339498379">
      <w:bodyDiv w:val="1"/>
      <w:marLeft w:val="0"/>
      <w:marRight w:val="0"/>
      <w:marTop w:val="0"/>
      <w:marBottom w:val="0"/>
      <w:divBdr>
        <w:top w:val="none" w:sz="0" w:space="0" w:color="auto"/>
        <w:left w:val="none" w:sz="0" w:space="0" w:color="auto"/>
        <w:bottom w:val="none" w:sz="0" w:space="0" w:color="auto"/>
        <w:right w:val="none" w:sz="0" w:space="0" w:color="auto"/>
      </w:divBdr>
    </w:div>
    <w:div w:id="1371566533">
      <w:bodyDiv w:val="1"/>
      <w:marLeft w:val="0"/>
      <w:marRight w:val="0"/>
      <w:marTop w:val="0"/>
      <w:marBottom w:val="0"/>
      <w:divBdr>
        <w:top w:val="none" w:sz="0" w:space="0" w:color="auto"/>
        <w:left w:val="none" w:sz="0" w:space="0" w:color="auto"/>
        <w:bottom w:val="none" w:sz="0" w:space="0" w:color="auto"/>
        <w:right w:val="none" w:sz="0" w:space="0" w:color="auto"/>
      </w:divBdr>
    </w:div>
    <w:div w:id="1417360596">
      <w:bodyDiv w:val="1"/>
      <w:marLeft w:val="0"/>
      <w:marRight w:val="0"/>
      <w:marTop w:val="0"/>
      <w:marBottom w:val="0"/>
      <w:divBdr>
        <w:top w:val="none" w:sz="0" w:space="0" w:color="auto"/>
        <w:left w:val="none" w:sz="0" w:space="0" w:color="auto"/>
        <w:bottom w:val="none" w:sz="0" w:space="0" w:color="auto"/>
        <w:right w:val="none" w:sz="0" w:space="0" w:color="auto"/>
      </w:divBdr>
    </w:div>
    <w:div w:id="1460800911">
      <w:bodyDiv w:val="1"/>
      <w:marLeft w:val="0"/>
      <w:marRight w:val="0"/>
      <w:marTop w:val="0"/>
      <w:marBottom w:val="0"/>
      <w:divBdr>
        <w:top w:val="none" w:sz="0" w:space="0" w:color="auto"/>
        <w:left w:val="none" w:sz="0" w:space="0" w:color="auto"/>
        <w:bottom w:val="none" w:sz="0" w:space="0" w:color="auto"/>
        <w:right w:val="none" w:sz="0" w:space="0" w:color="auto"/>
      </w:divBdr>
    </w:div>
    <w:div w:id="1477188545">
      <w:bodyDiv w:val="1"/>
      <w:marLeft w:val="0"/>
      <w:marRight w:val="0"/>
      <w:marTop w:val="0"/>
      <w:marBottom w:val="0"/>
      <w:divBdr>
        <w:top w:val="none" w:sz="0" w:space="0" w:color="auto"/>
        <w:left w:val="none" w:sz="0" w:space="0" w:color="auto"/>
        <w:bottom w:val="none" w:sz="0" w:space="0" w:color="auto"/>
        <w:right w:val="none" w:sz="0" w:space="0" w:color="auto"/>
      </w:divBdr>
    </w:div>
    <w:div w:id="1538934241">
      <w:bodyDiv w:val="1"/>
      <w:marLeft w:val="0"/>
      <w:marRight w:val="0"/>
      <w:marTop w:val="0"/>
      <w:marBottom w:val="0"/>
      <w:divBdr>
        <w:top w:val="none" w:sz="0" w:space="0" w:color="auto"/>
        <w:left w:val="none" w:sz="0" w:space="0" w:color="auto"/>
        <w:bottom w:val="none" w:sz="0" w:space="0" w:color="auto"/>
        <w:right w:val="none" w:sz="0" w:space="0" w:color="auto"/>
      </w:divBdr>
    </w:div>
    <w:div w:id="1583024223">
      <w:bodyDiv w:val="1"/>
      <w:marLeft w:val="0"/>
      <w:marRight w:val="0"/>
      <w:marTop w:val="0"/>
      <w:marBottom w:val="0"/>
      <w:divBdr>
        <w:top w:val="none" w:sz="0" w:space="0" w:color="auto"/>
        <w:left w:val="none" w:sz="0" w:space="0" w:color="auto"/>
        <w:bottom w:val="none" w:sz="0" w:space="0" w:color="auto"/>
        <w:right w:val="none" w:sz="0" w:space="0" w:color="auto"/>
      </w:divBdr>
    </w:div>
    <w:div w:id="1598096501">
      <w:bodyDiv w:val="1"/>
      <w:marLeft w:val="0"/>
      <w:marRight w:val="0"/>
      <w:marTop w:val="0"/>
      <w:marBottom w:val="0"/>
      <w:divBdr>
        <w:top w:val="none" w:sz="0" w:space="0" w:color="auto"/>
        <w:left w:val="none" w:sz="0" w:space="0" w:color="auto"/>
        <w:bottom w:val="none" w:sz="0" w:space="0" w:color="auto"/>
        <w:right w:val="none" w:sz="0" w:space="0" w:color="auto"/>
      </w:divBdr>
    </w:div>
    <w:div w:id="1625963561">
      <w:bodyDiv w:val="1"/>
      <w:marLeft w:val="0"/>
      <w:marRight w:val="0"/>
      <w:marTop w:val="0"/>
      <w:marBottom w:val="0"/>
      <w:divBdr>
        <w:top w:val="none" w:sz="0" w:space="0" w:color="auto"/>
        <w:left w:val="none" w:sz="0" w:space="0" w:color="auto"/>
        <w:bottom w:val="none" w:sz="0" w:space="0" w:color="auto"/>
        <w:right w:val="none" w:sz="0" w:space="0" w:color="auto"/>
      </w:divBdr>
    </w:div>
    <w:div w:id="1694528722">
      <w:bodyDiv w:val="1"/>
      <w:marLeft w:val="0"/>
      <w:marRight w:val="0"/>
      <w:marTop w:val="0"/>
      <w:marBottom w:val="0"/>
      <w:divBdr>
        <w:top w:val="none" w:sz="0" w:space="0" w:color="auto"/>
        <w:left w:val="none" w:sz="0" w:space="0" w:color="auto"/>
        <w:bottom w:val="none" w:sz="0" w:space="0" w:color="auto"/>
        <w:right w:val="none" w:sz="0" w:space="0" w:color="auto"/>
      </w:divBdr>
    </w:div>
    <w:div w:id="1694577655">
      <w:bodyDiv w:val="1"/>
      <w:marLeft w:val="0"/>
      <w:marRight w:val="0"/>
      <w:marTop w:val="0"/>
      <w:marBottom w:val="0"/>
      <w:divBdr>
        <w:top w:val="none" w:sz="0" w:space="0" w:color="auto"/>
        <w:left w:val="none" w:sz="0" w:space="0" w:color="auto"/>
        <w:bottom w:val="none" w:sz="0" w:space="0" w:color="auto"/>
        <w:right w:val="none" w:sz="0" w:space="0" w:color="auto"/>
      </w:divBdr>
    </w:div>
    <w:div w:id="1734892923">
      <w:bodyDiv w:val="1"/>
      <w:marLeft w:val="0"/>
      <w:marRight w:val="0"/>
      <w:marTop w:val="0"/>
      <w:marBottom w:val="0"/>
      <w:divBdr>
        <w:top w:val="none" w:sz="0" w:space="0" w:color="auto"/>
        <w:left w:val="none" w:sz="0" w:space="0" w:color="auto"/>
        <w:bottom w:val="none" w:sz="0" w:space="0" w:color="auto"/>
        <w:right w:val="none" w:sz="0" w:space="0" w:color="auto"/>
      </w:divBdr>
    </w:div>
    <w:div w:id="1779793866">
      <w:bodyDiv w:val="1"/>
      <w:marLeft w:val="0"/>
      <w:marRight w:val="0"/>
      <w:marTop w:val="0"/>
      <w:marBottom w:val="0"/>
      <w:divBdr>
        <w:top w:val="none" w:sz="0" w:space="0" w:color="auto"/>
        <w:left w:val="none" w:sz="0" w:space="0" w:color="auto"/>
        <w:bottom w:val="none" w:sz="0" w:space="0" w:color="auto"/>
        <w:right w:val="none" w:sz="0" w:space="0" w:color="auto"/>
      </w:divBdr>
    </w:div>
    <w:div w:id="1782601929">
      <w:bodyDiv w:val="1"/>
      <w:marLeft w:val="0"/>
      <w:marRight w:val="0"/>
      <w:marTop w:val="0"/>
      <w:marBottom w:val="0"/>
      <w:divBdr>
        <w:top w:val="none" w:sz="0" w:space="0" w:color="auto"/>
        <w:left w:val="none" w:sz="0" w:space="0" w:color="auto"/>
        <w:bottom w:val="none" w:sz="0" w:space="0" w:color="auto"/>
        <w:right w:val="none" w:sz="0" w:space="0" w:color="auto"/>
      </w:divBdr>
    </w:div>
    <w:div w:id="1933585331">
      <w:bodyDiv w:val="1"/>
      <w:marLeft w:val="0"/>
      <w:marRight w:val="0"/>
      <w:marTop w:val="0"/>
      <w:marBottom w:val="0"/>
      <w:divBdr>
        <w:top w:val="none" w:sz="0" w:space="0" w:color="auto"/>
        <w:left w:val="none" w:sz="0" w:space="0" w:color="auto"/>
        <w:bottom w:val="none" w:sz="0" w:space="0" w:color="auto"/>
        <w:right w:val="none" w:sz="0" w:space="0" w:color="auto"/>
      </w:divBdr>
    </w:div>
    <w:div w:id="2047484001">
      <w:bodyDiv w:val="1"/>
      <w:marLeft w:val="0"/>
      <w:marRight w:val="0"/>
      <w:marTop w:val="0"/>
      <w:marBottom w:val="0"/>
      <w:divBdr>
        <w:top w:val="none" w:sz="0" w:space="0" w:color="auto"/>
        <w:left w:val="none" w:sz="0" w:space="0" w:color="auto"/>
        <w:bottom w:val="none" w:sz="0" w:space="0" w:color="auto"/>
        <w:right w:val="none" w:sz="0" w:space="0" w:color="auto"/>
      </w:divBdr>
    </w:div>
    <w:div w:id="205268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AE49-43EC-4D79-A032-077C4811701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35387C-1EEB-4AA5-8B20-86B51B6C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Brown</dc:creator>
  <cp:lastModifiedBy>Greaves Suzanne (CCP)</cp:lastModifiedBy>
  <cp:revision>2</cp:revision>
  <cp:lastPrinted>2016-12-22T10:33:00Z</cp:lastPrinted>
  <dcterms:created xsi:type="dcterms:W3CDTF">2017-01-05T18:29:00Z</dcterms:created>
  <dcterms:modified xsi:type="dcterms:W3CDTF">2017-01-05T18:29:00Z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b8172236-fb31-41f9-85cf-16721738e44d</vt:lpwstr>
  </property>
  <property fmtid="{D5CDD505-2E9C-101B-9397-08002B2CF9AE}" pid="3" name="bjSaver">
    <vt:lpwstr>ZmvKvagHMKXkcVrz0T1wdqR0vt7g1WAk</vt:lpwstr>
  </property>
  <property fmtid="{D5CDD505-2E9C-101B-9397-08002B2CF9AE}" pid="4" name="bjDocumentSecurityLabel">
    <vt:lpwstr>No Marking</vt:lpwstr>
  </property>
</Properties>
</file>