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37" w:rsidRPr="00F05572" w:rsidRDefault="00E70177" w:rsidP="00B12827">
      <w:pPr>
        <w:rPr>
          <w:rFonts w:cs="Arial"/>
        </w:rPr>
      </w:pPr>
      <w:r w:rsidRPr="00F05572">
        <w:rPr>
          <w:rFonts w:cs="Arial"/>
          <w:noProof/>
        </w:rPr>
        <w:drawing>
          <wp:inline distT="0" distB="0" distL="0" distR="0" wp14:anchorId="2A3AB59A" wp14:editId="2955A2B9">
            <wp:extent cx="1267460" cy="705485"/>
            <wp:effectExtent l="0" t="0" r="8890" b="0"/>
            <wp:docPr id="1" name="Picture 1"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7460" cy="705485"/>
                    </a:xfrm>
                    <a:prstGeom prst="rect">
                      <a:avLst/>
                    </a:prstGeom>
                    <a:noFill/>
                    <a:ln>
                      <a:noFill/>
                    </a:ln>
                  </pic:spPr>
                </pic:pic>
              </a:graphicData>
            </a:graphic>
          </wp:inline>
        </w:drawing>
      </w:r>
    </w:p>
    <w:p w:rsidR="002141F1" w:rsidRPr="00F05572" w:rsidRDefault="002141F1" w:rsidP="002141F1">
      <w:pPr>
        <w:tabs>
          <w:tab w:val="left" w:pos="5220"/>
          <w:tab w:val="left" w:pos="6300"/>
          <w:tab w:val="left" w:pos="7020"/>
        </w:tabs>
        <w:jc w:val="both"/>
        <w:rPr>
          <w:rFonts w:cs="Arial"/>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4500"/>
      </w:tblGrid>
      <w:tr w:rsidR="002141F1" w:rsidRPr="00F05572" w:rsidTr="002141F1">
        <w:trPr>
          <w:trHeight w:val="2485"/>
        </w:trPr>
        <w:tc>
          <w:tcPr>
            <w:tcW w:w="4788" w:type="dxa"/>
          </w:tcPr>
          <w:p w:rsidR="00B436E6" w:rsidRPr="00F05572" w:rsidRDefault="00B436E6" w:rsidP="002141F1">
            <w:pPr>
              <w:tabs>
                <w:tab w:val="left" w:pos="5220"/>
                <w:tab w:val="left" w:pos="6300"/>
                <w:tab w:val="left" w:pos="7020"/>
              </w:tabs>
              <w:jc w:val="both"/>
              <w:rPr>
                <w:rFonts w:cs="Arial"/>
              </w:rPr>
            </w:pPr>
            <w:bookmarkStart w:id="0" w:name="name"/>
            <w:bookmarkEnd w:id="0"/>
          </w:p>
          <w:p w:rsidR="00B436E6" w:rsidRPr="00F05572" w:rsidRDefault="00B436E6" w:rsidP="002141F1">
            <w:pPr>
              <w:tabs>
                <w:tab w:val="left" w:pos="5220"/>
                <w:tab w:val="left" w:pos="6300"/>
                <w:tab w:val="left" w:pos="7020"/>
              </w:tabs>
              <w:jc w:val="both"/>
              <w:rPr>
                <w:rFonts w:cs="Arial"/>
              </w:rPr>
            </w:pPr>
          </w:p>
          <w:p w:rsidR="00B436E6" w:rsidRPr="00F05572" w:rsidRDefault="00B436E6" w:rsidP="002141F1">
            <w:pPr>
              <w:tabs>
                <w:tab w:val="left" w:pos="5220"/>
                <w:tab w:val="left" w:pos="6300"/>
                <w:tab w:val="left" w:pos="7020"/>
              </w:tabs>
              <w:jc w:val="both"/>
              <w:rPr>
                <w:rFonts w:cs="Arial"/>
              </w:rPr>
            </w:pPr>
          </w:p>
          <w:p w:rsidR="00EF4341" w:rsidRPr="00F05572" w:rsidRDefault="00EF4341" w:rsidP="00EF4341">
            <w:pPr>
              <w:rPr>
                <w:rFonts w:cs="Arial"/>
              </w:rPr>
            </w:pPr>
            <w:r w:rsidRPr="00F05572">
              <w:rPr>
                <w:rFonts w:cs="Arial"/>
              </w:rPr>
              <w:t>Mayor John Biggs</w:t>
            </w:r>
          </w:p>
          <w:p w:rsidR="00EF4341" w:rsidRPr="00F05572" w:rsidRDefault="00EF4341" w:rsidP="00EF4341">
            <w:pPr>
              <w:rPr>
                <w:rFonts w:cs="Arial"/>
              </w:rPr>
            </w:pPr>
            <w:r w:rsidRPr="00F05572">
              <w:rPr>
                <w:rFonts w:cs="Arial"/>
              </w:rPr>
              <w:t>Executive Mayor’s Office</w:t>
            </w:r>
          </w:p>
          <w:p w:rsidR="00EF4341" w:rsidRPr="00F05572" w:rsidRDefault="00EF4341" w:rsidP="00EF4341">
            <w:pPr>
              <w:rPr>
                <w:rFonts w:cs="Arial"/>
              </w:rPr>
            </w:pPr>
            <w:r w:rsidRPr="00F05572">
              <w:rPr>
                <w:rFonts w:cs="Arial"/>
              </w:rPr>
              <w:t>Tower Hamlets Town Hall</w:t>
            </w:r>
          </w:p>
          <w:p w:rsidR="00EF4341" w:rsidRPr="00F05572" w:rsidRDefault="00EF4341" w:rsidP="00EF4341">
            <w:pPr>
              <w:rPr>
                <w:rFonts w:cs="Arial"/>
              </w:rPr>
            </w:pPr>
            <w:r w:rsidRPr="00F05572">
              <w:rPr>
                <w:rFonts w:cs="Arial"/>
              </w:rPr>
              <w:t>Mulberry Place</w:t>
            </w:r>
          </w:p>
          <w:p w:rsidR="00EF4341" w:rsidRPr="00F05572" w:rsidRDefault="00EF4341" w:rsidP="00EF4341">
            <w:pPr>
              <w:rPr>
                <w:rFonts w:cs="Arial"/>
              </w:rPr>
            </w:pPr>
            <w:bookmarkStart w:id="1" w:name="FootWeb"/>
            <w:bookmarkEnd w:id="1"/>
            <w:r w:rsidRPr="00F05572">
              <w:rPr>
                <w:rFonts w:cs="Arial"/>
              </w:rPr>
              <w:t>5 Clove Crescent</w:t>
            </w:r>
          </w:p>
          <w:p w:rsidR="00EF4341" w:rsidRPr="00F05572" w:rsidRDefault="00EF4341" w:rsidP="00EF4341">
            <w:pPr>
              <w:rPr>
                <w:rFonts w:cs="Arial"/>
              </w:rPr>
            </w:pPr>
            <w:r w:rsidRPr="00F05572">
              <w:rPr>
                <w:rFonts w:cs="Arial"/>
              </w:rPr>
              <w:t>London</w:t>
            </w:r>
          </w:p>
          <w:p w:rsidR="002141F1" w:rsidRPr="00F05572" w:rsidRDefault="00EF4341" w:rsidP="008C413D">
            <w:pPr>
              <w:rPr>
                <w:rFonts w:cs="Arial"/>
              </w:rPr>
            </w:pPr>
            <w:r w:rsidRPr="00F05572">
              <w:rPr>
                <w:rFonts w:cs="Arial"/>
              </w:rPr>
              <w:t>E14 2BG</w:t>
            </w:r>
            <w:r w:rsidR="002141F1" w:rsidRPr="00F05572">
              <w:rPr>
                <w:rFonts w:cs="Arial"/>
              </w:rPr>
              <w:tab/>
            </w:r>
          </w:p>
        </w:tc>
        <w:tc>
          <w:tcPr>
            <w:tcW w:w="4500" w:type="dxa"/>
          </w:tcPr>
          <w:p w:rsidR="009E3BBD" w:rsidRPr="00F05572" w:rsidRDefault="009E3BBD" w:rsidP="001D1309">
            <w:pPr>
              <w:tabs>
                <w:tab w:val="left" w:pos="1152"/>
                <w:tab w:val="left" w:pos="4680"/>
                <w:tab w:val="left" w:pos="5940"/>
                <w:tab w:val="left" w:pos="6480"/>
                <w:tab w:val="left" w:pos="7560"/>
              </w:tabs>
              <w:ind w:left="720"/>
              <w:jc w:val="both"/>
              <w:rPr>
                <w:rFonts w:cs="Arial"/>
              </w:rPr>
            </w:pPr>
            <w:bookmarkStart w:id="2" w:name="yourref"/>
            <w:bookmarkStart w:id="3" w:name="Date"/>
            <w:bookmarkEnd w:id="2"/>
            <w:bookmarkEnd w:id="3"/>
            <w:r w:rsidRPr="00F05572">
              <w:rPr>
                <w:rFonts w:cs="Arial"/>
              </w:rPr>
              <w:t xml:space="preserve">          </w:t>
            </w:r>
          </w:p>
          <w:p w:rsidR="002141F1" w:rsidRPr="00F05572" w:rsidRDefault="0087667B" w:rsidP="00782F7B">
            <w:pPr>
              <w:tabs>
                <w:tab w:val="left" w:pos="1152"/>
                <w:tab w:val="left" w:pos="4680"/>
                <w:tab w:val="left" w:pos="5940"/>
                <w:tab w:val="left" w:pos="6480"/>
                <w:tab w:val="left" w:pos="7560"/>
              </w:tabs>
              <w:ind w:left="720"/>
              <w:rPr>
                <w:rFonts w:cs="Arial"/>
              </w:rPr>
            </w:pPr>
            <w:r w:rsidRPr="00F05572">
              <w:rPr>
                <w:rFonts w:cs="Arial"/>
              </w:rPr>
              <w:t xml:space="preserve">                </w:t>
            </w:r>
            <w:r w:rsidR="00782F7B" w:rsidRPr="00F05572">
              <w:rPr>
                <w:rFonts w:cs="Arial"/>
              </w:rPr>
              <w:t>2 December</w:t>
            </w:r>
            <w:r w:rsidR="00B436E6" w:rsidRPr="00F05572">
              <w:rPr>
                <w:rFonts w:cs="Arial"/>
              </w:rPr>
              <w:t xml:space="preserve"> 2016</w:t>
            </w:r>
          </w:p>
        </w:tc>
      </w:tr>
      <w:tr w:rsidR="001D1309" w:rsidRPr="00F05572" w:rsidTr="00B436E6">
        <w:trPr>
          <w:trHeight w:val="1391"/>
        </w:trPr>
        <w:tc>
          <w:tcPr>
            <w:tcW w:w="4788" w:type="dxa"/>
          </w:tcPr>
          <w:p w:rsidR="001D1309" w:rsidRPr="00F05572" w:rsidRDefault="001D1309" w:rsidP="002141F1">
            <w:pPr>
              <w:tabs>
                <w:tab w:val="left" w:pos="5220"/>
                <w:tab w:val="left" w:pos="6300"/>
                <w:tab w:val="left" w:pos="7020"/>
              </w:tabs>
              <w:jc w:val="both"/>
              <w:rPr>
                <w:rFonts w:cs="Arial"/>
              </w:rPr>
            </w:pPr>
          </w:p>
        </w:tc>
        <w:tc>
          <w:tcPr>
            <w:tcW w:w="4500" w:type="dxa"/>
          </w:tcPr>
          <w:p w:rsidR="001D1309" w:rsidRPr="00F05572" w:rsidRDefault="001D1309" w:rsidP="008C413D">
            <w:pPr>
              <w:tabs>
                <w:tab w:val="left" w:pos="1152"/>
                <w:tab w:val="left" w:pos="4680"/>
                <w:tab w:val="left" w:pos="5940"/>
                <w:tab w:val="left" w:pos="6480"/>
                <w:tab w:val="left" w:pos="7560"/>
              </w:tabs>
              <w:jc w:val="both"/>
              <w:rPr>
                <w:rFonts w:cs="Arial"/>
              </w:rPr>
            </w:pPr>
          </w:p>
          <w:p w:rsidR="00752CEA" w:rsidRPr="00F05572" w:rsidRDefault="00752CEA" w:rsidP="008C413D">
            <w:pPr>
              <w:tabs>
                <w:tab w:val="left" w:pos="1152"/>
                <w:tab w:val="left" w:pos="4680"/>
                <w:tab w:val="left" w:pos="5940"/>
                <w:tab w:val="left" w:pos="6480"/>
                <w:tab w:val="left" w:pos="7560"/>
              </w:tabs>
              <w:jc w:val="both"/>
              <w:rPr>
                <w:rFonts w:cs="Arial"/>
              </w:rPr>
            </w:pPr>
          </w:p>
        </w:tc>
      </w:tr>
      <w:tr w:rsidR="009E3BBD" w:rsidRPr="00F05572" w:rsidTr="00B436E6">
        <w:trPr>
          <w:trHeight w:val="80"/>
        </w:trPr>
        <w:tc>
          <w:tcPr>
            <w:tcW w:w="4788" w:type="dxa"/>
          </w:tcPr>
          <w:p w:rsidR="009E3BBD" w:rsidRPr="00F05572" w:rsidRDefault="00600923" w:rsidP="002141F1">
            <w:pPr>
              <w:tabs>
                <w:tab w:val="left" w:pos="5220"/>
                <w:tab w:val="left" w:pos="6300"/>
                <w:tab w:val="left" w:pos="7020"/>
              </w:tabs>
              <w:jc w:val="both"/>
              <w:rPr>
                <w:rFonts w:cs="Arial"/>
              </w:rPr>
            </w:pPr>
            <w:r>
              <w:rPr>
                <w:rFonts w:cs="Arial"/>
              </w:rPr>
              <w:t>Dear Mayor Biggs</w:t>
            </w:r>
          </w:p>
        </w:tc>
        <w:tc>
          <w:tcPr>
            <w:tcW w:w="4500" w:type="dxa"/>
          </w:tcPr>
          <w:p w:rsidR="009E3BBD" w:rsidRPr="00F05572" w:rsidRDefault="009E3BBD" w:rsidP="002141F1">
            <w:pPr>
              <w:tabs>
                <w:tab w:val="left" w:pos="1152"/>
                <w:tab w:val="left" w:pos="4680"/>
                <w:tab w:val="left" w:pos="5940"/>
                <w:tab w:val="left" w:pos="6480"/>
                <w:tab w:val="left" w:pos="7560"/>
              </w:tabs>
              <w:ind w:left="720"/>
              <w:jc w:val="both"/>
              <w:rPr>
                <w:rFonts w:cs="Arial"/>
              </w:rPr>
            </w:pPr>
          </w:p>
        </w:tc>
      </w:tr>
    </w:tbl>
    <w:p w:rsidR="00752CEA" w:rsidRPr="00F05572" w:rsidRDefault="00752CEA" w:rsidP="00B436E6">
      <w:pPr>
        <w:rPr>
          <w:rFonts w:cs="Arial"/>
          <w:b/>
        </w:rPr>
      </w:pPr>
      <w:bookmarkStart w:id="4" w:name="StartPos"/>
      <w:bookmarkEnd w:id="4"/>
    </w:p>
    <w:p w:rsidR="00B436E6" w:rsidRPr="00F05572" w:rsidRDefault="00EF4341" w:rsidP="00B436E6">
      <w:pPr>
        <w:rPr>
          <w:rFonts w:cs="Arial"/>
          <w:b/>
        </w:rPr>
      </w:pPr>
      <w:r w:rsidRPr="00F05572">
        <w:rPr>
          <w:rFonts w:cs="Arial"/>
          <w:b/>
        </w:rPr>
        <w:t>LONDON BOROUGH OF TOWER HAMLETS</w:t>
      </w:r>
      <w:r w:rsidR="00B436E6" w:rsidRPr="00F05572">
        <w:rPr>
          <w:rFonts w:cs="Arial"/>
          <w:b/>
        </w:rPr>
        <w:t xml:space="preserve"> – PROPOSED </w:t>
      </w:r>
      <w:r w:rsidR="00754760" w:rsidRPr="00F05572">
        <w:rPr>
          <w:rFonts w:cs="Arial"/>
          <w:b/>
        </w:rPr>
        <w:t>FURTHER</w:t>
      </w:r>
      <w:r w:rsidR="00B436E6" w:rsidRPr="00F05572">
        <w:rPr>
          <w:rFonts w:cs="Arial"/>
          <w:b/>
        </w:rPr>
        <w:t xml:space="preserve"> DIRECTIONS</w:t>
      </w:r>
    </w:p>
    <w:p w:rsidR="00B436E6" w:rsidRPr="00F05572" w:rsidRDefault="00B436E6" w:rsidP="00B436E6">
      <w:pPr>
        <w:rPr>
          <w:rFonts w:cs="Arial"/>
        </w:rPr>
      </w:pPr>
    </w:p>
    <w:p w:rsidR="00B436E6" w:rsidRPr="00F05572" w:rsidRDefault="008E2974" w:rsidP="00B436E6">
      <w:pPr>
        <w:rPr>
          <w:rFonts w:cs="Arial"/>
        </w:rPr>
      </w:pPr>
      <w:r w:rsidRPr="00F05572">
        <w:rPr>
          <w:rFonts w:cs="Arial"/>
        </w:rPr>
        <w:t xml:space="preserve">The Commissioners in </w:t>
      </w:r>
      <w:r w:rsidR="00EF4341" w:rsidRPr="00F05572">
        <w:rPr>
          <w:rFonts w:cs="Arial"/>
        </w:rPr>
        <w:t>Tower Hamlets</w:t>
      </w:r>
      <w:r w:rsidR="008600F8" w:rsidRPr="00F05572">
        <w:rPr>
          <w:rFonts w:cs="Arial"/>
        </w:rPr>
        <w:t xml:space="preserve"> wrote to the Secretary of State on 11 October</w:t>
      </w:r>
      <w:r w:rsidR="00B324DC" w:rsidRPr="00F05572">
        <w:rPr>
          <w:rFonts w:cs="Arial"/>
        </w:rPr>
        <w:t xml:space="preserve"> 2016</w:t>
      </w:r>
      <w:r w:rsidR="00754760" w:rsidRPr="00F05572">
        <w:rPr>
          <w:rFonts w:cs="Arial"/>
        </w:rPr>
        <w:t xml:space="preserve"> </w:t>
      </w:r>
      <w:r w:rsidR="00EF4341" w:rsidRPr="00F05572">
        <w:rPr>
          <w:rFonts w:cs="Arial"/>
        </w:rPr>
        <w:t>in response to your third six monthly report</w:t>
      </w:r>
      <w:r w:rsidR="006F4D63" w:rsidRPr="00F05572">
        <w:rPr>
          <w:rFonts w:cs="Arial"/>
        </w:rPr>
        <w:t xml:space="preserve">, received </w:t>
      </w:r>
      <w:r w:rsidR="00E063E1" w:rsidRPr="00F05572">
        <w:rPr>
          <w:rFonts w:cs="Arial"/>
        </w:rPr>
        <w:t xml:space="preserve">on </w:t>
      </w:r>
      <w:r w:rsidR="006F4D63" w:rsidRPr="00F05572">
        <w:rPr>
          <w:rFonts w:cs="Arial"/>
        </w:rPr>
        <w:t>20 September,</w:t>
      </w:r>
      <w:r w:rsidR="00EF4341" w:rsidRPr="00F05572">
        <w:rPr>
          <w:rFonts w:cs="Arial"/>
        </w:rPr>
        <w:t xml:space="preserve"> on </w:t>
      </w:r>
      <w:r w:rsidR="009C639C" w:rsidRPr="00F05572">
        <w:rPr>
          <w:rFonts w:cs="Arial"/>
        </w:rPr>
        <w:t>progress against the Council’s Best Value Strategy and Action P</w:t>
      </w:r>
      <w:r w:rsidR="00EF4341" w:rsidRPr="00F05572">
        <w:rPr>
          <w:rFonts w:cs="Arial"/>
        </w:rPr>
        <w:t xml:space="preserve">lan as required by the </w:t>
      </w:r>
      <w:r w:rsidR="008600F8" w:rsidRPr="00F05572">
        <w:rPr>
          <w:rFonts w:cs="Arial"/>
        </w:rPr>
        <w:t xml:space="preserve">Directions issued to the Council on </w:t>
      </w:r>
      <w:r w:rsidR="00EF4341" w:rsidRPr="00F05572">
        <w:rPr>
          <w:rFonts w:cs="Arial"/>
        </w:rPr>
        <w:t xml:space="preserve">17 December 2014.  In </w:t>
      </w:r>
      <w:r w:rsidRPr="00F05572">
        <w:rPr>
          <w:rFonts w:cs="Arial"/>
        </w:rPr>
        <w:t xml:space="preserve">their </w:t>
      </w:r>
      <w:r w:rsidR="00EF4341" w:rsidRPr="00F05572">
        <w:rPr>
          <w:rFonts w:cs="Arial"/>
        </w:rPr>
        <w:t xml:space="preserve">letter </w:t>
      </w:r>
      <w:r w:rsidRPr="00F05572">
        <w:rPr>
          <w:rFonts w:cs="Arial"/>
        </w:rPr>
        <w:t>the Commissioners</w:t>
      </w:r>
      <w:r w:rsidR="00EF4341" w:rsidRPr="00F05572">
        <w:rPr>
          <w:rFonts w:cs="Arial"/>
        </w:rPr>
        <w:t xml:space="preserve"> recommended that, based on </w:t>
      </w:r>
      <w:r w:rsidR="008C39A6" w:rsidRPr="00F05572">
        <w:rPr>
          <w:rFonts w:cs="Arial"/>
        </w:rPr>
        <w:t xml:space="preserve">the </w:t>
      </w:r>
      <w:r w:rsidR="00EF4341" w:rsidRPr="00F05572">
        <w:rPr>
          <w:rFonts w:cs="Arial"/>
        </w:rPr>
        <w:t xml:space="preserve">progress </w:t>
      </w:r>
      <w:r w:rsidR="007D4D96" w:rsidRPr="00F05572">
        <w:rPr>
          <w:rFonts w:cs="Arial"/>
        </w:rPr>
        <w:t xml:space="preserve">that has been </w:t>
      </w:r>
      <w:r w:rsidR="00EF4341" w:rsidRPr="00F05572">
        <w:rPr>
          <w:rFonts w:cs="Arial"/>
        </w:rPr>
        <w:t>made</w:t>
      </w:r>
      <w:r w:rsidR="00DD3146" w:rsidRPr="00F05572">
        <w:rPr>
          <w:rFonts w:cs="Arial"/>
        </w:rPr>
        <w:t xml:space="preserve"> by the Council</w:t>
      </w:r>
      <w:r w:rsidR="00EF4341" w:rsidRPr="00F05572">
        <w:rPr>
          <w:rFonts w:cs="Arial"/>
        </w:rPr>
        <w:t xml:space="preserve">, </w:t>
      </w:r>
      <w:r w:rsidR="007D4D96" w:rsidRPr="00F05572">
        <w:rPr>
          <w:rFonts w:cs="Arial"/>
        </w:rPr>
        <w:t>the Secretary of State</w:t>
      </w:r>
      <w:r w:rsidR="00EF4341" w:rsidRPr="00F05572">
        <w:rPr>
          <w:rFonts w:cs="Arial"/>
        </w:rPr>
        <w:t xml:space="preserve"> may </w:t>
      </w:r>
      <w:r w:rsidR="007D4D96" w:rsidRPr="00F05572">
        <w:rPr>
          <w:rFonts w:cs="Arial"/>
        </w:rPr>
        <w:t xml:space="preserve">wish to </w:t>
      </w:r>
      <w:r w:rsidR="00EF4341" w:rsidRPr="00F05572">
        <w:rPr>
          <w:rFonts w:cs="Arial"/>
        </w:rPr>
        <w:t xml:space="preserve">consider </w:t>
      </w:r>
      <w:r w:rsidR="007D4D96" w:rsidRPr="00F05572">
        <w:rPr>
          <w:rFonts w:cs="Arial"/>
        </w:rPr>
        <w:t xml:space="preserve">revising the </w:t>
      </w:r>
      <w:r w:rsidRPr="00F05572">
        <w:rPr>
          <w:rFonts w:cs="Arial"/>
        </w:rPr>
        <w:t>17 December 2014</w:t>
      </w:r>
      <w:r w:rsidR="00B324DC" w:rsidRPr="00F05572">
        <w:rPr>
          <w:rFonts w:cs="Arial"/>
        </w:rPr>
        <w:t xml:space="preserve"> Directions</w:t>
      </w:r>
      <w:r w:rsidR="007D4D96" w:rsidRPr="00F05572">
        <w:rPr>
          <w:rFonts w:cs="Arial"/>
        </w:rPr>
        <w:t>.</w:t>
      </w:r>
      <w:r w:rsidR="00EF4341" w:rsidRPr="00F05572">
        <w:rPr>
          <w:rFonts w:cs="Arial"/>
        </w:rPr>
        <w:t xml:space="preserve">  </w:t>
      </w:r>
      <w:r w:rsidR="00052997" w:rsidRPr="00F05572">
        <w:rPr>
          <w:rFonts w:cs="Arial"/>
        </w:rPr>
        <w:t xml:space="preserve">The Commissioners also advised, in recognition of progress made, that the Commissioner team now be reduced from four to three.  </w:t>
      </w:r>
      <w:r w:rsidR="00B436E6" w:rsidRPr="00F05572">
        <w:rPr>
          <w:rFonts w:cs="Arial"/>
        </w:rPr>
        <w:t>I am now writing to invite your Authority, if it wishes</w:t>
      </w:r>
      <w:proofErr w:type="gramStart"/>
      <w:r w:rsidR="00B436E6" w:rsidRPr="00F05572">
        <w:rPr>
          <w:rFonts w:cs="Arial"/>
        </w:rPr>
        <w:t>,</w:t>
      </w:r>
      <w:proofErr w:type="gramEnd"/>
      <w:r w:rsidR="00B436E6" w:rsidRPr="00F05572">
        <w:rPr>
          <w:rFonts w:cs="Arial"/>
        </w:rPr>
        <w:t xml:space="preserve"> to make to the Secretary of State representations about </w:t>
      </w:r>
      <w:r w:rsidR="00B324DC" w:rsidRPr="00F05572">
        <w:rPr>
          <w:rFonts w:cs="Arial"/>
        </w:rPr>
        <w:t xml:space="preserve">proposed </w:t>
      </w:r>
      <w:r w:rsidR="005B22FE" w:rsidRPr="00F05572">
        <w:rPr>
          <w:rFonts w:cs="Arial"/>
        </w:rPr>
        <w:t>additional</w:t>
      </w:r>
      <w:r w:rsidR="00B436E6" w:rsidRPr="00F05572">
        <w:rPr>
          <w:rFonts w:cs="Arial"/>
        </w:rPr>
        <w:t xml:space="preserve"> </w:t>
      </w:r>
      <w:r w:rsidR="00B324DC" w:rsidRPr="00F05572">
        <w:rPr>
          <w:rFonts w:cs="Arial"/>
        </w:rPr>
        <w:t>Directions</w:t>
      </w:r>
      <w:r w:rsidR="00B436E6" w:rsidRPr="00F05572">
        <w:rPr>
          <w:rFonts w:cs="Arial"/>
        </w:rPr>
        <w:t>.</w:t>
      </w:r>
    </w:p>
    <w:p w:rsidR="00B436E6" w:rsidRPr="00F05572" w:rsidRDefault="00B436E6" w:rsidP="00B436E6">
      <w:pPr>
        <w:rPr>
          <w:rFonts w:cs="Arial"/>
        </w:rPr>
      </w:pPr>
    </w:p>
    <w:p w:rsidR="008C39A6" w:rsidRPr="00F05572" w:rsidRDefault="00B436E6" w:rsidP="00B436E6">
      <w:pPr>
        <w:rPr>
          <w:rFonts w:cs="Arial"/>
        </w:rPr>
      </w:pPr>
      <w:r w:rsidRPr="00F05572">
        <w:rPr>
          <w:rFonts w:cs="Arial"/>
        </w:rPr>
        <w:t xml:space="preserve">The Secretary of State has carefully considered the </w:t>
      </w:r>
      <w:r w:rsidR="007D4D96" w:rsidRPr="00F05572">
        <w:rPr>
          <w:rFonts w:cs="Arial"/>
        </w:rPr>
        <w:t xml:space="preserve">Council’s latest progress report </w:t>
      </w:r>
      <w:r w:rsidRPr="00F05572">
        <w:rPr>
          <w:rFonts w:cs="Arial"/>
        </w:rPr>
        <w:t xml:space="preserve">and other relevant information referred to in the attached Annex. </w:t>
      </w:r>
      <w:r w:rsidR="007D4D96" w:rsidRPr="00F05572">
        <w:rPr>
          <w:rFonts w:cs="Arial"/>
        </w:rPr>
        <w:t xml:space="preserve"> </w:t>
      </w:r>
      <w:r w:rsidR="003A7E3D" w:rsidRPr="00F05572">
        <w:rPr>
          <w:rFonts w:cs="Arial"/>
        </w:rPr>
        <w:t>He is satisfied</w:t>
      </w:r>
      <w:r w:rsidR="009C639C" w:rsidRPr="00F05572">
        <w:rPr>
          <w:rFonts w:cs="Arial"/>
        </w:rPr>
        <w:t>, on the basis of the evidence set out therein,</w:t>
      </w:r>
      <w:r w:rsidR="003A7E3D" w:rsidRPr="00F05572">
        <w:rPr>
          <w:rFonts w:cs="Arial"/>
        </w:rPr>
        <w:t xml:space="preserve"> that your Authority is able to exercise functions in relation to the </w:t>
      </w:r>
      <w:r w:rsidR="00782F7B" w:rsidRPr="00F05572">
        <w:rPr>
          <w:rFonts w:cs="Arial"/>
        </w:rPr>
        <w:t>making of grants under any statutory power or duty (paragraphs 1 and 2 of Annex B to the 17 December 2014 Directions)</w:t>
      </w:r>
      <w:r w:rsidR="005B22FE" w:rsidRPr="00F05572">
        <w:rPr>
          <w:rFonts w:cs="Arial"/>
        </w:rPr>
        <w:t>,</w:t>
      </w:r>
      <w:r w:rsidR="008E2974" w:rsidRPr="00F05572">
        <w:rPr>
          <w:rFonts w:cs="Arial"/>
        </w:rPr>
        <w:t xml:space="preserve"> </w:t>
      </w:r>
      <w:r w:rsidR="008C39A6" w:rsidRPr="00F05572">
        <w:rPr>
          <w:rFonts w:cs="Arial"/>
        </w:rPr>
        <w:t>in compliance with the requirements of Part 1 of the Local Government Act 1999 (“the 1999 Act”), namely to comply with the best value duty</w:t>
      </w:r>
      <w:r w:rsidR="003A7E3D" w:rsidRPr="00F05572">
        <w:rPr>
          <w:rFonts w:cs="Arial"/>
        </w:rPr>
        <w:t xml:space="preserve">.  </w:t>
      </w:r>
      <w:r w:rsidR="009F57D0" w:rsidRPr="00F05572">
        <w:rPr>
          <w:rFonts w:cs="Arial"/>
        </w:rPr>
        <w:t>T</w:t>
      </w:r>
      <w:r w:rsidR="00782F7B" w:rsidRPr="00F05572">
        <w:rPr>
          <w:rFonts w:cs="Arial"/>
        </w:rPr>
        <w:t xml:space="preserve">he Secretary of State considers that </w:t>
      </w:r>
      <w:r w:rsidR="005B22FE" w:rsidRPr="00F05572">
        <w:rPr>
          <w:rFonts w:cs="Arial"/>
        </w:rPr>
        <w:t xml:space="preserve">the Authority’s exercise of these </w:t>
      </w:r>
      <w:r w:rsidR="00C3523D" w:rsidRPr="00F05572">
        <w:rPr>
          <w:rFonts w:cs="Arial"/>
        </w:rPr>
        <w:t>function</w:t>
      </w:r>
      <w:r w:rsidR="005B22FE" w:rsidRPr="00F05572">
        <w:rPr>
          <w:rFonts w:cs="Arial"/>
        </w:rPr>
        <w:t>s</w:t>
      </w:r>
      <w:r w:rsidR="00C3523D" w:rsidRPr="00F05572">
        <w:rPr>
          <w:rFonts w:cs="Arial"/>
        </w:rPr>
        <w:t xml:space="preserve"> </w:t>
      </w:r>
      <w:r w:rsidR="00782F7B" w:rsidRPr="00F05572">
        <w:rPr>
          <w:rFonts w:cs="Arial"/>
        </w:rPr>
        <w:t xml:space="preserve">should </w:t>
      </w:r>
      <w:r w:rsidR="009F57D0" w:rsidRPr="00F05572">
        <w:rPr>
          <w:rFonts w:cs="Arial"/>
        </w:rPr>
        <w:t xml:space="preserve">however </w:t>
      </w:r>
      <w:r w:rsidR="00782F7B" w:rsidRPr="00F05572">
        <w:rPr>
          <w:rFonts w:cs="Arial"/>
        </w:rPr>
        <w:t xml:space="preserve">be subject to oversight arrangements </w:t>
      </w:r>
      <w:r w:rsidR="00C3523D" w:rsidRPr="00F05572">
        <w:rPr>
          <w:rFonts w:cs="Arial"/>
        </w:rPr>
        <w:t>to enable the Commissioners to advise and scrutinise the Authority and ensure its compliance with the best value duty.</w:t>
      </w:r>
      <w:r w:rsidR="006F4D63" w:rsidRPr="00F05572">
        <w:rPr>
          <w:rFonts w:cs="Arial"/>
        </w:rPr>
        <w:t xml:space="preserve">  </w:t>
      </w:r>
      <w:r w:rsidR="004D5FBC" w:rsidRPr="00F05572">
        <w:rPr>
          <w:rFonts w:cs="Arial"/>
        </w:rPr>
        <w:t>On that basis he is considering exercising his powers under the 1999 Act to return these functions to your Authority to exercise.</w:t>
      </w:r>
    </w:p>
    <w:p w:rsidR="008C39A6" w:rsidRPr="00F05572" w:rsidRDefault="008C39A6" w:rsidP="00B436E6">
      <w:pPr>
        <w:rPr>
          <w:rFonts w:cs="Arial"/>
        </w:rPr>
      </w:pPr>
    </w:p>
    <w:p w:rsidR="00752CEA" w:rsidRPr="00F05572" w:rsidRDefault="00752CEA" w:rsidP="00B436E6">
      <w:pPr>
        <w:rPr>
          <w:rFonts w:cs="Arial"/>
        </w:rPr>
      </w:pPr>
    </w:p>
    <w:p w:rsidR="00F60A4D" w:rsidRPr="00F05572" w:rsidRDefault="004D5FBC" w:rsidP="00B436E6">
      <w:pPr>
        <w:rPr>
          <w:rFonts w:cs="Arial"/>
        </w:rPr>
      </w:pPr>
      <w:r w:rsidRPr="00F05572">
        <w:rPr>
          <w:rFonts w:cs="Arial"/>
        </w:rPr>
        <w:t>In addition,</w:t>
      </w:r>
      <w:r w:rsidR="009C4D04" w:rsidRPr="00F05572">
        <w:rPr>
          <w:rFonts w:cs="Arial"/>
        </w:rPr>
        <w:t xml:space="preserve"> t</w:t>
      </w:r>
      <w:r w:rsidR="003A7E3D" w:rsidRPr="00F05572">
        <w:rPr>
          <w:rFonts w:cs="Arial"/>
        </w:rPr>
        <w:t>he Secretary of Sta</w:t>
      </w:r>
      <w:r w:rsidR="009C4D04" w:rsidRPr="00F05572">
        <w:rPr>
          <w:rFonts w:cs="Arial"/>
        </w:rPr>
        <w:t xml:space="preserve">te is satisfied </w:t>
      </w:r>
      <w:r w:rsidR="003A7E3D" w:rsidRPr="00F05572">
        <w:rPr>
          <w:rFonts w:cs="Arial"/>
        </w:rPr>
        <w:t xml:space="preserve">that </w:t>
      </w:r>
      <w:r w:rsidR="008C39A6" w:rsidRPr="00F05572">
        <w:rPr>
          <w:rFonts w:cs="Arial"/>
        </w:rPr>
        <w:t xml:space="preserve">that </w:t>
      </w:r>
      <w:r w:rsidRPr="00F05572">
        <w:rPr>
          <w:rFonts w:cs="Arial"/>
        </w:rPr>
        <w:t xml:space="preserve">the processes and practices </w:t>
      </w:r>
      <w:r w:rsidR="008C39A6" w:rsidRPr="00F05572">
        <w:rPr>
          <w:rFonts w:cs="Arial"/>
        </w:rPr>
        <w:t xml:space="preserve">your Authority </w:t>
      </w:r>
      <w:r w:rsidRPr="00F05572">
        <w:rPr>
          <w:rFonts w:cs="Arial"/>
        </w:rPr>
        <w:t xml:space="preserve">adopts for entering into contracts, including how it implements its written procurement policies and procedures, are now in compliance with the best value duty.  </w:t>
      </w:r>
      <w:r w:rsidR="00B436E6" w:rsidRPr="00F05572">
        <w:rPr>
          <w:rFonts w:cs="Arial"/>
        </w:rPr>
        <w:t xml:space="preserve">On that basis he is considering </w:t>
      </w:r>
      <w:r w:rsidR="00752CEA" w:rsidRPr="00F05572">
        <w:rPr>
          <w:rFonts w:cs="Arial"/>
        </w:rPr>
        <w:t>revoking the Direction</w:t>
      </w:r>
      <w:r w:rsidR="00333AD4" w:rsidRPr="00F05572">
        <w:rPr>
          <w:rFonts w:cs="Arial"/>
        </w:rPr>
        <w:t xml:space="preserve"> issued to your Authority on 17 December 2014</w:t>
      </w:r>
      <w:r w:rsidR="00623508" w:rsidRPr="00F05572">
        <w:rPr>
          <w:rFonts w:cs="Arial"/>
        </w:rPr>
        <w:t xml:space="preserve"> </w:t>
      </w:r>
      <w:r w:rsidR="007D77F9" w:rsidRPr="00F05572">
        <w:rPr>
          <w:rFonts w:cs="Arial"/>
        </w:rPr>
        <w:t>(paragraph 7 of Annex A)</w:t>
      </w:r>
      <w:r w:rsidR="00333AD4" w:rsidRPr="00F05572">
        <w:rPr>
          <w:rFonts w:cs="Arial"/>
        </w:rPr>
        <w:t>.</w:t>
      </w:r>
    </w:p>
    <w:p w:rsidR="00F60A4D" w:rsidRPr="00F05572" w:rsidRDefault="00F60A4D" w:rsidP="00B436E6">
      <w:pPr>
        <w:rPr>
          <w:rFonts w:cs="Arial"/>
        </w:rPr>
      </w:pPr>
    </w:p>
    <w:p w:rsidR="00F60A4D" w:rsidRPr="00F05572" w:rsidRDefault="00F60A4D" w:rsidP="00B436E6">
      <w:pPr>
        <w:rPr>
          <w:rFonts w:cs="Arial"/>
        </w:rPr>
      </w:pPr>
      <w:r w:rsidRPr="00F05572">
        <w:rPr>
          <w:rFonts w:cs="Arial"/>
        </w:rPr>
        <w:t xml:space="preserve">The Secretary of State acknowledges that the Authority has made significant progress with improving the conduct of elections in the Borough. </w:t>
      </w:r>
      <w:r w:rsidR="00C1220A" w:rsidRPr="00F05572">
        <w:rPr>
          <w:rFonts w:cs="Arial"/>
        </w:rPr>
        <w:t xml:space="preserve"> </w:t>
      </w:r>
      <w:r w:rsidRPr="00F05572">
        <w:rPr>
          <w:rFonts w:cs="Arial"/>
        </w:rPr>
        <w:t>The appointment of new C</w:t>
      </w:r>
      <w:r w:rsidR="00C225E9">
        <w:rPr>
          <w:rFonts w:cs="Arial"/>
        </w:rPr>
        <w:t>hief Executive Officer</w:t>
      </w:r>
      <w:r w:rsidRPr="00F05572">
        <w:rPr>
          <w:rFonts w:cs="Arial"/>
        </w:rPr>
        <w:t xml:space="preserve"> Mr Will Tuckley as the Council’s Returning Officer has strengthened election management structures, and both the GLA Elections and the EU Referendum were delivered successfully this year. However, in light of the by-election for Whitechapel ward on 1 December, the Secretary of State is currently not minded to return functions in relation to the appointment of persons to and the removal of persons from the statutory offices of Electoral Registration Officer and Returning Officer for Local Elections (paragraphs 3 and 4 of Annex B to the 17 December 2014 Directions) to the Council until such time as he is able to appraise the administration and conduct of this by-election. </w:t>
      </w:r>
      <w:r w:rsidR="00C1220A" w:rsidRPr="00F05572">
        <w:rPr>
          <w:rFonts w:cs="Arial"/>
        </w:rPr>
        <w:t xml:space="preserve"> </w:t>
      </w:r>
      <w:r w:rsidRPr="00F05572">
        <w:rPr>
          <w:rFonts w:cs="Arial"/>
        </w:rPr>
        <w:t xml:space="preserve">The Secretary of State looks forward to receiving an update from the Council on this by-election in its next scheduled progress report, and will consider this and any related evidence in any future decisions he will take in respect of these Directions.      </w:t>
      </w:r>
    </w:p>
    <w:p w:rsidR="00B436E6" w:rsidRPr="00F05572" w:rsidRDefault="00B436E6" w:rsidP="00B436E6">
      <w:pPr>
        <w:rPr>
          <w:rFonts w:cs="Arial"/>
        </w:rPr>
      </w:pPr>
    </w:p>
    <w:p w:rsidR="00B436E6" w:rsidRPr="00F05572" w:rsidRDefault="00B436E6" w:rsidP="00B436E6">
      <w:pPr>
        <w:rPr>
          <w:rFonts w:cs="Arial"/>
        </w:rPr>
      </w:pPr>
      <w:r w:rsidRPr="00F05572">
        <w:rPr>
          <w:rFonts w:cs="Arial"/>
        </w:rPr>
        <w:t xml:space="preserve">Your Authority is now invited to make such representations as it wishes about the report and the Secretary of State’s proposals. All such representations should be sent by email to </w:t>
      </w:r>
      <w:hyperlink r:id="rId11" w:history="1">
        <w:r w:rsidR="00DD3146" w:rsidRPr="00F05572">
          <w:rPr>
            <w:rStyle w:val="Hyperlink"/>
            <w:rFonts w:cs="Arial"/>
          </w:rPr>
          <w:t>Aisling.Lyon@communities.gsi.gov.uk</w:t>
        </w:r>
      </w:hyperlink>
      <w:r w:rsidRPr="00F05572">
        <w:rPr>
          <w:rFonts w:cs="Arial"/>
        </w:rPr>
        <w:t xml:space="preserve">, copied to </w:t>
      </w:r>
      <w:hyperlink r:id="rId12" w:history="1">
        <w:r w:rsidRPr="00F05572">
          <w:rPr>
            <w:rStyle w:val="Hyperlink"/>
            <w:rFonts w:cs="Arial"/>
          </w:rPr>
          <w:t>Alex.Powell@communities.gsi.gov.uk</w:t>
        </w:r>
      </w:hyperlink>
      <w:r w:rsidRPr="00F05572">
        <w:rPr>
          <w:rFonts w:cs="Arial"/>
        </w:rPr>
        <w:t xml:space="preserve">, or in hard copy to the address below marked for the attention of </w:t>
      </w:r>
      <w:r w:rsidR="00DD3146" w:rsidRPr="00F05572">
        <w:rPr>
          <w:rFonts w:cs="Arial"/>
        </w:rPr>
        <w:t>Aisling Lyon</w:t>
      </w:r>
      <w:r w:rsidRPr="00F05572">
        <w:rPr>
          <w:rFonts w:cs="Arial"/>
        </w:rPr>
        <w:t xml:space="preserve">, so </w:t>
      </w:r>
      <w:r w:rsidR="00125A4C" w:rsidRPr="00F05572">
        <w:rPr>
          <w:rFonts w:cs="Arial"/>
        </w:rPr>
        <w:t xml:space="preserve">as to be received on or before </w:t>
      </w:r>
      <w:r w:rsidR="00497EB5" w:rsidRPr="00F05572">
        <w:rPr>
          <w:rFonts w:cs="Arial"/>
        </w:rPr>
        <w:t>1</w:t>
      </w:r>
      <w:r w:rsidR="009F57D0" w:rsidRPr="00F05572">
        <w:rPr>
          <w:rFonts w:cs="Arial"/>
        </w:rPr>
        <w:t>0</w:t>
      </w:r>
      <w:r w:rsidR="00497EB5" w:rsidRPr="00F05572">
        <w:rPr>
          <w:rFonts w:cs="Arial"/>
        </w:rPr>
        <w:t>a</w:t>
      </w:r>
      <w:r w:rsidR="007C48A4" w:rsidRPr="00F05572">
        <w:rPr>
          <w:rFonts w:cs="Arial"/>
        </w:rPr>
        <w:t xml:space="preserve">.m on </w:t>
      </w:r>
      <w:r w:rsidR="00497EB5" w:rsidRPr="00F05572">
        <w:rPr>
          <w:rFonts w:cs="Arial"/>
        </w:rPr>
        <w:t>Friday 16 December</w:t>
      </w:r>
      <w:r w:rsidRPr="00F05572">
        <w:rPr>
          <w:rFonts w:cs="Arial"/>
        </w:rPr>
        <w:t xml:space="preserve">. </w:t>
      </w:r>
      <w:r w:rsidR="00752CEA" w:rsidRPr="00F05572">
        <w:rPr>
          <w:rFonts w:cs="Arial"/>
        </w:rPr>
        <w:t xml:space="preserve"> </w:t>
      </w:r>
      <w:r w:rsidRPr="00F05572">
        <w:rPr>
          <w:rFonts w:cs="Arial"/>
        </w:rPr>
        <w:t xml:space="preserve">They will then be carefully considered by the Secretary of State in making a decision as to whether </w:t>
      </w:r>
      <w:r w:rsidR="007C48A4" w:rsidRPr="00F05572">
        <w:rPr>
          <w:rFonts w:cs="Arial"/>
        </w:rPr>
        <w:t>or not to make the proposed</w:t>
      </w:r>
      <w:r w:rsidRPr="00F05572">
        <w:rPr>
          <w:rFonts w:cs="Arial"/>
        </w:rPr>
        <w:t xml:space="preserve"> Directions.</w:t>
      </w:r>
    </w:p>
    <w:p w:rsidR="00B436E6" w:rsidRPr="00F05572" w:rsidRDefault="00B436E6" w:rsidP="00B436E6">
      <w:pPr>
        <w:rPr>
          <w:rFonts w:cs="Arial"/>
        </w:rPr>
      </w:pPr>
    </w:p>
    <w:p w:rsidR="00B436E6" w:rsidRPr="00F05572" w:rsidRDefault="00B436E6" w:rsidP="00B436E6">
      <w:pPr>
        <w:rPr>
          <w:rFonts w:cs="Arial"/>
        </w:rPr>
      </w:pPr>
      <w:r w:rsidRPr="00F05572">
        <w:rPr>
          <w:rFonts w:cs="Arial"/>
        </w:rPr>
        <w:t>I am copying t</w:t>
      </w:r>
      <w:r w:rsidR="00652E96" w:rsidRPr="00F05572">
        <w:rPr>
          <w:rFonts w:cs="Arial"/>
        </w:rPr>
        <w:t xml:space="preserve">his letter to your Authority’s </w:t>
      </w:r>
      <w:r w:rsidR="004C4C1C">
        <w:rPr>
          <w:rFonts w:cs="Arial"/>
        </w:rPr>
        <w:t xml:space="preserve">Chief Executive, </w:t>
      </w:r>
      <w:r w:rsidR="00652E96" w:rsidRPr="00F05572">
        <w:rPr>
          <w:rFonts w:cs="Arial"/>
        </w:rPr>
        <w:t>S</w:t>
      </w:r>
      <w:r w:rsidRPr="00F05572">
        <w:rPr>
          <w:rFonts w:cs="Arial"/>
        </w:rPr>
        <w:t>ection 151 Officer,</w:t>
      </w:r>
      <w:r w:rsidR="00C225E9">
        <w:rPr>
          <w:rFonts w:cs="Arial"/>
        </w:rPr>
        <w:t xml:space="preserve"> Interim</w:t>
      </w:r>
      <w:r w:rsidRPr="00F05572">
        <w:rPr>
          <w:rFonts w:cs="Arial"/>
        </w:rPr>
        <w:t xml:space="preserve"> </w:t>
      </w:r>
      <w:r w:rsidR="00600923">
        <w:rPr>
          <w:rFonts w:cs="Arial"/>
        </w:rPr>
        <w:t>Head of L</w:t>
      </w:r>
      <w:bookmarkStart w:id="5" w:name="_GoBack"/>
      <w:bookmarkEnd w:id="5"/>
      <w:r w:rsidR="00C225E9">
        <w:rPr>
          <w:rFonts w:cs="Arial"/>
        </w:rPr>
        <w:t>egal Services,</w:t>
      </w:r>
      <w:r w:rsidRPr="00F05572">
        <w:rPr>
          <w:rFonts w:cs="Arial"/>
        </w:rPr>
        <w:t xml:space="preserve"> and to the Commissioners’ office.</w:t>
      </w:r>
    </w:p>
    <w:p w:rsidR="00B436E6" w:rsidRPr="00F05572" w:rsidRDefault="00B436E6" w:rsidP="00B436E6">
      <w:pPr>
        <w:rPr>
          <w:rFonts w:cs="Arial"/>
        </w:rPr>
      </w:pPr>
    </w:p>
    <w:p w:rsidR="00B436E6" w:rsidRPr="00F05572" w:rsidRDefault="001E29D6" w:rsidP="00B436E6">
      <w:pPr>
        <w:rPr>
          <w:rFonts w:cs="Arial"/>
        </w:rPr>
      </w:pPr>
      <w:r w:rsidRPr="00F05572">
        <w:rPr>
          <w:rFonts w:cs="Arial"/>
        </w:rPr>
        <w:t>Yours s</w:t>
      </w:r>
      <w:r w:rsidR="00B436E6" w:rsidRPr="00F05572">
        <w:rPr>
          <w:rFonts w:cs="Arial"/>
        </w:rPr>
        <w:t>incerely</w:t>
      </w:r>
      <w:r w:rsidRPr="00F05572">
        <w:rPr>
          <w:rFonts w:cs="Arial"/>
        </w:rPr>
        <w:t>,</w:t>
      </w:r>
    </w:p>
    <w:p w:rsidR="002141F1" w:rsidRPr="00F05572" w:rsidRDefault="002141F1" w:rsidP="002141F1">
      <w:pPr>
        <w:tabs>
          <w:tab w:val="left" w:pos="5220"/>
          <w:tab w:val="left" w:pos="6300"/>
        </w:tabs>
        <w:jc w:val="both"/>
        <w:rPr>
          <w:rFonts w:cs="Arial"/>
        </w:rPr>
      </w:pPr>
    </w:p>
    <w:p w:rsidR="004A763B" w:rsidRPr="00F05572" w:rsidRDefault="004A763B" w:rsidP="002141F1">
      <w:pPr>
        <w:tabs>
          <w:tab w:val="left" w:pos="5220"/>
          <w:tab w:val="left" w:pos="6300"/>
        </w:tabs>
        <w:jc w:val="both"/>
        <w:rPr>
          <w:rFonts w:cs="Arial"/>
        </w:rPr>
      </w:pPr>
    </w:p>
    <w:p w:rsidR="004A763B" w:rsidRPr="00F05572" w:rsidRDefault="00EA3CEB" w:rsidP="002141F1">
      <w:pPr>
        <w:tabs>
          <w:tab w:val="left" w:pos="5220"/>
          <w:tab w:val="left" w:pos="6300"/>
        </w:tabs>
        <w:jc w:val="both"/>
        <w:rPr>
          <w:rFonts w:cs="Arial"/>
        </w:rPr>
      </w:pPr>
      <w:r>
        <w:rPr>
          <w:noProof/>
        </w:rPr>
        <w:drawing>
          <wp:inline distT="0" distB="0" distL="0" distR="0" wp14:anchorId="7B65D874" wp14:editId="0D2DE729">
            <wp:extent cx="1653235" cy="93398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5861" cy="935467"/>
                    </a:xfrm>
                    <a:prstGeom prst="rect">
                      <a:avLst/>
                    </a:prstGeom>
                    <a:noFill/>
                    <a:ln>
                      <a:noFill/>
                    </a:ln>
                  </pic:spPr>
                </pic:pic>
              </a:graphicData>
            </a:graphic>
          </wp:inline>
        </w:drawing>
      </w:r>
    </w:p>
    <w:p w:rsidR="00D322FF" w:rsidRPr="00F05572" w:rsidRDefault="00D322FF" w:rsidP="002141F1">
      <w:pPr>
        <w:tabs>
          <w:tab w:val="left" w:pos="5220"/>
          <w:tab w:val="left" w:pos="6300"/>
        </w:tabs>
        <w:jc w:val="both"/>
        <w:rPr>
          <w:rFonts w:cs="Arial"/>
        </w:rPr>
      </w:pPr>
    </w:p>
    <w:p w:rsidR="00D322FF" w:rsidRPr="00F05572" w:rsidRDefault="00D322FF" w:rsidP="002141F1">
      <w:pPr>
        <w:tabs>
          <w:tab w:val="left" w:pos="5220"/>
          <w:tab w:val="left" w:pos="6300"/>
        </w:tabs>
        <w:jc w:val="both"/>
        <w:rPr>
          <w:rFonts w:cs="Arial"/>
        </w:rPr>
      </w:pPr>
    </w:p>
    <w:p w:rsidR="00D322FF" w:rsidRPr="00F05572" w:rsidRDefault="00D322FF" w:rsidP="002141F1">
      <w:pPr>
        <w:tabs>
          <w:tab w:val="left" w:pos="5220"/>
          <w:tab w:val="left" w:pos="6300"/>
        </w:tabs>
        <w:jc w:val="both"/>
        <w:rPr>
          <w:rFonts w:cs="Arial"/>
        </w:rPr>
      </w:pPr>
    </w:p>
    <w:p w:rsidR="00D322FF" w:rsidRPr="00F05572" w:rsidRDefault="00B436E6" w:rsidP="002141F1">
      <w:pPr>
        <w:tabs>
          <w:tab w:val="left" w:pos="5220"/>
          <w:tab w:val="left" w:pos="6300"/>
        </w:tabs>
        <w:jc w:val="both"/>
        <w:rPr>
          <w:rFonts w:cs="Arial"/>
        </w:rPr>
      </w:pPr>
      <w:r w:rsidRPr="00F05572">
        <w:rPr>
          <w:rFonts w:cs="Arial"/>
          <w:b/>
        </w:rPr>
        <w:t>ALEX POWELL</w:t>
      </w:r>
    </w:p>
    <w:p w:rsidR="00B436E6" w:rsidRPr="00F05572" w:rsidRDefault="00B436E6" w:rsidP="002141F1">
      <w:pPr>
        <w:tabs>
          <w:tab w:val="left" w:pos="5220"/>
          <w:tab w:val="left" w:pos="6300"/>
        </w:tabs>
        <w:jc w:val="both"/>
        <w:rPr>
          <w:rFonts w:cs="Arial"/>
        </w:rPr>
      </w:pPr>
    </w:p>
    <w:p w:rsidR="00B436E6" w:rsidRPr="00F05572" w:rsidRDefault="00B436E6" w:rsidP="002141F1">
      <w:pPr>
        <w:tabs>
          <w:tab w:val="left" w:pos="5220"/>
          <w:tab w:val="left" w:pos="6300"/>
        </w:tabs>
        <w:jc w:val="both"/>
        <w:rPr>
          <w:rFonts w:cs="Arial"/>
        </w:rPr>
      </w:pPr>
    </w:p>
    <w:p w:rsidR="00752CEA" w:rsidRPr="00F05572" w:rsidRDefault="00752CEA">
      <w:pPr>
        <w:rPr>
          <w:rFonts w:cs="Arial"/>
          <w:b/>
        </w:rPr>
      </w:pPr>
      <w:r w:rsidRPr="00F05572">
        <w:rPr>
          <w:rFonts w:cs="Arial"/>
          <w:b/>
        </w:rPr>
        <w:br w:type="page"/>
      </w:r>
    </w:p>
    <w:p w:rsidR="00B436E6" w:rsidRPr="00F05572" w:rsidRDefault="00B436E6" w:rsidP="00B436E6">
      <w:pPr>
        <w:rPr>
          <w:rFonts w:cs="Arial"/>
          <w:b/>
        </w:rPr>
      </w:pPr>
      <w:r w:rsidRPr="00F05572">
        <w:rPr>
          <w:rFonts w:cs="Arial"/>
          <w:b/>
        </w:rPr>
        <w:lastRenderedPageBreak/>
        <w:t xml:space="preserve">ANNEX – PROPOSED REVISED </w:t>
      </w:r>
      <w:r w:rsidR="007C48A4" w:rsidRPr="00F05572">
        <w:rPr>
          <w:rFonts w:cs="Arial"/>
          <w:b/>
        </w:rPr>
        <w:t>DIRECTIONS</w:t>
      </w:r>
    </w:p>
    <w:p w:rsidR="00E70177" w:rsidRPr="00F05572" w:rsidRDefault="00E70177" w:rsidP="00B436E6">
      <w:pPr>
        <w:rPr>
          <w:rFonts w:cs="Arial"/>
          <w:b/>
        </w:rPr>
      </w:pPr>
    </w:p>
    <w:p w:rsidR="00B436E6" w:rsidRPr="00F05572" w:rsidRDefault="00B436E6" w:rsidP="00B436E6">
      <w:pPr>
        <w:rPr>
          <w:rFonts w:cs="Arial"/>
          <w:b/>
        </w:rPr>
      </w:pPr>
      <w:r w:rsidRPr="00F05572">
        <w:rPr>
          <w:rFonts w:cs="Arial"/>
          <w:b/>
        </w:rPr>
        <w:t>INTRODUCTION</w:t>
      </w:r>
    </w:p>
    <w:p w:rsidR="00E70177" w:rsidRPr="00F05572" w:rsidRDefault="00E70177" w:rsidP="00B436E6">
      <w:pPr>
        <w:rPr>
          <w:rFonts w:cs="Arial"/>
        </w:rPr>
      </w:pPr>
    </w:p>
    <w:p w:rsidR="00CF6CBD" w:rsidRPr="00F05572" w:rsidRDefault="00B436E6" w:rsidP="00B436E6">
      <w:pPr>
        <w:pStyle w:val="ListBullet"/>
        <w:numPr>
          <w:ilvl w:val="0"/>
          <w:numId w:val="2"/>
        </w:numPr>
        <w:ind w:left="426" w:hanging="426"/>
      </w:pPr>
      <w:r w:rsidRPr="00F05572">
        <w:t xml:space="preserve">Following the receipt of </w:t>
      </w:r>
      <w:r w:rsidR="0049498E" w:rsidRPr="00F05572">
        <w:t>the London Borough of Tower Hamlets</w:t>
      </w:r>
      <w:r w:rsidR="00C43B5B" w:rsidRPr="00F05572">
        <w:t>’</w:t>
      </w:r>
      <w:r w:rsidR="0049498E" w:rsidRPr="00F05572">
        <w:t xml:space="preserve"> (“the Authority”) third six</w:t>
      </w:r>
      <w:r w:rsidR="00065711" w:rsidRPr="00F05572">
        <w:t>-</w:t>
      </w:r>
      <w:r w:rsidR="0049498E" w:rsidRPr="00F05572">
        <w:t>monthly progress report against the Council’s best value strategy and action plan</w:t>
      </w:r>
      <w:r w:rsidR="00DC59FC" w:rsidRPr="00F05572">
        <w:t xml:space="preserve"> dated </w:t>
      </w:r>
      <w:r w:rsidR="00E04037" w:rsidRPr="00F05572">
        <w:t xml:space="preserve">20 </w:t>
      </w:r>
      <w:r w:rsidR="00DC59FC" w:rsidRPr="00F05572">
        <w:t>September</w:t>
      </w:r>
      <w:r w:rsidR="007C48A4" w:rsidRPr="00F05572">
        <w:t xml:space="preserve"> 2016</w:t>
      </w:r>
      <w:r w:rsidRPr="00F05572">
        <w:t xml:space="preserve"> as required by the Directions issued to the Authority on </w:t>
      </w:r>
      <w:r w:rsidR="0049498E" w:rsidRPr="00F05572">
        <w:t>17 December 2014</w:t>
      </w:r>
      <w:r w:rsidR="00752CEA" w:rsidRPr="00F05572">
        <w:t>,</w:t>
      </w:r>
      <w:r w:rsidR="0049498E" w:rsidRPr="00F05572">
        <w:t xml:space="preserve"> </w:t>
      </w:r>
      <w:r w:rsidR="00E04037" w:rsidRPr="00F05572">
        <w:t xml:space="preserve">and Tower Hamlets Commissioners’ </w:t>
      </w:r>
      <w:r w:rsidR="00752CEA" w:rsidRPr="00F05572">
        <w:t>report</w:t>
      </w:r>
      <w:r w:rsidR="00E04037" w:rsidRPr="00F05572">
        <w:t xml:space="preserve"> to the Secretary of State for Communities and Local Government (“the Secretary of State”) dated </w:t>
      </w:r>
      <w:r w:rsidR="00752CEA" w:rsidRPr="00F05572">
        <w:t xml:space="preserve">11 </w:t>
      </w:r>
      <w:r w:rsidR="007D77F9" w:rsidRPr="00F05572">
        <w:t>October</w:t>
      </w:r>
      <w:r w:rsidR="007C48A4" w:rsidRPr="00F05572">
        <w:t xml:space="preserve"> 201</w:t>
      </w:r>
      <w:r w:rsidR="007D77F9" w:rsidRPr="00F05572">
        <w:t>6</w:t>
      </w:r>
      <w:r w:rsidR="00E04037" w:rsidRPr="00F05572">
        <w:t xml:space="preserve">, </w:t>
      </w:r>
      <w:r w:rsidRPr="00F05572">
        <w:t xml:space="preserve">the Secretary of State is considering exercising his powers under section 15 of the Local Government Act 1999 (“the 1999 Act”) to return </w:t>
      </w:r>
      <w:r w:rsidR="0004135B" w:rsidRPr="00F05572">
        <w:t>f</w:t>
      </w:r>
      <w:r w:rsidR="008F437A" w:rsidRPr="00F05572">
        <w:t>unctions</w:t>
      </w:r>
      <w:r w:rsidR="0049498E" w:rsidRPr="00F05572">
        <w:t xml:space="preserve"> in relation to the making of grants under any statutory power or duty </w:t>
      </w:r>
      <w:r w:rsidR="0004135B" w:rsidRPr="00F05572">
        <w:t xml:space="preserve">(“the </w:t>
      </w:r>
      <w:r w:rsidR="0049498E" w:rsidRPr="00F05572">
        <w:t>grants functions”)</w:t>
      </w:r>
      <w:r w:rsidR="008F437A" w:rsidRPr="00F05572">
        <w:t xml:space="preserve"> to the Authority</w:t>
      </w:r>
      <w:r w:rsidRPr="00F05572">
        <w:t xml:space="preserve"> to exercise. </w:t>
      </w:r>
      <w:r w:rsidR="009F57D0" w:rsidRPr="00F05572">
        <w:t>In addition, t</w:t>
      </w:r>
      <w:r w:rsidRPr="00F05572">
        <w:t>he Secretary of State is considering</w:t>
      </w:r>
      <w:r w:rsidR="00CF6CBD" w:rsidRPr="00F05572">
        <w:t>:</w:t>
      </w:r>
      <w:r w:rsidRPr="00F05572">
        <w:t xml:space="preserve"> </w:t>
      </w:r>
    </w:p>
    <w:p w:rsidR="00CF6CBD" w:rsidRPr="00F05572" w:rsidRDefault="00B436E6" w:rsidP="00A35B11">
      <w:pPr>
        <w:pStyle w:val="ListBullet"/>
        <w:numPr>
          <w:ilvl w:val="0"/>
          <w:numId w:val="7"/>
        </w:numPr>
      </w:pPr>
      <w:r w:rsidRPr="00F05572">
        <w:t xml:space="preserve">issuing </w:t>
      </w:r>
      <w:r w:rsidR="00804D4A" w:rsidRPr="00F05572">
        <w:t>further</w:t>
      </w:r>
      <w:r w:rsidRPr="00F05572">
        <w:t xml:space="preserve"> directions under section 15 of the 1999 Act </w:t>
      </w:r>
      <w:r w:rsidR="003D0097" w:rsidRPr="00F05572">
        <w:t xml:space="preserve">requiring the Authority to exercise </w:t>
      </w:r>
      <w:r w:rsidR="00420ADB" w:rsidRPr="00F05572">
        <w:t xml:space="preserve">grant making </w:t>
      </w:r>
      <w:r w:rsidR="003D0097" w:rsidRPr="00F05572">
        <w:t xml:space="preserve">functions under the direction of, and to the satisfaction of, the Commissioners for the remainder of the </w:t>
      </w:r>
      <w:r w:rsidR="000F41E7" w:rsidRPr="00F05572">
        <w:t>Direction Pe</w:t>
      </w:r>
      <w:r w:rsidR="003D0097" w:rsidRPr="00F05572">
        <w:t>riod</w:t>
      </w:r>
      <w:r w:rsidR="007C48A4" w:rsidRPr="00F05572">
        <w:t xml:space="preserve"> as set out in the Directions issued to the Authority on 17 December 2014</w:t>
      </w:r>
      <w:r w:rsidR="00420ADB" w:rsidRPr="00F05572">
        <w:t xml:space="preserve">, </w:t>
      </w:r>
      <w:r w:rsidRPr="00F05572">
        <w:t>and to ensure the Authority’s compliance with the require</w:t>
      </w:r>
      <w:r w:rsidR="00A35B11" w:rsidRPr="00F05572">
        <w:t>ments of Part 1 of the 1999 Act; and</w:t>
      </w:r>
    </w:p>
    <w:p w:rsidR="00B436E6" w:rsidRPr="00F05572" w:rsidRDefault="001D5638" w:rsidP="00A35B11">
      <w:pPr>
        <w:pStyle w:val="ListBullet"/>
        <w:numPr>
          <w:ilvl w:val="0"/>
          <w:numId w:val="7"/>
        </w:numPr>
      </w:pPr>
      <w:proofErr w:type="gramStart"/>
      <w:r w:rsidRPr="00F05572">
        <w:t>revoking</w:t>
      </w:r>
      <w:proofErr w:type="gramEnd"/>
      <w:r w:rsidRPr="00F05572">
        <w:t xml:space="preserve"> the Direction issued to the Authority on 17 December 2014 (paragraph 7 of Annex A) in</w:t>
      </w:r>
      <w:r w:rsidR="004C643C" w:rsidRPr="00F05572">
        <w:t>sofar as it</w:t>
      </w:r>
      <w:r w:rsidRPr="00F05572">
        <w:t xml:space="preserve"> relat</w:t>
      </w:r>
      <w:r w:rsidR="004C643C" w:rsidRPr="00F05572">
        <w:t xml:space="preserve">es </w:t>
      </w:r>
      <w:r w:rsidRPr="00F05572">
        <w:t>to the processes and practices the Authority adopts for entering into contracts.</w:t>
      </w:r>
    </w:p>
    <w:p w:rsidR="00B436E6" w:rsidRPr="00F05572" w:rsidRDefault="00B436E6" w:rsidP="00B436E6">
      <w:pPr>
        <w:rPr>
          <w:rFonts w:cs="Arial"/>
          <w:b/>
        </w:rPr>
      </w:pPr>
      <w:r w:rsidRPr="00F05572">
        <w:rPr>
          <w:rFonts w:cs="Arial"/>
          <w:b/>
        </w:rPr>
        <w:t>CONTEXT</w:t>
      </w:r>
    </w:p>
    <w:p w:rsidR="00E70177" w:rsidRPr="00F05572" w:rsidRDefault="00E70177" w:rsidP="00B436E6">
      <w:pPr>
        <w:rPr>
          <w:rFonts w:cs="Arial"/>
          <w:b/>
        </w:rPr>
      </w:pPr>
    </w:p>
    <w:p w:rsidR="000F41E7" w:rsidRPr="00F05572" w:rsidRDefault="00B436E6" w:rsidP="000F41E7">
      <w:pPr>
        <w:pStyle w:val="ListParagraph"/>
        <w:numPr>
          <w:ilvl w:val="0"/>
          <w:numId w:val="2"/>
        </w:numPr>
        <w:ind w:left="426" w:hanging="426"/>
      </w:pPr>
      <w:r w:rsidRPr="00F05572">
        <w:t xml:space="preserve">On </w:t>
      </w:r>
      <w:r w:rsidR="00903AE1" w:rsidRPr="00F05572">
        <w:t>17 December</w:t>
      </w:r>
      <w:r w:rsidRPr="00F05572">
        <w:t xml:space="preserve"> 201</w:t>
      </w:r>
      <w:r w:rsidR="00A221DA" w:rsidRPr="00F05572">
        <w:t>4</w:t>
      </w:r>
      <w:r w:rsidRPr="00F05572">
        <w:t xml:space="preserve"> the </w:t>
      </w:r>
      <w:r w:rsidR="00F74D92" w:rsidRPr="00F05572">
        <w:t xml:space="preserve">then </w:t>
      </w:r>
      <w:r w:rsidRPr="00F05572">
        <w:t xml:space="preserve">Secretary of State exercised </w:t>
      </w:r>
      <w:r w:rsidR="00903AE1" w:rsidRPr="00F05572">
        <w:t xml:space="preserve">his </w:t>
      </w:r>
      <w:r w:rsidRPr="00F05572">
        <w:t xml:space="preserve">powers of direction under section 15 of the 1999 </w:t>
      </w:r>
      <w:r w:rsidR="00524FA0" w:rsidRPr="00F05572">
        <w:t xml:space="preserve">Local Government </w:t>
      </w:r>
      <w:r w:rsidRPr="00F05572">
        <w:t xml:space="preserve">Act in relation to the Authority and issued Directions to the Authority (“the </w:t>
      </w:r>
      <w:r w:rsidR="00903AE1" w:rsidRPr="00F05572">
        <w:t>17 December 2014</w:t>
      </w:r>
      <w:r w:rsidRPr="00F05572">
        <w:t xml:space="preserve"> Directions”). </w:t>
      </w:r>
      <w:r w:rsidR="006A5BB4" w:rsidRPr="00F05572">
        <w:t xml:space="preserve"> </w:t>
      </w:r>
      <w:r w:rsidRPr="00F05572">
        <w:t xml:space="preserve">This followed consideration of the </w:t>
      </w:r>
      <w:r w:rsidR="00DE33B3" w:rsidRPr="00F05572">
        <w:t>report of the</w:t>
      </w:r>
      <w:r w:rsidR="000E6656" w:rsidRPr="00F05572">
        <w:t xml:space="preserve"> Best Value inspection </w:t>
      </w:r>
      <w:r w:rsidR="00DE33B3" w:rsidRPr="00F05572">
        <w:t xml:space="preserve">of the London Borough of Tower Hamlets </w:t>
      </w:r>
      <w:r w:rsidRPr="00F05572">
        <w:t xml:space="preserve">by </w:t>
      </w:r>
      <w:r w:rsidR="00DE33B3" w:rsidRPr="00F05572">
        <w:t xml:space="preserve">PricewaterhouseCoopers LLP </w:t>
      </w:r>
      <w:r w:rsidRPr="00F05572">
        <w:t xml:space="preserve">dated </w:t>
      </w:r>
      <w:r w:rsidR="00DE33B3" w:rsidRPr="00F05572">
        <w:t>16 October 2014</w:t>
      </w:r>
      <w:r w:rsidRPr="00F05572">
        <w:t xml:space="preserve"> </w:t>
      </w:r>
      <w:r w:rsidR="00DE33B3" w:rsidRPr="00F05572">
        <w:t xml:space="preserve">and published on 4 November 2014 </w:t>
      </w:r>
      <w:r w:rsidRPr="00F05572">
        <w:t xml:space="preserve">(“the </w:t>
      </w:r>
      <w:r w:rsidR="00DE33B3" w:rsidRPr="00F05572">
        <w:t xml:space="preserve">PwC report”); the report of “Delays at the verification and count for the May 2014 elections in Tower Hamlets - Report of the Electoral Commission’s review”, dated 1 July 2014 (“the Electoral Commission’s review”); </w:t>
      </w:r>
      <w:r w:rsidRPr="00F05572">
        <w:t>representations made by the Authority</w:t>
      </w:r>
      <w:r w:rsidR="00DE33B3" w:rsidRPr="00F05572">
        <w:t xml:space="preserve"> on the PwC report, received 8 December 2014; and representations made by the Authority on PwC’s response to representations from the Authority on PwC’s report, received 10 December 2014</w:t>
      </w:r>
      <w:r w:rsidRPr="00F05572">
        <w:t xml:space="preserve">. </w:t>
      </w:r>
      <w:r w:rsidR="00B66C5F" w:rsidRPr="00F05572">
        <w:t xml:space="preserve"> </w:t>
      </w:r>
      <w:r w:rsidRPr="00F05572">
        <w:t xml:space="preserve">The </w:t>
      </w:r>
      <w:r w:rsidR="00DE33B3" w:rsidRPr="00F05572">
        <w:t xml:space="preserve">PwC </w:t>
      </w:r>
      <w:r w:rsidRPr="00F05572">
        <w:t xml:space="preserve">report identified </w:t>
      </w:r>
      <w:r w:rsidR="000F41E7" w:rsidRPr="00F05572">
        <w:t xml:space="preserve">serious </w:t>
      </w:r>
      <w:r w:rsidRPr="00F05572">
        <w:t>fai</w:t>
      </w:r>
      <w:r w:rsidR="000F41E7" w:rsidRPr="00F05572">
        <w:t xml:space="preserve">lings in the governance of the Authority </w:t>
      </w:r>
      <w:r w:rsidRPr="00F05572">
        <w:t xml:space="preserve">and concluded that the Authority </w:t>
      </w:r>
      <w:r w:rsidR="000F41E7" w:rsidRPr="00F05572">
        <w:t>was failing to comply with its best value duty</w:t>
      </w:r>
      <w:r w:rsidR="007C48A4" w:rsidRPr="00F05572">
        <w:t xml:space="preserve"> in respect of </w:t>
      </w:r>
      <w:r w:rsidR="0067140C" w:rsidRPr="00F05572">
        <w:t xml:space="preserve">the exercise of </w:t>
      </w:r>
      <w:r w:rsidR="007C48A4" w:rsidRPr="00F05572">
        <w:t xml:space="preserve">several </w:t>
      </w:r>
      <w:r w:rsidR="0067140C" w:rsidRPr="00F05572">
        <w:t xml:space="preserve">of its </w:t>
      </w:r>
      <w:r w:rsidR="007C48A4" w:rsidRPr="00F05572">
        <w:t>functions</w:t>
      </w:r>
      <w:r w:rsidRPr="00F05572">
        <w:t xml:space="preserve">. </w:t>
      </w:r>
      <w:r w:rsidR="00B66C5F" w:rsidRPr="00F05572">
        <w:t xml:space="preserve"> </w:t>
      </w:r>
      <w:r w:rsidR="00DE33B3" w:rsidRPr="00F05572">
        <w:t xml:space="preserve">The Electoral Commission’s review </w:t>
      </w:r>
      <w:r w:rsidR="000F41E7" w:rsidRPr="00F05572">
        <w:rPr>
          <w:lang w:val="en"/>
        </w:rPr>
        <w:t xml:space="preserve">concluded that there </w:t>
      </w:r>
      <w:r w:rsidR="00F74D92" w:rsidRPr="00F05572">
        <w:rPr>
          <w:lang w:val="en"/>
        </w:rPr>
        <w:t xml:space="preserve">were </w:t>
      </w:r>
      <w:r w:rsidR="000F41E7" w:rsidRPr="00F05572">
        <w:rPr>
          <w:lang w:val="en"/>
        </w:rPr>
        <w:t>significant lessons for the retu</w:t>
      </w:r>
      <w:r w:rsidR="00E018BF" w:rsidRPr="00F05572">
        <w:rPr>
          <w:lang w:val="en"/>
        </w:rPr>
        <w:t>rning officer appointed by the C</w:t>
      </w:r>
      <w:r w:rsidR="000F41E7" w:rsidRPr="00F05572">
        <w:rPr>
          <w:lang w:val="en"/>
        </w:rPr>
        <w:t>ouncil, and that immediate and sustained action must be taken to provide assurance that future elections and electoral registration will be well managed</w:t>
      </w:r>
      <w:r w:rsidR="00552DB0" w:rsidRPr="00F05572">
        <w:rPr>
          <w:lang w:val="en"/>
        </w:rPr>
        <w:t>,</w:t>
      </w:r>
      <w:r w:rsidR="000F41E7" w:rsidRPr="00F05572">
        <w:rPr>
          <w:lang w:val="en"/>
        </w:rPr>
        <w:t xml:space="preserve"> and efficiently and effectively delivered. </w:t>
      </w:r>
      <w:r w:rsidR="00B66C5F" w:rsidRPr="00F05572">
        <w:rPr>
          <w:lang w:val="en"/>
        </w:rPr>
        <w:t xml:space="preserve"> </w:t>
      </w:r>
      <w:r w:rsidRPr="00F05572">
        <w:t xml:space="preserve">In light of the </w:t>
      </w:r>
      <w:r w:rsidR="00DE33B3" w:rsidRPr="00F05572">
        <w:t xml:space="preserve">PwC </w:t>
      </w:r>
      <w:r w:rsidRPr="00F05572">
        <w:t xml:space="preserve">report and </w:t>
      </w:r>
      <w:r w:rsidR="00DE33B3" w:rsidRPr="00F05572">
        <w:t xml:space="preserve">the Electoral Commission’s review, </w:t>
      </w:r>
      <w:r w:rsidRPr="00F05572">
        <w:t xml:space="preserve">the Secretary of </w:t>
      </w:r>
      <w:r w:rsidRPr="00F05572">
        <w:lastRenderedPageBreak/>
        <w:t xml:space="preserve">State </w:t>
      </w:r>
      <w:r w:rsidR="00DE33B3" w:rsidRPr="00F05572">
        <w:t>i</w:t>
      </w:r>
      <w:r w:rsidRPr="00F05572">
        <w:t xml:space="preserve">ssued the </w:t>
      </w:r>
      <w:r w:rsidR="00DE33B3" w:rsidRPr="00F05572">
        <w:t xml:space="preserve">17 December </w:t>
      </w:r>
      <w:r w:rsidR="00064189" w:rsidRPr="00F05572">
        <w:t>201</w:t>
      </w:r>
      <w:r w:rsidR="00DE33B3" w:rsidRPr="00F05572">
        <w:t>4</w:t>
      </w:r>
      <w:r w:rsidR="00064189" w:rsidRPr="00F05572">
        <w:t xml:space="preserve"> </w:t>
      </w:r>
      <w:r w:rsidRPr="00F05572">
        <w:t xml:space="preserve">Directions, which outlined measures to address the identified failings in the Authority. </w:t>
      </w:r>
    </w:p>
    <w:p w:rsidR="000F41E7" w:rsidRPr="00F05572" w:rsidRDefault="000F41E7" w:rsidP="00694AF3">
      <w:pPr>
        <w:pStyle w:val="ListParagraph"/>
        <w:ind w:left="426"/>
      </w:pPr>
    </w:p>
    <w:p w:rsidR="00694AF3" w:rsidRPr="00F05572" w:rsidRDefault="00694AF3" w:rsidP="00694AF3">
      <w:pPr>
        <w:pStyle w:val="ListParagraph"/>
        <w:numPr>
          <w:ilvl w:val="0"/>
          <w:numId w:val="2"/>
        </w:numPr>
        <w:ind w:left="426" w:hanging="426"/>
      </w:pPr>
      <w:r w:rsidRPr="00F05572">
        <w:t xml:space="preserve">When the then Secretary of State announced the intervention in the House of Commons on </w:t>
      </w:r>
      <w:r w:rsidR="00F74D92" w:rsidRPr="00F05572">
        <w:t>17 December 2014</w:t>
      </w:r>
      <w:r w:rsidRPr="00F05572">
        <w:t xml:space="preserve"> he stated that </w:t>
      </w:r>
      <w:r w:rsidR="00F74D92" w:rsidRPr="00F05572">
        <w:t xml:space="preserve">he envisaged </w:t>
      </w:r>
      <w:r w:rsidRPr="00F05572">
        <w:t>“…</w:t>
      </w:r>
      <w:r w:rsidR="00F74D92" w:rsidRPr="00F05572">
        <w:rPr>
          <w:lang w:val="en"/>
        </w:rPr>
        <w:t xml:space="preserve">that the </w:t>
      </w:r>
      <w:r w:rsidR="00B66C5F" w:rsidRPr="00F05572">
        <w:rPr>
          <w:lang w:val="en"/>
        </w:rPr>
        <w:t>C</w:t>
      </w:r>
      <w:r w:rsidR="00F74D92" w:rsidRPr="00F05572">
        <w:rPr>
          <w:lang w:val="en"/>
        </w:rPr>
        <w:t xml:space="preserve">ommissioners will be in place until 31 March 2017” </w:t>
      </w:r>
      <w:r w:rsidR="003F16F5" w:rsidRPr="00F05572">
        <w:rPr>
          <w:lang w:val="en"/>
        </w:rPr>
        <w:t>and</w:t>
      </w:r>
      <w:r w:rsidR="00F74D92" w:rsidRPr="00F05572">
        <w:rPr>
          <w:lang w:val="en"/>
        </w:rPr>
        <w:t xml:space="preserve"> that “It will be open to Ministers to review this in the light of the progress made by the Council to secure compliance with its best value duty.” </w:t>
      </w:r>
      <w:r w:rsidR="00B66C5F" w:rsidRPr="00F05572">
        <w:rPr>
          <w:lang w:val="en"/>
        </w:rPr>
        <w:t xml:space="preserve"> </w:t>
      </w:r>
      <w:r w:rsidRPr="00F05572">
        <w:t xml:space="preserve">It is therefore clear that the </w:t>
      </w:r>
      <w:r w:rsidR="00F74D92" w:rsidRPr="00F05572">
        <w:t xml:space="preserve">then </w:t>
      </w:r>
      <w:r w:rsidRPr="00F05572">
        <w:t xml:space="preserve">Secretary of State’s intention was that the </w:t>
      </w:r>
      <w:r w:rsidR="003F16F5" w:rsidRPr="00F05572">
        <w:t xml:space="preserve">actions the Authority is required to take set out in Annex A </w:t>
      </w:r>
      <w:r w:rsidR="00F652E6" w:rsidRPr="00F05572">
        <w:t>D</w:t>
      </w:r>
      <w:r w:rsidR="003F16F5" w:rsidRPr="00F05572">
        <w:t xml:space="preserve">irections and the </w:t>
      </w:r>
      <w:r w:rsidRPr="00F05572">
        <w:t xml:space="preserve">functions outlined in Annex B </w:t>
      </w:r>
      <w:r w:rsidR="00F652E6" w:rsidRPr="00F05572">
        <w:t xml:space="preserve">to the 17 December </w:t>
      </w:r>
      <w:r w:rsidR="00B66C5F" w:rsidRPr="00F05572">
        <w:t xml:space="preserve">2014 Directions </w:t>
      </w:r>
      <w:r w:rsidRPr="00F05572">
        <w:t xml:space="preserve">should be exercised by the Commissioners until such time as the Authority can exercise functions in compliance with the best value duty, and the Authority and Lead and other Commissioners agree that it would be appropriate for </w:t>
      </w:r>
      <w:r w:rsidR="003F16F5" w:rsidRPr="00F05572">
        <w:t>these actions to cease</w:t>
      </w:r>
      <w:r w:rsidR="00B66C5F" w:rsidRPr="00F05572">
        <w:t>,</w:t>
      </w:r>
      <w:r w:rsidR="003F16F5" w:rsidRPr="00F05572">
        <w:t xml:space="preserve"> and for </w:t>
      </w:r>
      <w:r w:rsidRPr="00F05572">
        <w:t>the exercise of a function (or functions) to be returned to the Authority, subject to the provision of reasons and clear evidence to substantiate any such pro</w:t>
      </w:r>
      <w:r w:rsidR="00804D4A" w:rsidRPr="00F05572">
        <w:t>posal</w:t>
      </w:r>
      <w:r w:rsidRPr="00F05572">
        <w:t>.</w:t>
      </w:r>
    </w:p>
    <w:p w:rsidR="00754760" w:rsidRPr="00F05572" w:rsidRDefault="00754760" w:rsidP="00754760">
      <w:pPr>
        <w:pStyle w:val="ListParagraph"/>
        <w:ind w:left="426"/>
      </w:pPr>
    </w:p>
    <w:p w:rsidR="00DC59FC" w:rsidRPr="00F05572" w:rsidRDefault="00A221DA" w:rsidP="00DC2038">
      <w:pPr>
        <w:pStyle w:val="ListParagraph"/>
        <w:numPr>
          <w:ilvl w:val="0"/>
          <w:numId w:val="2"/>
        </w:numPr>
        <w:spacing w:after="240"/>
        <w:ind w:left="425" w:hanging="425"/>
      </w:pPr>
      <w:r w:rsidRPr="00F05572">
        <w:t xml:space="preserve">On 29 April 2015 the then Secretary of State </w:t>
      </w:r>
      <w:r w:rsidR="006A4915" w:rsidRPr="00F05572">
        <w:t xml:space="preserve">again </w:t>
      </w:r>
      <w:r w:rsidRPr="00F05572">
        <w:t xml:space="preserve">exercised his powers of direction under section 15 of the 1999 Local Government Act in relation to the Authority and issued </w:t>
      </w:r>
      <w:r w:rsidR="006A4915" w:rsidRPr="00F05572">
        <w:t xml:space="preserve">further </w:t>
      </w:r>
      <w:r w:rsidRPr="00F05572">
        <w:t>Directions to the Authority (“the 29 April 2015 Directions”)</w:t>
      </w:r>
      <w:r w:rsidR="006A4915" w:rsidRPr="00F05572">
        <w:t xml:space="preserve"> regarding the recruitment of a permanent Head of Paid Service</w:t>
      </w:r>
      <w:r w:rsidRPr="00F05572">
        <w:t xml:space="preserve">. </w:t>
      </w:r>
      <w:r w:rsidR="001F079A" w:rsidRPr="00F05572">
        <w:t xml:space="preserve"> </w:t>
      </w:r>
      <w:r w:rsidR="000E7CDD" w:rsidRPr="00F05572">
        <w:t xml:space="preserve">The 29 April 2015 Directions </w:t>
      </w:r>
      <w:proofErr w:type="gramStart"/>
      <w:r w:rsidR="000E7CDD" w:rsidRPr="00F05572">
        <w:t>remain</w:t>
      </w:r>
      <w:proofErr w:type="gramEnd"/>
      <w:r w:rsidR="000E7CDD" w:rsidRPr="00F05572">
        <w:t xml:space="preserve"> in force. </w:t>
      </w:r>
    </w:p>
    <w:p w:rsidR="004133CF" w:rsidRPr="00F05572" w:rsidRDefault="004133CF" w:rsidP="004133CF">
      <w:pPr>
        <w:rPr>
          <w:rFonts w:cs="Arial"/>
          <w:b/>
        </w:rPr>
      </w:pPr>
      <w:r w:rsidRPr="00F05572">
        <w:rPr>
          <w:rFonts w:cs="Arial"/>
          <w:b/>
        </w:rPr>
        <w:t>THE COMMISSIONER</w:t>
      </w:r>
      <w:r w:rsidR="000E7B85" w:rsidRPr="00F05572">
        <w:rPr>
          <w:rFonts w:cs="Arial"/>
          <w:b/>
        </w:rPr>
        <w:t>S’</w:t>
      </w:r>
      <w:r w:rsidRPr="00F05572">
        <w:rPr>
          <w:rFonts w:cs="Arial"/>
          <w:b/>
        </w:rPr>
        <w:t xml:space="preserve"> </w:t>
      </w:r>
      <w:r w:rsidR="000E7B85" w:rsidRPr="00F05572">
        <w:rPr>
          <w:rFonts w:cs="Arial"/>
          <w:b/>
        </w:rPr>
        <w:t>11 OCTOBER</w:t>
      </w:r>
      <w:r w:rsidRPr="00F05572">
        <w:rPr>
          <w:rFonts w:cs="Arial"/>
          <w:b/>
        </w:rPr>
        <w:t xml:space="preserve"> 2016 REPORT</w:t>
      </w:r>
    </w:p>
    <w:p w:rsidR="004133CF" w:rsidRPr="00F05572" w:rsidRDefault="004133CF" w:rsidP="004133CF">
      <w:pPr>
        <w:rPr>
          <w:rFonts w:cs="Arial"/>
        </w:rPr>
      </w:pPr>
    </w:p>
    <w:p w:rsidR="00075395" w:rsidRPr="00F05572" w:rsidRDefault="00754760" w:rsidP="00BA3E42">
      <w:pPr>
        <w:pStyle w:val="ListParagraph"/>
        <w:numPr>
          <w:ilvl w:val="0"/>
          <w:numId w:val="2"/>
        </w:numPr>
        <w:ind w:left="426" w:hanging="426"/>
      </w:pPr>
      <w:r w:rsidRPr="00F05572">
        <w:t xml:space="preserve">On </w:t>
      </w:r>
      <w:r w:rsidR="000E7B85" w:rsidRPr="00F05572">
        <w:t>11 October</w:t>
      </w:r>
      <w:r w:rsidR="00846364" w:rsidRPr="00F05572">
        <w:t xml:space="preserve"> </w:t>
      </w:r>
      <w:r w:rsidRPr="00F05572">
        <w:t>201</w:t>
      </w:r>
      <w:r w:rsidR="00846364" w:rsidRPr="00F05572">
        <w:t>6</w:t>
      </w:r>
      <w:r w:rsidRPr="00F05572">
        <w:t xml:space="preserve"> the Commissioner</w:t>
      </w:r>
      <w:r w:rsidR="000E7B85" w:rsidRPr="00F05572">
        <w:t>s</w:t>
      </w:r>
      <w:r w:rsidRPr="00F05572">
        <w:t xml:space="preserve"> </w:t>
      </w:r>
      <w:r w:rsidR="000E7B85" w:rsidRPr="00F05572">
        <w:t xml:space="preserve">in Tower Hamlets </w:t>
      </w:r>
      <w:r w:rsidRPr="00F05572">
        <w:t xml:space="preserve">sent to the Secretary of State </w:t>
      </w:r>
      <w:r w:rsidR="000E7B85" w:rsidRPr="00F05572">
        <w:t xml:space="preserve">their </w:t>
      </w:r>
      <w:r w:rsidR="00846364" w:rsidRPr="00F05572">
        <w:t xml:space="preserve">response </w:t>
      </w:r>
      <w:proofErr w:type="gramStart"/>
      <w:r w:rsidR="00846364" w:rsidRPr="00F05572">
        <w:t xml:space="preserve">to the Authority’s third six monthly report on progress against its </w:t>
      </w:r>
      <w:r w:rsidR="00613CA8" w:rsidRPr="00F05572">
        <w:t>B</w:t>
      </w:r>
      <w:r w:rsidR="00846364" w:rsidRPr="00F05572">
        <w:t xml:space="preserve">est </w:t>
      </w:r>
      <w:r w:rsidR="00613CA8" w:rsidRPr="00F05572">
        <w:t>V</w:t>
      </w:r>
      <w:r w:rsidR="00846364" w:rsidRPr="00F05572">
        <w:t xml:space="preserve">alue </w:t>
      </w:r>
      <w:r w:rsidR="00613CA8" w:rsidRPr="00F05572">
        <w:t>S</w:t>
      </w:r>
      <w:r w:rsidR="00846364" w:rsidRPr="00F05572">
        <w:t xml:space="preserve">trategy and </w:t>
      </w:r>
      <w:r w:rsidR="00613CA8" w:rsidRPr="00F05572">
        <w:t>A</w:t>
      </w:r>
      <w:r w:rsidR="00846364" w:rsidRPr="00F05572">
        <w:t xml:space="preserve">ction </w:t>
      </w:r>
      <w:r w:rsidR="00613CA8" w:rsidRPr="00F05572">
        <w:t>P</w:t>
      </w:r>
      <w:r w:rsidR="00846364" w:rsidRPr="00F05572">
        <w:t>lan</w:t>
      </w:r>
      <w:proofErr w:type="gramEnd"/>
      <w:r w:rsidRPr="00F05572">
        <w:t>.</w:t>
      </w:r>
      <w:r w:rsidR="006E277F" w:rsidRPr="00F05572">
        <w:t xml:space="preserve"> </w:t>
      </w:r>
      <w:r w:rsidR="001F079A" w:rsidRPr="00F05572">
        <w:t xml:space="preserve"> </w:t>
      </w:r>
      <w:r w:rsidR="006E277F" w:rsidRPr="00F05572">
        <w:t xml:space="preserve">The </w:t>
      </w:r>
      <w:r w:rsidR="000E7B85" w:rsidRPr="00F05572">
        <w:t xml:space="preserve">11 October report </w:t>
      </w:r>
      <w:r w:rsidR="00846364" w:rsidRPr="00F05572">
        <w:t>recommended</w:t>
      </w:r>
      <w:r w:rsidR="006E277F" w:rsidRPr="00F05572">
        <w:t xml:space="preserve">, on the basis of significant progress made by Commissioners and the Authority since </w:t>
      </w:r>
      <w:r w:rsidR="00846364" w:rsidRPr="00F05572">
        <w:t xml:space="preserve">17 December </w:t>
      </w:r>
      <w:r w:rsidR="006E277F" w:rsidRPr="00F05572">
        <w:t>201</w:t>
      </w:r>
      <w:r w:rsidR="00846364" w:rsidRPr="00F05572">
        <w:t>4</w:t>
      </w:r>
      <w:r w:rsidR="006E277F" w:rsidRPr="00F05572">
        <w:t>,</w:t>
      </w:r>
      <w:r w:rsidR="00694AF3" w:rsidRPr="00F05572">
        <w:t xml:space="preserve"> </w:t>
      </w:r>
      <w:r w:rsidR="006E277F" w:rsidRPr="00F05572">
        <w:t xml:space="preserve">that </w:t>
      </w:r>
      <w:r w:rsidR="000E7B85" w:rsidRPr="00F05572">
        <w:t xml:space="preserve">certain </w:t>
      </w:r>
      <w:r w:rsidR="00846364" w:rsidRPr="00F05572">
        <w:t xml:space="preserve">functions </w:t>
      </w:r>
      <w:r w:rsidR="000E7CDD" w:rsidRPr="00F05572">
        <w:t>were now capable of being</w:t>
      </w:r>
      <w:r w:rsidR="0010509D" w:rsidRPr="00F05572">
        <w:t xml:space="preserve"> exercised </w:t>
      </w:r>
      <w:r w:rsidR="000E7CDD" w:rsidRPr="00F05572">
        <w:t xml:space="preserve">by the Authority </w:t>
      </w:r>
      <w:r w:rsidR="0010509D" w:rsidRPr="00F05572">
        <w:t>in compliance with the requirements of Part 1 of the 1999 Act and so</w:t>
      </w:r>
      <w:r w:rsidR="006E277F" w:rsidRPr="00F05572">
        <w:t xml:space="preserve"> </w:t>
      </w:r>
      <w:r w:rsidR="000E7CDD" w:rsidRPr="00F05572">
        <w:t xml:space="preserve">could be considered for </w:t>
      </w:r>
      <w:r w:rsidR="006E277F" w:rsidRPr="00F05572">
        <w:t xml:space="preserve">return to the Authority to exercise. </w:t>
      </w:r>
      <w:r w:rsidR="001F079A" w:rsidRPr="00F05572">
        <w:t xml:space="preserve"> </w:t>
      </w:r>
      <w:r w:rsidR="006E277F" w:rsidRPr="00F05572">
        <w:t xml:space="preserve">The </w:t>
      </w:r>
      <w:r w:rsidR="000E7B85" w:rsidRPr="00F05572">
        <w:t>11 October rep</w:t>
      </w:r>
      <w:r w:rsidR="006E277F" w:rsidRPr="00F05572">
        <w:t xml:space="preserve">ort </w:t>
      </w:r>
      <w:r w:rsidR="000E7B85" w:rsidRPr="00F05572">
        <w:t>also recommend</w:t>
      </w:r>
      <w:r w:rsidR="00F503DA" w:rsidRPr="00F05572">
        <w:t xml:space="preserve">ed revising </w:t>
      </w:r>
      <w:r w:rsidR="000E7B85" w:rsidRPr="00F05572">
        <w:t xml:space="preserve">the list of actions the Authority is required to take in order to ensure compliance with the best value duty. </w:t>
      </w:r>
    </w:p>
    <w:p w:rsidR="00B44D4E" w:rsidRPr="00F05572" w:rsidRDefault="00B44D4E" w:rsidP="00B44D4E">
      <w:pPr>
        <w:pStyle w:val="ListParagraph"/>
        <w:ind w:left="426"/>
        <w:rPr>
          <w:b/>
        </w:rPr>
      </w:pPr>
    </w:p>
    <w:p w:rsidR="00B44D4E" w:rsidRPr="00F05572" w:rsidRDefault="00B44D4E" w:rsidP="004133CF">
      <w:pPr>
        <w:pStyle w:val="ListParagraph"/>
        <w:numPr>
          <w:ilvl w:val="0"/>
          <w:numId w:val="2"/>
        </w:numPr>
        <w:ind w:left="426" w:hanging="426"/>
        <w:rPr>
          <w:b/>
        </w:rPr>
      </w:pPr>
      <w:r w:rsidRPr="00F05572">
        <w:t>Af</w:t>
      </w:r>
      <w:r w:rsidR="00EE60AB" w:rsidRPr="00F05572">
        <w:t xml:space="preserve">ter carefully considering the </w:t>
      </w:r>
      <w:r w:rsidR="000E7B85" w:rsidRPr="00F05572">
        <w:t xml:space="preserve">11 October </w:t>
      </w:r>
      <w:r w:rsidRPr="00F05572">
        <w:t>report the Secretary of State is considering exercising his powers under section 15 of the 1999 Act in relation to the Author</w:t>
      </w:r>
      <w:r w:rsidR="00064189" w:rsidRPr="00F05572">
        <w:t>ity, in order to ensure that the</w:t>
      </w:r>
      <w:r w:rsidRPr="00F05572">
        <w:t xml:space="preserve"> </w:t>
      </w:r>
      <w:r w:rsidR="000E7B85" w:rsidRPr="00F05572">
        <w:t xml:space="preserve">grants </w:t>
      </w:r>
      <w:r w:rsidR="002766A8" w:rsidRPr="00F05572">
        <w:t>function,</w:t>
      </w:r>
      <w:r w:rsidR="000E7CDD" w:rsidRPr="00F05572">
        <w:t xml:space="preserve"> </w:t>
      </w:r>
      <w:r w:rsidR="00E86AAD" w:rsidRPr="00F05572">
        <w:t>and arrangements to discharge th</w:t>
      </w:r>
      <w:r w:rsidR="002766A8" w:rsidRPr="00F05572">
        <w:t>ese</w:t>
      </w:r>
      <w:r w:rsidR="00E86AAD" w:rsidRPr="00F05572">
        <w:t xml:space="preserve"> functions under section 101 of the Local Government Act 1972 </w:t>
      </w:r>
      <w:r w:rsidR="000E7CDD" w:rsidRPr="00F05572">
        <w:t xml:space="preserve">specified in paragraphs </w:t>
      </w:r>
      <w:r w:rsidR="00FD2B95" w:rsidRPr="00F05572">
        <w:t xml:space="preserve">1 </w:t>
      </w:r>
      <w:r w:rsidR="00191D43" w:rsidRPr="00F05572">
        <w:t xml:space="preserve">and </w:t>
      </w:r>
      <w:r w:rsidR="00FD2B95" w:rsidRPr="00F05572">
        <w:t>2</w:t>
      </w:r>
      <w:r w:rsidR="00191D43" w:rsidRPr="00F05572">
        <w:t xml:space="preserve"> </w:t>
      </w:r>
      <w:r w:rsidR="000E7CDD" w:rsidRPr="00F05572">
        <w:t>o</w:t>
      </w:r>
      <w:r w:rsidR="00FD2B95" w:rsidRPr="00F05572">
        <w:t>f</w:t>
      </w:r>
      <w:r w:rsidR="000E7CDD" w:rsidRPr="00F05572">
        <w:t xml:space="preserve"> Annex B to the 17 December </w:t>
      </w:r>
      <w:r w:rsidR="00F21887" w:rsidRPr="00F05572">
        <w:t xml:space="preserve">2014 </w:t>
      </w:r>
      <w:r w:rsidR="000E7CDD" w:rsidRPr="00F05572">
        <w:t>Directions</w:t>
      </w:r>
      <w:r w:rsidRPr="00F05572">
        <w:t xml:space="preserve"> are returned to the Authority to exercise. </w:t>
      </w:r>
      <w:r w:rsidR="001F079A" w:rsidRPr="00F05572">
        <w:t xml:space="preserve"> </w:t>
      </w:r>
      <w:r w:rsidRPr="00F05572">
        <w:t>The Secretary of State is also considering making further directions in order to facil</w:t>
      </w:r>
      <w:r w:rsidR="00064189" w:rsidRPr="00F05572">
        <w:t>itate the return of the</w:t>
      </w:r>
      <w:r w:rsidRPr="00F05572">
        <w:t xml:space="preserve"> </w:t>
      </w:r>
      <w:r w:rsidR="000E7B85" w:rsidRPr="00F05572">
        <w:t>grants</w:t>
      </w:r>
      <w:r w:rsidRPr="00F05572">
        <w:t xml:space="preserve"> functions to the Authority</w:t>
      </w:r>
      <w:r w:rsidR="000E7B85" w:rsidRPr="00F05572">
        <w:t xml:space="preserve">, which would enable the Commissioners to advise and scrutinise the Authority and ensure its compliance with the best value duty, and </w:t>
      </w:r>
      <w:r w:rsidR="00F503DA" w:rsidRPr="00F05572">
        <w:t xml:space="preserve">to </w:t>
      </w:r>
      <w:r w:rsidR="000E7B85" w:rsidRPr="00F05572">
        <w:t>revoke Directions in relation to contracting</w:t>
      </w:r>
      <w:r w:rsidR="00FD2B95" w:rsidRPr="00F05572">
        <w:t xml:space="preserve"> (paragraph 7 of Annex A to the 17 </w:t>
      </w:r>
      <w:r w:rsidR="00FD2B95" w:rsidRPr="00F05572">
        <w:lastRenderedPageBreak/>
        <w:t>December 2014 Directions)</w:t>
      </w:r>
      <w:r w:rsidR="000E7B85" w:rsidRPr="00F05572">
        <w:t>, including how the Authority implements its written procurement policies and procedures</w:t>
      </w:r>
      <w:r w:rsidRPr="00F05572">
        <w:t xml:space="preserve">. </w:t>
      </w:r>
    </w:p>
    <w:p w:rsidR="000E7B85" w:rsidRPr="00F05572" w:rsidRDefault="000E7B85" w:rsidP="000E7B85">
      <w:pPr>
        <w:pStyle w:val="ListParagraph"/>
        <w:rPr>
          <w:b/>
        </w:rPr>
      </w:pPr>
    </w:p>
    <w:p w:rsidR="00B436E6" w:rsidRPr="00F05572" w:rsidRDefault="00B436E6" w:rsidP="00430D23">
      <w:pPr>
        <w:rPr>
          <w:rFonts w:cs="Arial"/>
          <w:b/>
        </w:rPr>
      </w:pPr>
      <w:r w:rsidRPr="00F05572">
        <w:rPr>
          <w:rFonts w:cs="Arial"/>
          <w:b/>
        </w:rPr>
        <w:t>FUNCTIONS TO BE RETURNED TO THE AUTHORITY</w:t>
      </w:r>
    </w:p>
    <w:p w:rsidR="00E70177" w:rsidRPr="00F05572" w:rsidRDefault="00E70177" w:rsidP="00B436E6">
      <w:pPr>
        <w:rPr>
          <w:rFonts w:cs="Arial"/>
        </w:rPr>
      </w:pPr>
    </w:p>
    <w:p w:rsidR="000E7B85" w:rsidRPr="00F05572" w:rsidRDefault="00B436E6" w:rsidP="000E7B85">
      <w:pPr>
        <w:pStyle w:val="ListParagraph"/>
        <w:numPr>
          <w:ilvl w:val="0"/>
          <w:numId w:val="2"/>
        </w:numPr>
        <w:ind w:left="426" w:hanging="426"/>
        <w:rPr>
          <w:b/>
        </w:rPr>
      </w:pPr>
      <w:r w:rsidRPr="00F05572">
        <w:t xml:space="preserve">The Secretary of State proposes that </w:t>
      </w:r>
      <w:r w:rsidR="00064189" w:rsidRPr="00F05572">
        <w:t>the</w:t>
      </w:r>
      <w:r w:rsidR="006734DD" w:rsidRPr="00F05572">
        <w:t xml:space="preserve"> </w:t>
      </w:r>
      <w:r w:rsidR="00C21E07" w:rsidRPr="00F05572">
        <w:t xml:space="preserve">grants </w:t>
      </w:r>
      <w:r w:rsidR="006734DD" w:rsidRPr="00F05572">
        <w:t>functions</w:t>
      </w:r>
      <w:r w:rsidR="00613CA8" w:rsidRPr="00F05572">
        <w:t>,</w:t>
      </w:r>
      <w:r w:rsidR="006734DD" w:rsidRPr="00F05572">
        <w:t xml:space="preserve"> </w:t>
      </w:r>
      <w:r w:rsidR="00613CA8" w:rsidRPr="00F05572">
        <w:t xml:space="preserve">and arrangements to discharge these functions under section 101 of the Local Government Act 1972 </w:t>
      </w:r>
      <w:r w:rsidR="00FD2B95" w:rsidRPr="00F05572">
        <w:t>(paragraphs 1</w:t>
      </w:r>
      <w:r w:rsidR="00191D43" w:rsidRPr="00F05572">
        <w:t xml:space="preserve"> and </w:t>
      </w:r>
      <w:r w:rsidR="00FD2B95" w:rsidRPr="00F05572">
        <w:t>2</w:t>
      </w:r>
      <w:r w:rsidR="00B72E3E" w:rsidRPr="00F05572">
        <w:t xml:space="preserve"> </w:t>
      </w:r>
      <w:r w:rsidR="00FD2B95" w:rsidRPr="00F05572">
        <w:t xml:space="preserve">of Annex B to the 17 December 2014 Directions) </w:t>
      </w:r>
      <w:r w:rsidR="00C21E07" w:rsidRPr="00F05572">
        <w:t xml:space="preserve">be </w:t>
      </w:r>
      <w:r w:rsidRPr="00F05572">
        <w:t xml:space="preserve">returned to the Authority to exercise </w:t>
      </w:r>
      <w:r w:rsidR="00FD2B95" w:rsidRPr="00F05572">
        <w:t xml:space="preserve">before </w:t>
      </w:r>
      <w:r w:rsidR="00191D43" w:rsidRPr="00F05572">
        <w:t>31</w:t>
      </w:r>
      <w:r w:rsidR="00FD2B95" w:rsidRPr="00F05572">
        <w:t xml:space="preserve"> December 2016</w:t>
      </w:r>
      <w:r w:rsidR="00064189" w:rsidRPr="00F05572">
        <w:t xml:space="preserve">. </w:t>
      </w:r>
    </w:p>
    <w:p w:rsidR="000E7B85" w:rsidRPr="00F05572" w:rsidRDefault="000E7B85" w:rsidP="000E7B85">
      <w:pPr>
        <w:rPr>
          <w:rFonts w:cs="Arial"/>
          <w:b/>
        </w:rPr>
      </w:pPr>
    </w:p>
    <w:p w:rsidR="00B436E6" w:rsidRPr="00F05572" w:rsidRDefault="00B436E6" w:rsidP="000E7B85">
      <w:pPr>
        <w:rPr>
          <w:rFonts w:cs="Arial"/>
          <w:b/>
        </w:rPr>
      </w:pPr>
      <w:r w:rsidRPr="00F05572">
        <w:rPr>
          <w:rFonts w:cs="Arial"/>
          <w:b/>
        </w:rPr>
        <w:t>ACTIONS TO BE TAKEN BY THE AUTHORITY</w:t>
      </w:r>
    </w:p>
    <w:p w:rsidR="00E70177" w:rsidRPr="00F05572" w:rsidRDefault="00E70177" w:rsidP="00B436E6">
      <w:pPr>
        <w:rPr>
          <w:rFonts w:cs="Arial"/>
          <w:b/>
        </w:rPr>
      </w:pPr>
    </w:p>
    <w:p w:rsidR="00B436E6" w:rsidRPr="00F05572" w:rsidRDefault="0010509D" w:rsidP="00B436E6">
      <w:pPr>
        <w:pStyle w:val="ListParagraph"/>
        <w:numPr>
          <w:ilvl w:val="0"/>
          <w:numId w:val="2"/>
        </w:numPr>
        <w:ind w:left="426" w:hanging="426"/>
      </w:pPr>
      <w:r w:rsidRPr="00F05572">
        <w:t>The Authority will</w:t>
      </w:r>
      <w:r w:rsidR="00B436E6" w:rsidRPr="00F05572">
        <w:t xml:space="preserve"> be obliged to continue to undertake the actions outlined in </w:t>
      </w:r>
      <w:r w:rsidR="008E09EF" w:rsidRPr="00F05572">
        <w:t>paragraphs 1</w:t>
      </w:r>
      <w:r w:rsidR="00C21E07" w:rsidRPr="00F05572">
        <w:t xml:space="preserve">, 2, </w:t>
      </w:r>
      <w:r w:rsidR="00525BA3" w:rsidRPr="00F05572">
        <w:t xml:space="preserve">3, </w:t>
      </w:r>
      <w:r w:rsidR="00C21E07" w:rsidRPr="00F05572">
        <w:t xml:space="preserve">4, 5, 6, 8, </w:t>
      </w:r>
      <w:r w:rsidR="00286C02" w:rsidRPr="00F05572">
        <w:t xml:space="preserve">9, </w:t>
      </w:r>
      <w:r w:rsidR="00C21E07" w:rsidRPr="00F05572">
        <w:t xml:space="preserve">10 and 11 </w:t>
      </w:r>
      <w:r w:rsidR="008E09EF" w:rsidRPr="00F05572">
        <w:t xml:space="preserve">of </w:t>
      </w:r>
      <w:r w:rsidR="00B436E6" w:rsidRPr="00F05572">
        <w:t>Annex A</w:t>
      </w:r>
      <w:r w:rsidR="00D820FF" w:rsidRPr="00F05572">
        <w:t>, and paragraphs 3, 4 and 5 of Annex B</w:t>
      </w:r>
      <w:r w:rsidR="00B436E6" w:rsidRPr="00F05572">
        <w:t xml:space="preserve"> to the </w:t>
      </w:r>
      <w:r w:rsidR="006734DD" w:rsidRPr="00F05572">
        <w:t>1</w:t>
      </w:r>
      <w:r w:rsidR="00C21E07" w:rsidRPr="00F05572">
        <w:t xml:space="preserve">7 December 2014 </w:t>
      </w:r>
      <w:r w:rsidR="00B436E6" w:rsidRPr="00F05572">
        <w:t>Directions for th</w:t>
      </w:r>
      <w:r w:rsidRPr="00F05572">
        <w:t xml:space="preserve">e retained </w:t>
      </w:r>
      <w:r w:rsidR="00525BA3" w:rsidRPr="00F05572">
        <w:t>functions</w:t>
      </w:r>
      <w:r w:rsidR="00B436E6" w:rsidRPr="00F05572">
        <w:t xml:space="preserve">. </w:t>
      </w:r>
    </w:p>
    <w:p w:rsidR="00B436E6" w:rsidRPr="00F05572" w:rsidRDefault="00B436E6" w:rsidP="00B436E6">
      <w:pPr>
        <w:pStyle w:val="ListParagraph"/>
      </w:pPr>
    </w:p>
    <w:p w:rsidR="00C4288D" w:rsidRPr="00F05572" w:rsidRDefault="00B436E6" w:rsidP="000C3DE4">
      <w:pPr>
        <w:pStyle w:val="ListParagraph"/>
        <w:numPr>
          <w:ilvl w:val="0"/>
          <w:numId w:val="2"/>
        </w:numPr>
        <w:ind w:left="426" w:hanging="426"/>
      </w:pPr>
      <w:r w:rsidRPr="00F05572">
        <w:t xml:space="preserve">In order to </w:t>
      </w:r>
      <w:r w:rsidR="008E09EF" w:rsidRPr="00F05572">
        <w:t xml:space="preserve">enable the Commissioners to advise and scrutinise the Authority </w:t>
      </w:r>
      <w:r w:rsidR="00C21E07" w:rsidRPr="00F05572">
        <w:t xml:space="preserve">in relation to the making of grants, </w:t>
      </w:r>
      <w:r w:rsidR="008E09EF" w:rsidRPr="00F05572">
        <w:t xml:space="preserve">and </w:t>
      </w:r>
      <w:r w:rsidR="00C21E07" w:rsidRPr="00F05572">
        <w:t xml:space="preserve">to </w:t>
      </w:r>
      <w:r w:rsidR="008E09EF" w:rsidRPr="00F05572">
        <w:t xml:space="preserve">ensure its compliance with the best value duty without clouding where ultimate responsibility applies, the Authority will be required to </w:t>
      </w:r>
      <w:r w:rsidR="00525BA3" w:rsidRPr="00F05572">
        <w:t xml:space="preserve">exercise </w:t>
      </w:r>
      <w:r w:rsidR="00F21887" w:rsidRPr="00F05572">
        <w:t xml:space="preserve">all </w:t>
      </w:r>
      <w:r w:rsidR="00525BA3" w:rsidRPr="00F05572">
        <w:t>function</w:t>
      </w:r>
      <w:r w:rsidR="00F21887" w:rsidRPr="00F05572">
        <w:t xml:space="preserve">s in relation to grants (save for the functions specified in paragraph </w:t>
      </w:r>
      <w:r w:rsidR="001729E0" w:rsidRPr="00F05572">
        <w:t>2</w:t>
      </w:r>
      <w:r w:rsidR="00F21887" w:rsidRPr="00F05572">
        <w:t xml:space="preserve"> of Annex </w:t>
      </w:r>
      <w:r w:rsidR="00B72E3E" w:rsidRPr="00F05572">
        <w:t>B</w:t>
      </w:r>
      <w:r w:rsidR="00F21887" w:rsidRPr="00F05572">
        <w:t xml:space="preserve"> to the </w:t>
      </w:r>
      <w:r w:rsidR="00B72E3E" w:rsidRPr="00F05572">
        <w:t xml:space="preserve">17 December 2014 </w:t>
      </w:r>
      <w:r w:rsidR="00F21887" w:rsidRPr="00F05572">
        <w:t>Directions)</w:t>
      </w:r>
      <w:r w:rsidR="00525BA3" w:rsidRPr="00F05572">
        <w:t xml:space="preserve"> under the direction of, and to the satisfaction of, the Commissioners</w:t>
      </w:r>
      <w:r w:rsidR="00FD1F74" w:rsidRPr="00F05572">
        <w:t xml:space="preserve"> for the remainder of the Direction period.</w:t>
      </w:r>
      <w:r w:rsidR="00525BA3" w:rsidRPr="00F05572">
        <w:t xml:space="preserve"> </w:t>
      </w:r>
      <w:r w:rsidR="000C3DE4" w:rsidRPr="00F05572">
        <w:br/>
      </w:r>
    </w:p>
    <w:p w:rsidR="00B436E6" w:rsidRPr="00F05572" w:rsidRDefault="00B436E6" w:rsidP="00B436E6">
      <w:pPr>
        <w:rPr>
          <w:rFonts w:cs="Arial"/>
          <w:b/>
        </w:rPr>
      </w:pPr>
      <w:r w:rsidRPr="00F05572">
        <w:rPr>
          <w:rFonts w:cs="Arial"/>
          <w:b/>
        </w:rPr>
        <w:t xml:space="preserve">THE COMMISSIONER TEAM </w:t>
      </w:r>
    </w:p>
    <w:p w:rsidR="00B436E6" w:rsidRPr="00F05572" w:rsidRDefault="00B436E6" w:rsidP="00B436E6">
      <w:pPr>
        <w:rPr>
          <w:rFonts w:cs="Arial"/>
        </w:rPr>
      </w:pPr>
    </w:p>
    <w:p w:rsidR="00C47D44" w:rsidRPr="00F05572" w:rsidRDefault="002716D5" w:rsidP="00C47D44">
      <w:pPr>
        <w:pStyle w:val="ListParagraph"/>
        <w:numPr>
          <w:ilvl w:val="0"/>
          <w:numId w:val="2"/>
        </w:numPr>
        <w:ind w:left="425" w:hanging="426"/>
        <w:rPr>
          <w:b/>
        </w:rPr>
      </w:pPr>
      <w:r w:rsidRPr="00F05572">
        <w:t xml:space="preserve">The Commissioner team would </w:t>
      </w:r>
      <w:r w:rsidR="00C21E07" w:rsidRPr="00F05572">
        <w:t>be reduced from four Commissioners to three in recognition of the progress made</w:t>
      </w:r>
      <w:r w:rsidR="00C47D44" w:rsidRPr="00F05572">
        <w:t>.</w:t>
      </w:r>
      <w:r w:rsidR="00FD1F74" w:rsidRPr="00F05572">
        <w:br/>
      </w:r>
    </w:p>
    <w:p w:rsidR="00B436E6" w:rsidRPr="00F05572" w:rsidRDefault="00B436E6" w:rsidP="00C47D44">
      <w:pPr>
        <w:ind w:left="-1"/>
        <w:rPr>
          <w:rFonts w:cs="Arial"/>
          <w:b/>
        </w:rPr>
      </w:pPr>
      <w:r w:rsidRPr="00F05572">
        <w:rPr>
          <w:rFonts w:cs="Arial"/>
          <w:b/>
        </w:rPr>
        <w:t>DURATION OF THE DIRECTION</w:t>
      </w:r>
    </w:p>
    <w:p w:rsidR="00B436E6" w:rsidRPr="00F05572" w:rsidRDefault="00B436E6" w:rsidP="00B436E6">
      <w:pPr>
        <w:rPr>
          <w:rFonts w:cs="Arial"/>
          <w:b/>
        </w:rPr>
      </w:pPr>
    </w:p>
    <w:p w:rsidR="00B12827" w:rsidRPr="00F05572" w:rsidRDefault="00B436E6" w:rsidP="00C21E07">
      <w:pPr>
        <w:pStyle w:val="ListParagraph"/>
        <w:numPr>
          <w:ilvl w:val="0"/>
          <w:numId w:val="2"/>
        </w:numPr>
        <w:tabs>
          <w:tab w:val="left" w:pos="5220"/>
          <w:tab w:val="left" w:pos="6300"/>
        </w:tabs>
        <w:ind w:left="426" w:hanging="426"/>
      </w:pPr>
      <w:r w:rsidRPr="00F05572">
        <w:t xml:space="preserve">The </w:t>
      </w:r>
      <w:r w:rsidR="00C47D44" w:rsidRPr="00F05572">
        <w:t>1</w:t>
      </w:r>
      <w:r w:rsidR="00C21E07" w:rsidRPr="00F05572">
        <w:t xml:space="preserve">7 December </w:t>
      </w:r>
      <w:r w:rsidR="00F21887" w:rsidRPr="00F05572">
        <w:t xml:space="preserve">2014 </w:t>
      </w:r>
      <w:r w:rsidRPr="00F05572">
        <w:t xml:space="preserve">Directions </w:t>
      </w:r>
      <w:proofErr w:type="gramStart"/>
      <w:r w:rsidRPr="00F05572">
        <w:t>are</w:t>
      </w:r>
      <w:proofErr w:type="gramEnd"/>
      <w:r w:rsidRPr="00F05572">
        <w:t xml:space="preserve"> in force until 31 March 201</w:t>
      </w:r>
      <w:r w:rsidR="00286C02" w:rsidRPr="00F05572">
        <w:t>7</w:t>
      </w:r>
      <w:r w:rsidRPr="00F05572">
        <w:t xml:space="preserve">. </w:t>
      </w:r>
      <w:r w:rsidR="001F079A" w:rsidRPr="00F05572">
        <w:t xml:space="preserve"> </w:t>
      </w:r>
      <w:r w:rsidRPr="00F05572">
        <w:t xml:space="preserve">This reflects the seriousness of the failings identified in the </w:t>
      </w:r>
      <w:r w:rsidR="00C21E07" w:rsidRPr="00F05572">
        <w:t>PwC</w:t>
      </w:r>
      <w:r w:rsidRPr="00F05572">
        <w:t xml:space="preserve"> report and the extent of t</w:t>
      </w:r>
      <w:r w:rsidR="00C47D44" w:rsidRPr="00F05572">
        <w:t>he improvements needed.  Any further</w:t>
      </w:r>
      <w:r w:rsidRPr="00F05572">
        <w:t xml:space="preserve"> Directions reflecting the proposals above would also be in force until </w:t>
      </w:r>
      <w:r w:rsidR="00C21E07" w:rsidRPr="00F05572">
        <w:t xml:space="preserve">31 </w:t>
      </w:r>
      <w:r w:rsidRPr="00F05572">
        <w:t>March 201</w:t>
      </w:r>
      <w:r w:rsidR="00C21E07" w:rsidRPr="00F05572">
        <w:t>7</w:t>
      </w:r>
      <w:r w:rsidRPr="00F05572">
        <w:t>.</w:t>
      </w:r>
      <w:r w:rsidR="00C21E07" w:rsidRPr="00F05572">
        <w:t xml:space="preserve"> </w:t>
      </w:r>
    </w:p>
    <w:sectPr w:rsidR="00B12827" w:rsidRPr="00F05572" w:rsidSect="002A7608">
      <w:headerReference w:type="even" r:id="rId14"/>
      <w:headerReference w:type="default" r:id="rId15"/>
      <w:footerReference w:type="even" r:id="rId16"/>
      <w:footerReference w:type="default" r:id="rId17"/>
      <w:headerReference w:type="first" r:id="rId18"/>
      <w:footerReference w:type="first" r:id="rId19"/>
      <w:pgSz w:w="11906" w:h="16838"/>
      <w:pgMar w:top="851" w:right="1797"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E6" w:rsidRDefault="005870E6">
      <w:r>
        <w:separator/>
      </w:r>
    </w:p>
  </w:endnote>
  <w:endnote w:type="continuationSeparator" w:id="0">
    <w:p w:rsidR="005870E6" w:rsidRDefault="0058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D0" w:rsidRDefault="009F5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D0" w:rsidRDefault="009F5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7"/>
      <w:gridCol w:w="4737"/>
    </w:tblGrid>
    <w:tr w:rsidR="002A7608" w:rsidRPr="00F05572" w:rsidTr="00066599">
      <w:tc>
        <w:tcPr>
          <w:tcW w:w="4737" w:type="dxa"/>
        </w:tcPr>
        <w:p w:rsidR="002A7608" w:rsidRPr="00F05572" w:rsidRDefault="002A7608" w:rsidP="00066599">
          <w:pPr>
            <w:pStyle w:val="Footer"/>
            <w:rPr>
              <w:rFonts w:cs="Arial"/>
              <w:sz w:val="20"/>
              <w:szCs w:val="20"/>
            </w:rPr>
          </w:pPr>
          <w:r w:rsidRPr="00F05572">
            <w:rPr>
              <w:rFonts w:cs="Arial"/>
              <w:sz w:val="20"/>
              <w:szCs w:val="20"/>
            </w:rPr>
            <w:t>Alex Powell</w:t>
          </w:r>
        </w:p>
        <w:p w:rsidR="002A7608" w:rsidRPr="00F05572" w:rsidRDefault="002A7608" w:rsidP="00066599">
          <w:pPr>
            <w:pStyle w:val="Footer"/>
            <w:rPr>
              <w:rFonts w:cs="Arial"/>
              <w:sz w:val="20"/>
              <w:szCs w:val="20"/>
            </w:rPr>
          </w:pPr>
          <w:r w:rsidRPr="00F05572">
            <w:rPr>
              <w:rFonts w:cs="Arial"/>
              <w:sz w:val="20"/>
              <w:szCs w:val="20"/>
            </w:rPr>
            <w:t>Deputy Director – Intervention and Accountability</w:t>
          </w:r>
        </w:p>
        <w:p w:rsidR="002A7608" w:rsidRPr="00F05572" w:rsidRDefault="002A7608" w:rsidP="00066599">
          <w:pPr>
            <w:pStyle w:val="Footer"/>
            <w:rPr>
              <w:rFonts w:cs="Arial"/>
              <w:sz w:val="20"/>
              <w:szCs w:val="20"/>
            </w:rPr>
          </w:pPr>
          <w:r w:rsidRPr="00F05572">
            <w:rPr>
              <w:rFonts w:cs="Arial"/>
              <w:sz w:val="20"/>
              <w:szCs w:val="20"/>
            </w:rPr>
            <w:t>Department  for Communities and Local Government</w:t>
          </w:r>
        </w:p>
        <w:p w:rsidR="002A7608" w:rsidRPr="00F05572" w:rsidRDefault="002A7608" w:rsidP="00066599">
          <w:pPr>
            <w:pStyle w:val="Footer"/>
            <w:rPr>
              <w:rFonts w:cs="Arial"/>
              <w:sz w:val="20"/>
              <w:szCs w:val="20"/>
            </w:rPr>
          </w:pPr>
          <w:r w:rsidRPr="00F05572">
            <w:rPr>
              <w:rFonts w:cs="Arial"/>
              <w:sz w:val="20"/>
              <w:szCs w:val="20"/>
            </w:rPr>
            <w:t>2</w:t>
          </w:r>
          <w:r w:rsidRPr="00F05572">
            <w:rPr>
              <w:rFonts w:cs="Arial"/>
              <w:sz w:val="20"/>
              <w:szCs w:val="20"/>
              <w:vertAlign w:val="superscript"/>
            </w:rPr>
            <w:t>nd</w:t>
          </w:r>
          <w:r w:rsidRPr="00F05572">
            <w:rPr>
              <w:rFonts w:cs="Arial"/>
              <w:sz w:val="20"/>
              <w:szCs w:val="20"/>
            </w:rPr>
            <w:t xml:space="preserve"> Floor North East Corner  Fry Building</w:t>
          </w:r>
        </w:p>
        <w:p w:rsidR="002A7608" w:rsidRPr="00F05572" w:rsidRDefault="002A7608" w:rsidP="00066599">
          <w:pPr>
            <w:pStyle w:val="Footer"/>
            <w:rPr>
              <w:rFonts w:cs="Arial"/>
              <w:sz w:val="20"/>
              <w:szCs w:val="20"/>
            </w:rPr>
          </w:pPr>
          <w:r w:rsidRPr="00F05572">
            <w:rPr>
              <w:rFonts w:cs="Arial"/>
              <w:sz w:val="20"/>
              <w:szCs w:val="20"/>
            </w:rPr>
            <w:t>2 Marsham Street</w:t>
          </w:r>
        </w:p>
        <w:p w:rsidR="002A7608" w:rsidRPr="00F05572" w:rsidRDefault="002A7608" w:rsidP="00066599">
          <w:pPr>
            <w:pStyle w:val="Footer"/>
            <w:rPr>
              <w:rFonts w:cs="Arial"/>
              <w:sz w:val="20"/>
              <w:szCs w:val="20"/>
            </w:rPr>
          </w:pPr>
          <w:r w:rsidRPr="00F05572">
            <w:rPr>
              <w:rFonts w:cs="Arial"/>
              <w:sz w:val="20"/>
              <w:szCs w:val="20"/>
            </w:rPr>
            <w:t>London SW1P 4DF</w:t>
          </w:r>
        </w:p>
      </w:tc>
      <w:tc>
        <w:tcPr>
          <w:tcW w:w="4737" w:type="dxa"/>
        </w:tcPr>
        <w:p w:rsidR="002A7608" w:rsidRPr="00F05572" w:rsidRDefault="009F57D0" w:rsidP="00525A1D">
          <w:pPr>
            <w:pStyle w:val="Footer"/>
            <w:shd w:val="clear" w:color="auto" w:fill="FFFFFF" w:themeFill="background1"/>
            <w:rPr>
              <w:rFonts w:cs="Arial"/>
              <w:sz w:val="20"/>
              <w:szCs w:val="20"/>
            </w:rPr>
          </w:pPr>
          <w:r w:rsidRPr="00F05572">
            <w:rPr>
              <w:rFonts w:cs="Arial"/>
              <w:sz w:val="20"/>
              <w:szCs w:val="20"/>
            </w:rPr>
            <w:t>E-mail</w:t>
          </w:r>
          <w:r w:rsidR="002A7608" w:rsidRPr="00F05572">
            <w:rPr>
              <w:rFonts w:cs="Arial"/>
              <w:sz w:val="20"/>
              <w:szCs w:val="20"/>
            </w:rPr>
            <w:t>: alex.powell@communities.gsi.gov.uk</w:t>
          </w:r>
        </w:p>
        <w:p w:rsidR="002A7608" w:rsidRPr="00F05572" w:rsidRDefault="002A7608" w:rsidP="00066599">
          <w:pPr>
            <w:pStyle w:val="Footer"/>
            <w:rPr>
              <w:rFonts w:cs="Arial"/>
              <w:sz w:val="20"/>
              <w:szCs w:val="20"/>
            </w:rPr>
          </w:pPr>
        </w:p>
      </w:tc>
    </w:tr>
  </w:tbl>
  <w:p w:rsidR="001D1309" w:rsidRPr="00F05572" w:rsidRDefault="001D1309" w:rsidP="00F05572">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E6" w:rsidRDefault="005870E6">
      <w:r>
        <w:separator/>
      </w:r>
    </w:p>
  </w:footnote>
  <w:footnote w:type="continuationSeparator" w:id="0">
    <w:p w:rsidR="005870E6" w:rsidRDefault="0058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09" w:rsidRDefault="001D1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09" w:rsidRDefault="001D1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09" w:rsidRDefault="001D1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8866A2"/>
    <w:lvl w:ilvl="0">
      <w:start w:val="1"/>
      <w:numFmt w:val="bullet"/>
      <w:lvlText w:val=""/>
      <w:lvlJc w:val="left"/>
      <w:pPr>
        <w:tabs>
          <w:tab w:val="num" w:pos="360"/>
        </w:tabs>
        <w:ind w:left="360" w:hanging="360"/>
      </w:pPr>
      <w:rPr>
        <w:rFonts w:ascii="Symbol" w:hAnsi="Symbol" w:hint="default"/>
      </w:rPr>
    </w:lvl>
  </w:abstractNum>
  <w:abstractNum w:abstractNumId="1">
    <w:nsid w:val="00FF6721"/>
    <w:multiLevelType w:val="hybridMultilevel"/>
    <w:tmpl w:val="4E7E8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5C2DD9"/>
    <w:multiLevelType w:val="hybridMultilevel"/>
    <w:tmpl w:val="314470C2"/>
    <w:lvl w:ilvl="0" w:tplc="216A3DBE">
      <w:start w:val="1"/>
      <w:numFmt w:val="lowerRoman"/>
      <w:lvlText w:val="(%1)"/>
      <w:lvlJc w:val="left"/>
      <w:pPr>
        <w:ind w:left="2018" w:hanging="720"/>
      </w:pPr>
      <w:rPr>
        <w:rFonts w:hint="default"/>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3">
    <w:nsid w:val="0EE21528"/>
    <w:multiLevelType w:val="hybridMultilevel"/>
    <w:tmpl w:val="22601ED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118EC"/>
    <w:multiLevelType w:val="hybridMultilevel"/>
    <w:tmpl w:val="F93C2EB0"/>
    <w:lvl w:ilvl="0" w:tplc="E2AA4B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2C6F9D"/>
    <w:multiLevelType w:val="hybridMultilevel"/>
    <w:tmpl w:val="343ADE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017303C"/>
    <w:multiLevelType w:val="hybridMultilevel"/>
    <w:tmpl w:val="2F50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A5523"/>
    <w:multiLevelType w:val="hybridMultilevel"/>
    <w:tmpl w:val="0308B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27"/>
    <w:rsid w:val="00000283"/>
    <w:rsid w:val="00033A85"/>
    <w:rsid w:val="0004135B"/>
    <w:rsid w:val="00052997"/>
    <w:rsid w:val="00064189"/>
    <w:rsid w:val="00065711"/>
    <w:rsid w:val="00075395"/>
    <w:rsid w:val="00094C7A"/>
    <w:rsid w:val="00095E1C"/>
    <w:rsid w:val="000A5D75"/>
    <w:rsid w:val="000C3DE4"/>
    <w:rsid w:val="000D4D53"/>
    <w:rsid w:val="000E32F2"/>
    <w:rsid w:val="000E6656"/>
    <w:rsid w:val="000E7B85"/>
    <w:rsid w:val="000E7CDD"/>
    <w:rsid w:val="000F41E7"/>
    <w:rsid w:val="000F785F"/>
    <w:rsid w:val="00103E90"/>
    <w:rsid w:val="0010509D"/>
    <w:rsid w:val="00125A4C"/>
    <w:rsid w:val="00134F21"/>
    <w:rsid w:val="00141836"/>
    <w:rsid w:val="001729E0"/>
    <w:rsid w:val="00183A1F"/>
    <w:rsid w:val="00191D43"/>
    <w:rsid w:val="001A6125"/>
    <w:rsid w:val="001B47B5"/>
    <w:rsid w:val="001C4DA7"/>
    <w:rsid w:val="001C55F4"/>
    <w:rsid w:val="001D1309"/>
    <w:rsid w:val="001D5638"/>
    <w:rsid w:val="001E29D6"/>
    <w:rsid w:val="001F079A"/>
    <w:rsid w:val="001F57F0"/>
    <w:rsid w:val="001F6A03"/>
    <w:rsid w:val="00203F52"/>
    <w:rsid w:val="002141F1"/>
    <w:rsid w:val="00216023"/>
    <w:rsid w:val="00242897"/>
    <w:rsid w:val="0026162C"/>
    <w:rsid w:val="00263C42"/>
    <w:rsid w:val="002716D5"/>
    <w:rsid w:val="002766A8"/>
    <w:rsid w:val="00276807"/>
    <w:rsid w:val="00286C02"/>
    <w:rsid w:val="00295F68"/>
    <w:rsid w:val="002A473D"/>
    <w:rsid w:val="002A7608"/>
    <w:rsid w:val="0032534E"/>
    <w:rsid w:val="00333AD4"/>
    <w:rsid w:val="00336001"/>
    <w:rsid w:val="00340402"/>
    <w:rsid w:val="00360FAE"/>
    <w:rsid w:val="00361D20"/>
    <w:rsid w:val="00362EBC"/>
    <w:rsid w:val="003700A4"/>
    <w:rsid w:val="003966D9"/>
    <w:rsid w:val="003A7E3D"/>
    <w:rsid w:val="003D0097"/>
    <w:rsid w:val="003F16F5"/>
    <w:rsid w:val="00404C6F"/>
    <w:rsid w:val="004133CF"/>
    <w:rsid w:val="00420ADB"/>
    <w:rsid w:val="00430D23"/>
    <w:rsid w:val="00443B2B"/>
    <w:rsid w:val="004757E7"/>
    <w:rsid w:val="00487106"/>
    <w:rsid w:val="0049498E"/>
    <w:rsid w:val="00497EB5"/>
    <w:rsid w:val="004A763B"/>
    <w:rsid w:val="004B3444"/>
    <w:rsid w:val="004C4C1C"/>
    <w:rsid w:val="004C643C"/>
    <w:rsid w:val="004D2414"/>
    <w:rsid w:val="004D5FBC"/>
    <w:rsid w:val="004E2780"/>
    <w:rsid w:val="004E6CED"/>
    <w:rsid w:val="005069A6"/>
    <w:rsid w:val="00517F3A"/>
    <w:rsid w:val="00524FA0"/>
    <w:rsid w:val="00525A1D"/>
    <w:rsid w:val="00525BA3"/>
    <w:rsid w:val="0053682A"/>
    <w:rsid w:val="00547016"/>
    <w:rsid w:val="00552DB0"/>
    <w:rsid w:val="00553A2C"/>
    <w:rsid w:val="0057730A"/>
    <w:rsid w:val="00577F4B"/>
    <w:rsid w:val="005870E6"/>
    <w:rsid w:val="005B22FE"/>
    <w:rsid w:val="005B524A"/>
    <w:rsid w:val="005D05E9"/>
    <w:rsid w:val="005F3032"/>
    <w:rsid w:val="00600923"/>
    <w:rsid w:val="00613CA8"/>
    <w:rsid w:val="006146C4"/>
    <w:rsid w:val="00616656"/>
    <w:rsid w:val="00623508"/>
    <w:rsid w:val="00652E96"/>
    <w:rsid w:val="0067140C"/>
    <w:rsid w:val="0067232B"/>
    <w:rsid w:val="006734DD"/>
    <w:rsid w:val="00694AF3"/>
    <w:rsid w:val="006A4915"/>
    <w:rsid w:val="006A5BB4"/>
    <w:rsid w:val="006D33AE"/>
    <w:rsid w:val="006E277F"/>
    <w:rsid w:val="006F27F0"/>
    <w:rsid w:val="006F4D63"/>
    <w:rsid w:val="00703A32"/>
    <w:rsid w:val="007102B8"/>
    <w:rsid w:val="00752CEA"/>
    <w:rsid w:val="00754760"/>
    <w:rsid w:val="00774DFF"/>
    <w:rsid w:val="00782F7B"/>
    <w:rsid w:val="007A6845"/>
    <w:rsid w:val="007A6DC9"/>
    <w:rsid w:val="007C3E32"/>
    <w:rsid w:val="007C48A4"/>
    <w:rsid w:val="007D4D96"/>
    <w:rsid w:val="007D77F9"/>
    <w:rsid w:val="00802752"/>
    <w:rsid w:val="00804D4A"/>
    <w:rsid w:val="00832331"/>
    <w:rsid w:val="00835E04"/>
    <w:rsid w:val="00846364"/>
    <w:rsid w:val="00846DD1"/>
    <w:rsid w:val="008600F8"/>
    <w:rsid w:val="008646E0"/>
    <w:rsid w:val="0087667B"/>
    <w:rsid w:val="00876F55"/>
    <w:rsid w:val="008A4ABB"/>
    <w:rsid w:val="008B2552"/>
    <w:rsid w:val="008B4EA4"/>
    <w:rsid w:val="008B70D2"/>
    <w:rsid w:val="008C3696"/>
    <w:rsid w:val="008C39A6"/>
    <w:rsid w:val="008C413D"/>
    <w:rsid w:val="008E09EF"/>
    <w:rsid w:val="008E2974"/>
    <w:rsid w:val="008E6CE1"/>
    <w:rsid w:val="008F437A"/>
    <w:rsid w:val="00903AE1"/>
    <w:rsid w:val="0099417D"/>
    <w:rsid w:val="009A1C21"/>
    <w:rsid w:val="009A43E6"/>
    <w:rsid w:val="009C0694"/>
    <w:rsid w:val="009C4D04"/>
    <w:rsid w:val="009C639C"/>
    <w:rsid w:val="009D3B1A"/>
    <w:rsid w:val="009E3BBD"/>
    <w:rsid w:val="009F57D0"/>
    <w:rsid w:val="00A03428"/>
    <w:rsid w:val="00A221DA"/>
    <w:rsid w:val="00A35B11"/>
    <w:rsid w:val="00A47F12"/>
    <w:rsid w:val="00A553D8"/>
    <w:rsid w:val="00A911B0"/>
    <w:rsid w:val="00AB5BC6"/>
    <w:rsid w:val="00AC2C80"/>
    <w:rsid w:val="00AE3C04"/>
    <w:rsid w:val="00B12827"/>
    <w:rsid w:val="00B2109A"/>
    <w:rsid w:val="00B306A5"/>
    <w:rsid w:val="00B324DC"/>
    <w:rsid w:val="00B436E6"/>
    <w:rsid w:val="00B44D4E"/>
    <w:rsid w:val="00B66C5F"/>
    <w:rsid w:val="00B70E39"/>
    <w:rsid w:val="00B72E3E"/>
    <w:rsid w:val="00B753EF"/>
    <w:rsid w:val="00BA3E42"/>
    <w:rsid w:val="00C04A58"/>
    <w:rsid w:val="00C1220A"/>
    <w:rsid w:val="00C21E07"/>
    <w:rsid w:val="00C225E9"/>
    <w:rsid w:val="00C3523D"/>
    <w:rsid w:val="00C4288D"/>
    <w:rsid w:val="00C43B5B"/>
    <w:rsid w:val="00C47D44"/>
    <w:rsid w:val="00C8599E"/>
    <w:rsid w:val="00CA65D5"/>
    <w:rsid w:val="00CA743B"/>
    <w:rsid w:val="00CF6CBD"/>
    <w:rsid w:val="00D13E75"/>
    <w:rsid w:val="00D322FF"/>
    <w:rsid w:val="00D74730"/>
    <w:rsid w:val="00D820FF"/>
    <w:rsid w:val="00D85719"/>
    <w:rsid w:val="00D924B9"/>
    <w:rsid w:val="00D94871"/>
    <w:rsid w:val="00D97F99"/>
    <w:rsid w:val="00DC2038"/>
    <w:rsid w:val="00DC43B8"/>
    <w:rsid w:val="00DC59FC"/>
    <w:rsid w:val="00DD3146"/>
    <w:rsid w:val="00DE33B3"/>
    <w:rsid w:val="00E018BF"/>
    <w:rsid w:val="00E028DC"/>
    <w:rsid w:val="00E04037"/>
    <w:rsid w:val="00E063E1"/>
    <w:rsid w:val="00E174EB"/>
    <w:rsid w:val="00E24E1A"/>
    <w:rsid w:val="00E61C81"/>
    <w:rsid w:val="00E61F6E"/>
    <w:rsid w:val="00E70177"/>
    <w:rsid w:val="00E80491"/>
    <w:rsid w:val="00E86AAD"/>
    <w:rsid w:val="00E95199"/>
    <w:rsid w:val="00EA3AD6"/>
    <w:rsid w:val="00EA3CEB"/>
    <w:rsid w:val="00EB1188"/>
    <w:rsid w:val="00ED2021"/>
    <w:rsid w:val="00ED312E"/>
    <w:rsid w:val="00ED503B"/>
    <w:rsid w:val="00EE60AB"/>
    <w:rsid w:val="00EF4341"/>
    <w:rsid w:val="00F05572"/>
    <w:rsid w:val="00F21887"/>
    <w:rsid w:val="00F503DA"/>
    <w:rsid w:val="00F561AB"/>
    <w:rsid w:val="00F60A4D"/>
    <w:rsid w:val="00F652E6"/>
    <w:rsid w:val="00F74D92"/>
    <w:rsid w:val="00F971C7"/>
    <w:rsid w:val="00FA1737"/>
    <w:rsid w:val="00FA306C"/>
    <w:rsid w:val="00FD1F74"/>
    <w:rsid w:val="00FD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7016"/>
    <w:pPr>
      <w:tabs>
        <w:tab w:val="center" w:pos="4153"/>
        <w:tab w:val="right" w:pos="8306"/>
      </w:tabs>
    </w:pPr>
  </w:style>
  <w:style w:type="paragraph" w:styleId="Footer">
    <w:name w:val="footer"/>
    <w:basedOn w:val="Normal"/>
    <w:link w:val="FooterChar"/>
    <w:uiPriority w:val="99"/>
    <w:rsid w:val="00547016"/>
    <w:pPr>
      <w:tabs>
        <w:tab w:val="center" w:pos="4153"/>
        <w:tab w:val="right" w:pos="8306"/>
      </w:tabs>
    </w:pPr>
  </w:style>
  <w:style w:type="character" w:styleId="Hyperlink">
    <w:name w:val="Hyperlink"/>
    <w:uiPriority w:val="99"/>
    <w:unhideWhenUsed/>
    <w:rsid w:val="00B436E6"/>
    <w:rPr>
      <w:color w:val="0000FF"/>
      <w:u w:val="single"/>
    </w:rPr>
  </w:style>
  <w:style w:type="paragraph" w:styleId="ListBullet">
    <w:name w:val="List Bullet"/>
    <w:basedOn w:val="Normal"/>
    <w:uiPriority w:val="99"/>
    <w:unhideWhenUsed/>
    <w:rsid w:val="00B436E6"/>
    <w:pPr>
      <w:spacing w:after="200" w:line="276" w:lineRule="auto"/>
      <w:contextualSpacing/>
    </w:pPr>
    <w:rPr>
      <w:rFonts w:eastAsia="Calibri" w:cs="Arial"/>
      <w:lang w:eastAsia="en-US"/>
    </w:rPr>
  </w:style>
  <w:style w:type="paragraph" w:styleId="ListParagraph">
    <w:name w:val="List Paragraph"/>
    <w:basedOn w:val="Normal"/>
    <w:uiPriority w:val="34"/>
    <w:qFormat/>
    <w:rsid w:val="00B436E6"/>
    <w:pPr>
      <w:spacing w:after="200" w:line="276" w:lineRule="auto"/>
      <w:ind w:left="720"/>
      <w:contextualSpacing/>
    </w:pPr>
    <w:rPr>
      <w:rFonts w:eastAsia="Calibri" w:cs="Arial"/>
      <w:lang w:eastAsia="en-US"/>
    </w:rPr>
  </w:style>
  <w:style w:type="paragraph" w:styleId="BalloonText">
    <w:name w:val="Balloon Text"/>
    <w:basedOn w:val="Normal"/>
    <w:link w:val="BalloonTextChar"/>
    <w:rsid w:val="001F6A03"/>
    <w:rPr>
      <w:rFonts w:ascii="Tahoma" w:hAnsi="Tahoma" w:cs="Tahoma"/>
      <w:sz w:val="16"/>
      <w:szCs w:val="16"/>
    </w:rPr>
  </w:style>
  <w:style w:type="character" w:customStyle="1" w:styleId="BalloonTextChar">
    <w:name w:val="Balloon Text Char"/>
    <w:basedOn w:val="DefaultParagraphFont"/>
    <w:link w:val="BalloonText"/>
    <w:rsid w:val="001F6A03"/>
    <w:rPr>
      <w:rFonts w:ascii="Tahoma" w:hAnsi="Tahoma" w:cs="Tahoma"/>
      <w:sz w:val="16"/>
      <w:szCs w:val="16"/>
    </w:rPr>
  </w:style>
  <w:style w:type="character" w:customStyle="1" w:styleId="FooterChar">
    <w:name w:val="Footer Char"/>
    <w:basedOn w:val="DefaultParagraphFont"/>
    <w:link w:val="Footer"/>
    <w:uiPriority w:val="99"/>
    <w:rsid w:val="008F437A"/>
    <w:rPr>
      <w:rFonts w:ascii="Arial" w:hAnsi="Arial"/>
      <w:sz w:val="24"/>
      <w:szCs w:val="24"/>
    </w:rPr>
  </w:style>
  <w:style w:type="character" w:styleId="CommentReference">
    <w:name w:val="annotation reference"/>
    <w:basedOn w:val="DefaultParagraphFont"/>
    <w:rsid w:val="00064189"/>
    <w:rPr>
      <w:sz w:val="16"/>
      <w:szCs w:val="16"/>
    </w:rPr>
  </w:style>
  <w:style w:type="paragraph" w:styleId="CommentText">
    <w:name w:val="annotation text"/>
    <w:basedOn w:val="Normal"/>
    <w:link w:val="CommentTextChar"/>
    <w:rsid w:val="00064189"/>
    <w:rPr>
      <w:sz w:val="20"/>
      <w:szCs w:val="20"/>
    </w:rPr>
  </w:style>
  <w:style w:type="character" w:customStyle="1" w:styleId="CommentTextChar">
    <w:name w:val="Comment Text Char"/>
    <w:basedOn w:val="DefaultParagraphFont"/>
    <w:link w:val="CommentText"/>
    <w:rsid w:val="00064189"/>
    <w:rPr>
      <w:rFonts w:ascii="Arial" w:hAnsi="Arial"/>
    </w:rPr>
  </w:style>
  <w:style w:type="paragraph" w:styleId="CommentSubject">
    <w:name w:val="annotation subject"/>
    <w:basedOn w:val="CommentText"/>
    <w:next w:val="CommentText"/>
    <w:link w:val="CommentSubjectChar"/>
    <w:rsid w:val="00064189"/>
    <w:rPr>
      <w:b/>
      <w:bCs/>
    </w:rPr>
  </w:style>
  <w:style w:type="character" w:customStyle="1" w:styleId="CommentSubjectChar">
    <w:name w:val="Comment Subject Char"/>
    <w:basedOn w:val="CommentTextChar"/>
    <w:link w:val="CommentSubject"/>
    <w:rsid w:val="00064189"/>
    <w:rPr>
      <w:rFonts w:ascii="Arial" w:hAnsi="Arial"/>
      <w:b/>
      <w:bCs/>
    </w:rPr>
  </w:style>
  <w:style w:type="paragraph" w:customStyle="1" w:styleId="Default">
    <w:name w:val="Default"/>
    <w:rsid w:val="008C39A6"/>
    <w:pPr>
      <w:autoSpaceDE w:val="0"/>
      <w:autoSpaceDN w:val="0"/>
      <w:adjustRightInd w:val="0"/>
    </w:pPr>
    <w:rPr>
      <w:rFonts w:ascii="Arial" w:hAnsi="Arial" w:cs="Arial"/>
      <w:color w:val="000000"/>
      <w:sz w:val="24"/>
      <w:szCs w:val="24"/>
    </w:rPr>
  </w:style>
  <w:style w:type="paragraph" w:customStyle="1" w:styleId="Char">
    <w:name w:val="Char"/>
    <w:basedOn w:val="Normal"/>
    <w:rsid w:val="006A4915"/>
    <w:pPr>
      <w:spacing w:after="160" w:line="240" w:lineRule="exact"/>
    </w:pPr>
    <w:rPr>
      <w:rFonts w:ascii="Verdana" w:hAnsi="Verdana" w:cs="Verdana"/>
      <w:sz w:val="20"/>
      <w:szCs w:val="20"/>
      <w:lang w:eastAsia="en-US"/>
    </w:rPr>
  </w:style>
  <w:style w:type="paragraph" w:styleId="PlainText">
    <w:name w:val="Plain Text"/>
    <w:basedOn w:val="Normal"/>
    <w:link w:val="PlainTextChar"/>
    <w:uiPriority w:val="99"/>
    <w:unhideWhenUsed/>
    <w:rsid w:val="00183A1F"/>
    <w:rPr>
      <w:rFonts w:eastAsiaTheme="minorHAnsi" w:cs="Arial"/>
      <w:sz w:val="20"/>
      <w:szCs w:val="20"/>
      <w:lang w:eastAsia="en-US"/>
    </w:rPr>
  </w:style>
  <w:style w:type="character" w:customStyle="1" w:styleId="PlainTextChar">
    <w:name w:val="Plain Text Char"/>
    <w:basedOn w:val="DefaultParagraphFont"/>
    <w:link w:val="PlainText"/>
    <w:uiPriority w:val="99"/>
    <w:rsid w:val="00183A1F"/>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7016"/>
    <w:pPr>
      <w:tabs>
        <w:tab w:val="center" w:pos="4153"/>
        <w:tab w:val="right" w:pos="8306"/>
      </w:tabs>
    </w:pPr>
  </w:style>
  <w:style w:type="paragraph" w:styleId="Footer">
    <w:name w:val="footer"/>
    <w:basedOn w:val="Normal"/>
    <w:link w:val="FooterChar"/>
    <w:uiPriority w:val="99"/>
    <w:rsid w:val="00547016"/>
    <w:pPr>
      <w:tabs>
        <w:tab w:val="center" w:pos="4153"/>
        <w:tab w:val="right" w:pos="8306"/>
      </w:tabs>
    </w:pPr>
  </w:style>
  <w:style w:type="character" w:styleId="Hyperlink">
    <w:name w:val="Hyperlink"/>
    <w:uiPriority w:val="99"/>
    <w:unhideWhenUsed/>
    <w:rsid w:val="00B436E6"/>
    <w:rPr>
      <w:color w:val="0000FF"/>
      <w:u w:val="single"/>
    </w:rPr>
  </w:style>
  <w:style w:type="paragraph" w:styleId="ListBullet">
    <w:name w:val="List Bullet"/>
    <w:basedOn w:val="Normal"/>
    <w:uiPriority w:val="99"/>
    <w:unhideWhenUsed/>
    <w:rsid w:val="00B436E6"/>
    <w:pPr>
      <w:spacing w:after="200" w:line="276" w:lineRule="auto"/>
      <w:contextualSpacing/>
    </w:pPr>
    <w:rPr>
      <w:rFonts w:eastAsia="Calibri" w:cs="Arial"/>
      <w:lang w:eastAsia="en-US"/>
    </w:rPr>
  </w:style>
  <w:style w:type="paragraph" w:styleId="ListParagraph">
    <w:name w:val="List Paragraph"/>
    <w:basedOn w:val="Normal"/>
    <w:uiPriority w:val="34"/>
    <w:qFormat/>
    <w:rsid w:val="00B436E6"/>
    <w:pPr>
      <w:spacing w:after="200" w:line="276" w:lineRule="auto"/>
      <w:ind w:left="720"/>
      <w:contextualSpacing/>
    </w:pPr>
    <w:rPr>
      <w:rFonts w:eastAsia="Calibri" w:cs="Arial"/>
      <w:lang w:eastAsia="en-US"/>
    </w:rPr>
  </w:style>
  <w:style w:type="paragraph" w:styleId="BalloonText">
    <w:name w:val="Balloon Text"/>
    <w:basedOn w:val="Normal"/>
    <w:link w:val="BalloonTextChar"/>
    <w:rsid w:val="001F6A03"/>
    <w:rPr>
      <w:rFonts w:ascii="Tahoma" w:hAnsi="Tahoma" w:cs="Tahoma"/>
      <w:sz w:val="16"/>
      <w:szCs w:val="16"/>
    </w:rPr>
  </w:style>
  <w:style w:type="character" w:customStyle="1" w:styleId="BalloonTextChar">
    <w:name w:val="Balloon Text Char"/>
    <w:basedOn w:val="DefaultParagraphFont"/>
    <w:link w:val="BalloonText"/>
    <w:rsid w:val="001F6A03"/>
    <w:rPr>
      <w:rFonts w:ascii="Tahoma" w:hAnsi="Tahoma" w:cs="Tahoma"/>
      <w:sz w:val="16"/>
      <w:szCs w:val="16"/>
    </w:rPr>
  </w:style>
  <w:style w:type="character" w:customStyle="1" w:styleId="FooterChar">
    <w:name w:val="Footer Char"/>
    <w:basedOn w:val="DefaultParagraphFont"/>
    <w:link w:val="Footer"/>
    <w:uiPriority w:val="99"/>
    <w:rsid w:val="008F437A"/>
    <w:rPr>
      <w:rFonts w:ascii="Arial" w:hAnsi="Arial"/>
      <w:sz w:val="24"/>
      <w:szCs w:val="24"/>
    </w:rPr>
  </w:style>
  <w:style w:type="character" w:styleId="CommentReference">
    <w:name w:val="annotation reference"/>
    <w:basedOn w:val="DefaultParagraphFont"/>
    <w:rsid w:val="00064189"/>
    <w:rPr>
      <w:sz w:val="16"/>
      <w:szCs w:val="16"/>
    </w:rPr>
  </w:style>
  <w:style w:type="paragraph" w:styleId="CommentText">
    <w:name w:val="annotation text"/>
    <w:basedOn w:val="Normal"/>
    <w:link w:val="CommentTextChar"/>
    <w:rsid w:val="00064189"/>
    <w:rPr>
      <w:sz w:val="20"/>
      <w:szCs w:val="20"/>
    </w:rPr>
  </w:style>
  <w:style w:type="character" w:customStyle="1" w:styleId="CommentTextChar">
    <w:name w:val="Comment Text Char"/>
    <w:basedOn w:val="DefaultParagraphFont"/>
    <w:link w:val="CommentText"/>
    <w:rsid w:val="00064189"/>
    <w:rPr>
      <w:rFonts w:ascii="Arial" w:hAnsi="Arial"/>
    </w:rPr>
  </w:style>
  <w:style w:type="paragraph" w:styleId="CommentSubject">
    <w:name w:val="annotation subject"/>
    <w:basedOn w:val="CommentText"/>
    <w:next w:val="CommentText"/>
    <w:link w:val="CommentSubjectChar"/>
    <w:rsid w:val="00064189"/>
    <w:rPr>
      <w:b/>
      <w:bCs/>
    </w:rPr>
  </w:style>
  <w:style w:type="character" w:customStyle="1" w:styleId="CommentSubjectChar">
    <w:name w:val="Comment Subject Char"/>
    <w:basedOn w:val="CommentTextChar"/>
    <w:link w:val="CommentSubject"/>
    <w:rsid w:val="00064189"/>
    <w:rPr>
      <w:rFonts w:ascii="Arial" w:hAnsi="Arial"/>
      <w:b/>
      <w:bCs/>
    </w:rPr>
  </w:style>
  <w:style w:type="paragraph" w:customStyle="1" w:styleId="Default">
    <w:name w:val="Default"/>
    <w:rsid w:val="008C39A6"/>
    <w:pPr>
      <w:autoSpaceDE w:val="0"/>
      <w:autoSpaceDN w:val="0"/>
      <w:adjustRightInd w:val="0"/>
    </w:pPr>
    <w:rPr>
      <w:rFonts w:ascii="Arial" w:hAnsi="Arial" w:cs="Arial"/>
      <w:color w:val="000000"/>
      <w:sz w:val="24"/>
      <w:szCs w:val="24"/>
    </w:rPr>
  </w:style>
  <w:style w:type="paragraph" w:customStyle="1" w:styleId="Char">
    <w:name w:val="Char"/>
    <w:basedOn w:val="Normal"/>
    <w:rsid w:val="006A4915"/>
    <w:pPr>
      <w:spacing w:after="160" w:line="240" w:lineRule="exact"/>
    </w:pPr>
    <w:rPr>
      <w:rFonts w:ascii="Verdana" w:hAnsi="Verdana" w:cs="Verdana"/>
      <w:sz w:val="20"/>
      <w:szCs w:val="20"/>
      <w:lang w:eastAsia="en-US"/>
    </w:rPr>
  </w:style>
  <w:style w:type="paragraph" w:styleId="PlainText">
    <w:name w:val="Plain Text"/>
    <w:basedOn w:val="Normal"/>
    <w:link w:val="PlainTextChar"/>
    <w:uiPriority w:val="99"/>
    <w:unhideWhenUsed/>
    <w:rsid w:val="00183A1F"/>
    <w:rPr>
      <w:rFonts w:eastAsiaTheme="minorHAnsi" w:cs="Arial"/>
      <w:sz w:val="20"/>
      <w:szCs w:val="20"/>
      <w:lang w:eastAsia="en-US"/>
    </w:rPr>
  </w:style>
  <w:style w:type="character" w:customStyle="1" w:styleId="PlainTextChar">
    <w:name w:val="Plain Text Char"/>
    <w:basedOn w:val="DefaultParagraphFont"/>
    <w:link w:val="PlainText"/>
    <w:uiPriority w:val="99"/>
    <w:rsid w:val="00183A1F"/>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3780">
      <w:bodyDiv w:val="1"/>
      <w:marLeft w:val="0"/>
      <w:marRight w:val="0"/>
      <w:marTop w:val="0"/>
      <w:marBottom w:val="0"/>
      <w:divBdr>
        <w:top w:val="none" w:sz="0" w:space="0" w:color="auto"/>
        <w:left w:val="none" w:sz="0" w:space="0" w:color="auto"/>
        <w:bottom w:val="none" w:sz="0" w:space="0" w:color="auto"/>
        <w:right w:val="none" w:sz="0" w:space="0" w:color="auto"/>
      </w:divBdr>
    </w:div>
    <w:div w:id="967928698">
      <w:bodyDiv w:val="1"/>
      <w:marLeft w:val="0"/>
      <w:marRight w:val="0"/>
      <w:marTop w:val="0"/>
      <w:marBottom w:val="0"/>
      <w:divBdr>
        <w:top w:val="none" w:sz="0" w:space="0" w:color="auto"/>
        <w:left w:val="none" w:sz="0" w:space="0" w:color="auto"/>
        <w:bottom w:val="none" w:sz="0" w:space="0" w:color="auto"/>
        <w:right w:val="none" w:sz="0" w:space="0" w:color="auto"/>
      </w:divBdr>
    </w:div>
    <w:div w:id="1371150791">
      <w:bodyDiv w:val="1"/>
      <w:marLeft w:val="0"/>
      <w:marRight w:val="0"/>
      <w:marTop w:val="0"/>
      <w:marBottom w:val="0"/>
      <w:divBdr>
        <w:top w:val="none" w:sz="0" w:space="0" w:color="auto"/>
        <w:left w:val="none" w:sz="0" w:space="0" w:color="auto"/>
        <w:bottom w:val="none" w:sz="0" w:space="0" w:color="auto"/>
        <w:right w:val="none" w:sz="0" w:space="0" w:color="auto"/>
      </w:divBdr>
    </w:div>
    <w:div w:id="18345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lex.Powell@communities.gsi.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sling.Lyon@communities.gsi.gov.u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CLGL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C7F5-F381-4454-A1CE-E0EE78042D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9791FF-313C-4ED9-B703-65F5969E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DCLGLet1</Template>
  <TotalTime>2</TotalTime>
  <Pages>5</Pages>
  <Words>1917</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Goverment</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Powell</dc:creator>
  <cp:lastModifiedBy>Aisling Lyon</cp:lastModifiedBy>
  <cp:revision>5</cp:revision>
  <cp:lastPrinted>2016-12-01T14:37:00Z</cp:lastPrinted>
  <dcterms:created xsi:type="dcterms:W3CDTF">2016-12-01T14:59:00Z</dcterms:created>
  <dcterms:modified xsi:type="dcterms:W3CDTF">2016-12-01T15:00:00Z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4cb4c8bf-12d4-4b8f-bc7b-51695dbbbbd7</vt:lpwstr>
  </property>
  <property fmtid="{D5CDD505-2E9C-101B-9397-08002B2CF9AE}" pid="3" name="bjSaver">
    <vt:lpwstr>iFHaxi3YSAqjw8hv06Z2dJJCxhxRGPC8</vt:lpwstr>
  </property>
  <property fmtid="{D5CDD505-2E9C-101B-9397-08002B2CF9AE}" pid="4" name="bjDocumentSecurityLabel">
    <vt:lpwstr>No Marking</vt:lpwstr>
  </property>
</Properties>
</file>