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48286B" w14:textId="105D70DB" w:rsidR="00F77805" w:rsidRDefault="00F77805" w:rsidP="00F77805">
      <w:pPr>
        <w:rPr>
          <w:rFonts w:eastAsia="Calibri"/>
          <w:b/>
          <w:sz w:val="32"/>
          <w:szCs w:val="32"/>
        </w:rPr>
      </w:pPr>
      <w:r>
        <w:rPr>
          <w:rFonts w:eastAsia="Calibri"/>
          <w:b/>
          <w:sz w:val="32"/>
          <w:szCs w:val="32"/>
        </w:rPr>
        <w:t>Energy Bill – Analysis on the appli</w:t>
      </w:r>
      <w:r w:rsidR="00937591">
        <w:rPr>
          <w:rFonts w:eastAsia="Calibri"/>
          <w:b/>
          <w:sz w:val="32"/>
          <w:szCs w:val="32"/>
        </w:rPr>
        <w:t>cation of Standing Order No. 83O</w:t>
      </w:r>
      <w:r>
        <w:rPr>
          <w:rFonts w:eastAsia="Calibri"/>
          <w:b/>
          <w:sz w:val="32"/>
          <w:szCs w:val="32"/>
        </w:rPr>
        <w:t xml:space="preserve"> of the Standing Orders of the House of Commons relating to Public Business in respect of</w:t>
      </w:r>
      <w:r w:rsidR="0027195A">
        <w:rPr>
          <w:rFonts w:eastAsia="Calibri"/>
          <w:b/>
          <w:sz w:val="32"/>
          <w:szCs w:val="32"/>
        </w:rPr>
        <w:t xml:space="preserve"> amendments made at Lords Consideration of Commons Amendments</w:t>
      </w:r>
      <w:r>
        <w:rPr>
          <w:rFonts w:eastAsia="Calibri"/>
          <w:b/>
          <w:sz w:val="32"/>
          <w:szCs w:val="32"/>
        </w:rPr>
        <w:t xml:space="preserve"> </w:t>
      </w:r>
      <w:r w:rsidR="0027195A">
        <w:rPr>
          <w:rFonts w:eastAsia="Calibri"/>
          <w:b/>
          <w:sz w:val="32"/>
          <w:szCs w:val="32"/>
        </w:rPr>
        <w:t>and</w:t>
      </w:r>
      <w:r w:rsidR="00DD70BA">
        <w:rPr>
          <w:rFonts w:eastAsia="Calibri"/>
          <w:b/>
          <w:sz w:val="32"/>
          <w:szCs w:val="32"/>
        </w:rPr>
        <w:t xml:space="preserve"> those</w:t>
      </w:r>
      <w:r>
        <w:rPr>
          <w:rFonts w:eastAsia="Calibri"/>
          <w:b/>
          <w:sz w:val="32"/>
          <w:szCs w:val="32"/>
        </w:rPr>
        <w:t xml:space="preserve"> tabled for </w:t>
      </w:r>
      <w:r w:rsidR="00966A54">
        <w:rPr>
          <w:rFonts w:eastAsia="Calibri"/>
          <w:b/>
          <w:sz w:val="32"/>
          <w:szCs w:val="32"/>
        </w:rPr>
        <w:t>Commons Consideration of Lords Amendments</w:t>
      </w:r>
    </w:p>
    <w:p w14:paraId="0F48286C" w14:textId="77777777" w:rsidR="00F77805" w:rsidRDefault="00F77805"/>
    <w:p w14:paraId="0F48286D" w14:textId="77777777" w:rsidR="00F77805" w:rsidRDefault="00F77805"/>
    <w:p w14:paraId="0F48286E" w14:textId="3888EBCF" w:rsidR="00F77805" w:rsidRDefault="00C85179" w:rsidP="00F77805">
      <w:pPr>
        <w:rPr>
          <w:b/>
          <w:i/>
          <w:sz w:val="24"/>
          <w:szCs w:val="24"/>
        </w:rPr>
      </w:pPr>
      <w:r>
        <w:rPr>
          <w:b/>
          <w:i/>
          <w:sz w:val="24"/>
          <w:szCs w:val="24"/>
        </w:rPr>
        <w:t>Commons Consideration of Lords</w:t>
      </w:r>
      <w:r w:rsidR="00F77805">
        <w:rPr>
          <w:b/>
          <w:i/>
          <w:sz w:val="24"/>
          <w:szCs w:val="24"/>
        </w:rPr>
        <w:t xml:space="preserve"> amendments</w:t>
      </w:r>
    </w:p>
    <w:p w14:paraId="0F48286F" w14:textId="77777777" w:rsidR="00F77805" w:rsidRDefault="00F77805" w:rsidP="00F77805">
      <w:pPr>
        <w:rPr>
          <w:b/>
          <w:i/>
          <w:sz w:val="24"/>
          <w:szCs w:val="24"/>
        </w:rPr>
      </w:pPr>
    </w:p>
    <w:p w14:paraId="0F482870" w14:textId="215C8E9E" w:rsidR="00F77805" w:rsidRDefault="00F77805" w:rsidP="00F77805">
      <w:pPr>
        <w:pStyle w:val="ListParagraph"/>
        <w:numPr>
          <w:ilvl w:val="0"/>
          <w:numId w:val="1"/>
        </w:numPr>
        <w:ind w:left="426" w:hanging="426"/>
        <w:rPr>
          <w:sz w:val="24"/>
          <w:szCs w:val="24"/>
        </w:rPr>
      </w:pPr>
      <w:r w:rsidRPr="00F604DA">
        <w:rPr>
          <w:sz w:val="24"/>
          <w:szCs w:val="24"/>
        </w:rPr>
        <w:t xml:space="preserve">The following is the Department’s assessment of the Bill and amendments to the Bill </w:t>
      </w:r>
      <w:r w:rsidR="00966A54">
        <w:rPr>
          <w:sz w:val="24"/>
          <w:szCs w:val="24"/>
        </w:rPr>
        <w:t xml:space="preserve">made at Lords Consideration of Commons Amendments (LCCA) and </w:t>
      </w:r>
      <w:r w:rsidRPr="00F604DA">
        <w:rPr>
          <w:sz w:val="24"/>
          <w:szCs w:val="24"/>
        </w:rPr>
        <w:t xml:space="preserve">tabled for </w:t>
      </w:r>
      <w:r w:rsidR="00966A54">
        <w:rPr>
          <w:sz w:val="24"/>
          <w:szCs w:val="24"/>
        </w:rPr>
        <w:t>Commons Consideration of Lords Amendments (CCLA)</w:t>
      </w:r>
      <w:r w:rsidR="0031171A">
        <w:rPr>
          <w:sz w:val="24"/>
          <w:szCs w:val="24"/>
        </w:rPr>
        <w:t xml:space="preserve">. </w:t>
      </w:r>
    </w:p>
    <w:p w14:paraId="0F482871" w14:textId="77777777" w:rsidR="00F77805" w:rsidRDefault="00F77805" w:rsidP="00F77805">
      <w:pPr>
        <w:rPr>
          <w:sz w:val="24"/>
          <w:szCs w:val="24"/>
        </w:rPr>
      </w:pPr>
    </w:p>
    <w:p w14:paraId="0F482872" w14:textId="77777777" w:rsidR="00F77805" w:rsidRDefault="00F77805" w:rsidP="00F77805">
      <w:pPr>
        <w:rPr>
          <w:sz w:val="24"/>
          <w:szCs w:val="24"/>
        </w:rPr>
      </w:pPr>
      <w:r>
        <w:rPr>
          <w:sz w:val="24"/>
          <w:szCs w:val="24"/>
          <w:u w:val="single"/>
        </w:rPr>
        <w:t>Summary</w:t>
      </w:r>
      <w:r w:rsidRPr="00F77805">
        <w:rPr>
          <w:sz w:val="24"/>
          <w:szCs w:val="24"/>
        </w:rPr>
        <w:t xml:space="preserve"> </w:t>
      </w:r>
    </w:p>
    <w:p w14:paraId="114C9964" w14:textId="77777777" w:rsidR="00745DB4" w:rsidRPr="00F77805" w:rsidRDefault="00745DB4" w:rsidP="00F77805">
      <w:pPr>
        <w:rPr>
          <w:sz w:val="24"/>
          <w:szCs w:val="24"/>
        </w:rPr>
      </w:pPr>
    </w:p>
    <w:p w14:paraId="0B8EA991" w14:textId="7BE91B03" w:rsidR="00745DB4" w:rsidRDefault="00F77805" w:rsidP="00745DB4">
      <w:pPr>
        <w:pStyle w:val="ListParagraph"/>
        <w:numPr>
          <w:ilvl w:val="0"/>
          <w:numId w:val="1"/>
        </w:numPr>
        <w:ind w:left="426" w:hanging="426"/>
        <w:rPr>
          <w:sz w:val="24"/>
          <w:szCs w:val="24"/>
        </w:rPr>
      </w:pPr>
      <w:r>
        <w:rPr>
          <w:sz w:val="24"/>
          <w:szCs w:val="24"/>
        </w:rPr>
        <w:t>The</w:t>
      </w:r>
      <w:r w:rsidR="00925C44">
        <w:rPr>
          <w:sz w:val="24"/>
          <w:szCs w:val="24"/>
        </w:rPr>
        <w:t xml:space="preserve"> amendments made to the Bill at LCCA do</w:t>
      </w:r>
      <w:r>
        <w:rPr>
          <w:sz w:val="24"/>
          <w:szCs w:val="24"/>
        </w:rPr>
        <w:t xml:space="preserve"> </w:t>
      </w:r>
      <w:r w:rsidR="00992DD7" w:rsidRPr="00A31DA3">
        <w:rPr>
          <w:sz w:val="24"/>
          <w:szCs w:val="24"/>
        </w:rPr>
        <w:t>not</w:t>
      </w:r>
      <w:r w:rsidRPr="00A31DA3">
        <w:rPr>
          <w:sz w:val="24"/>
          <w:szCs w:val="24"/>
        </w:rPr>
        <w:t xml:space="preserve"> affect</w:t>
      </w:r>
      <w:r w:rsidRPr="00C430A8">
        <w:rPr>
          <w:sz w:val="24"/>
          <w:szCs w:val="24"/>
        </w:rPr>
        <w:t xml:space="preserve"> the territorial application of the Bill</w:t>
      </w:r>
      <w:r w:rsidR="003E701F">
        <w:rPr>
          <w:rStyle w:val="FootnoteReference"/>
          <w:sz w:val="24"/>
          <w:szCs w:val="24"/>
        </w:rPr>
        <w:footnoteReference w:id="1"/>
      </w:r>
      <w:r w:rsidRPr="00C430A8">
        <w:rPr>
          <w:sz w:val="24"/>
          <w:szCs w:val="24"/>
        </w:rPr>
        <w:t>.</w:t>
      </w:r>
      <w:r w:rsidR="00745DB4">
        <w:rPr>
          <w:sz w:val="24"/>
          <w:szCs w:val="24"/>
        </w:rPr>
        <w:t xml:space="preserve"> </w:t>
      </w:r>
    </w:p>
    <w:p w14:paraId="0F482874" w14:textId="77777777" w:rsidR="003E701F" w:rsidRPr="00745DB4" w:rsidRDefault="003E701F" w:rsidP="00745DB4">
      <w:pPr>
        <w:rPr>
          <w:sz w:val="24"/>
          <w:szCs w:val="24"/>
        </w:rPr>
      </w:pPr>
    </w:p>
    <w:p w14:paraId="0F482875" w14:textId="3CC9D530" w:rsidR="003E701F" w:rsidRDefault="003E701F" w:rsidP="00F77805">
      <w:pPr>
        <w:pStyle w:val="ListParagraph"/>
        <w:numPr>
          <w:ilvl w:val="0"/>
          <w:numId w:val="1"/>
        </w:numPr>
        <w:ind w:left="426" w:hanging="426"/>
        <w:rPr>
          <w:sz w:val="24"/>
          <w:szCs w:val="24"/>
        </w:rPr>
      </w:pPr>
      <w:r>
        <w:rPr>
          <w:sz w:val="24"/>
          <w:szCs w:val="24"/>
        </w:rPr>
        <w:t>The above assessment is present</w:t>
      </w:r>
      <w:r w:rsidR="00AB08B7">
        <w:rPr>
          <w:sz w:val="24"/>
          <w:szCs w:val="24"/>
        </w:rPr>
        <w:t>ed</w:t>
      </w:r>
      <w:r>
        <w:rPr>
          <w:sz w:val="24"/>
          <w:szCs w:val="24"/>
        </w:rPr>
        <w:t xml:space="preserve"> in tabular form </w:t>
      </w:r>
      <w:r w:rsidR="008D2736">
        <w:rPr>
          <w:sz w:val="24"/>
          <w:szCs w:val="24"/>
        </w:rPr>
        <w:t xml:space="preserve">on </w:t>
      </w:r>
      <w:r w:rsidR="000719B8">
        <w:rPr>
          <w:sz w:val="24"/>
          <w:szCs w:val="24"/>
        </w:rPr>
        <w:t xml:space="preserve">page 2. </w:t>
      </w:r>
      <w:r>
        <w:rPr>
          <w:sz w:val="24"/>
          <w:szCs w:val="24"/>
        </w:rPr>
        <w:t xml:space="preserve"> </w:t>
      </w:r>
    </w:p>
    <w:p w14:paraId="0F482876" w14:textId="77777777" w:rsidR="00F77805" w:rsidRDefault="00F77805" w:rsidP="00F77805">
      <w:pPr>
        <w:rPr>
          <w:b/>
          <w:i/>
          <w:sz w:val="24"/>
          <w:szCs w:val="24"/>
        </w:rPr>
      </w:pPr>
    </w:p>
    <w:p w14:paraId="0F482877" w14:textId="70FE4A1E" w:rsidR="00F77805" w:rsidRDefault="00B94106" w:rsidP="00F77805">
      <w:pPr>
        <w:rPr>
          <w:sz w:val="24"/>
          <w:szCs w:val="24"/>
          <w:u w:val="single"/>
        </w:rPr>
      </w:pPr>
      <w:r>
        <w:rPr>
          <w:sz w:val="24"/>
          <w:szCs w:val="24"/>
          <w:u w:val="single"/>
        </w:rPr>
        <w:t>Lords amendments to certain Commons amendments</w:t>
      </w:r>
    </w:p>
    <w:p w14:paraId="10AA5151" w14:textId="77777777" w:rsidR="00B94106" w:rsidRPr="00C35AA9" w:rsidRDefault="00B94106" w:rsidP="00F77805">
      <w:pPr>
        <w:rPr>
          <w:sz w:val="24"/>
          <w:szCs w:val="24"/>
          <w:u w:val="single"/>
        </w:rPr>
      </w:pPr>
    </w:p>
    <w:p w14:paraId="0F482878" w14:textId="55F9F9DC" w:rsidR="00F77805" w:rsidRDefault="00B94106" w:rsidP="00B94106">
      <w:pPr>
        <w:pStyle w:val="ListParagraph"/>
        <w:numPr>
          <w:ilvl w:val="0"/>
          <w:numId w:val="1"/>
        </w:numPr>
        <w:ind w:left="426" w:hanging="426"/>
        <w:rPr>
          <w:sz w:val="24"/>
          <w:szCs w:val="24"/>
        </w:rPr>
      </w:pPr>
      <w:r w:rsidRPr="00B94106">
        <w:rPr>
          <w:sz w:val="24"/>
          <w:szCs w:val="24"/>
        </w:rPr>
        <w:t>The Lords</w:t>
      </w:r>
      <w:r>
        <w:rPr>
          <w:sz w:val="24"/>
          <w:szCs w:val="24"/>
        </w:rPr>
        <w:t xml:space="preserve"> agreed with the Commons in their amendment 2 and proposed amendment 2A.  This amendment would apply to the UK. </w:t>
      </w:r>
    </w:p>
    <w:p w14:paraId="1EDA0266" w14:textId="77777777" w:rsidR="00B94106" w:rsidRDefault="00B94106" w:rsidP="00B94106">
      <w:pPr>
        <w:pStyle w:val="ListParagraph"/>
        <w:ind w:left="426"/>
        <w:rPr>
          <w:sz w:val="24"/>
          <w:szCs w:val="24"/>
        </w:rPr>
      </w:pPr>
    </w:p>
    <w:p w14:paraId="71F35392" w14:textId="13802E3C" w:rsidR="00B94106" w:rsidRDefault="009E3BF3" w:rsidP="00B94106">
      <w:pPr>
        <w:pStyle w:val="ListParagraph"/>
        <w:numPr>
          <w:ilvl w:val="0"/>
          <w:numId w:val="1"/>
        </w:numPr>
        <w:ind w:left="426" w:hanging="426"/>
        <w:rPr>
          <w:sz w:val="24"/>
          <w:szCs w:val="24"/>
        </w:rPr>
      </w:pPr>
      <w:r>
        <w:rPr>
          <w:sz w:val="24"/>
          <w:szCs w:val="24"/>
        </w:rPr>
        <w:t xml:space="preserve">The Lords agreed with the Commons in their amendment 6 and proposed amendments 6A and 6B.  These amendments would apply to GB. </w:t>
      </w:r>
    </w:p>
    <w:p w14:paraId="377A68FF" w14:textId="77777777" w:rsidR="009E3BF3" w:rsidRPr="009E3BF3" w:rsidRDefault="009E3BF3" w:rsidP="009E3BF3">
      <w:pPr>
        <w:pStyle w:val="ListParagraph"/>
        <w:rPr>
          <w:sz w:val="24"/>
          <w:szCs w:val="24"/>
        </w:rPr>
      </w:pPr>
    </w:p>
    <w:p w14:paraId="0FBE52EE" w14:textId="58BCD580" w:rsidR="009E3BF3" w:rsidRDefault="009E3BF3" w:rsidP="00B94106">
      <w:pPr>
        <w:pStyle w:val="ListParagraph"/>
        <w:numPr>
          <w:ilvl w:val="0"/>
          <w:numId w:val="1"/>
        </w:numPr>
        <w:ind w:left="426" w:hanging="426"/>
        <w:rPr>
          <w:sz w:val="24"/>
          <w:szCs w:val="24"/>
        </w:rPr>
      </w:pPr>
      <w:r>
        <w:rPr>
          <w:sz w:val="24"/>
          <w:szCs w:val="24"/>
        </w:rPr>
        <w:t xml:space="preserve">The Lords agreed with the Commons in their amendment </w:t>
      </w:r>
      <w:r w:rsidR="00471F53">
        <w:rPr>
          <w:sz w:val="24"/>
          <w:szCs w:val="24"/>
        </w:rPr>
        <w:t xml:space="preserve">7 </w:t>
      </w:r>
      <w:r w:rsidR="005C54F6">
        <w:rPr>
          <w:sz w:val="24"/>
          <w:szCs w:val="24"/>
        </w:rPr>
        <w:t xml:space="preserve">and proposed amendments 7A to </w:t>
      </w:r>
      <w:r w:rsidR="00AB5502">
        <w:rPr>
          <w:sz w:val="24"/>
          <w:szCs w:val="24"/>
        </w:rPr>
        <w:t>7W</w:t>
      </w:r>
      <w:r w:rsidR="00471F53">
        <w:rPr>
          <w:sz w:val="24"/>
          <w:szCs w:val="24"/>
        </w:rPr>
        <w:t xml:space="preserve">.  These amendments would apply to GB. </w:t>
      </w:r>
    </w:p>
    <w:p w14:paraId="3B7FC7FC" w14:textId="77777777" w:rsidR="00471F53" w:rsidRPr="00471F53" w:rsidRDefault="00471F53" w:rsidP="00471F53">
      <w:pPr>
        <w:pStyle w:val="ListParagraph"/>
        <w:rPr>
          <w:sz w:val="24"/>
          <w:szCs w:val="24"/>
        </w:rPr>
      </w:pPr>
    </w:p>
    <w:p w14:paraId="16E0732A" w14:textId="7D99E3AC" w:rsidR="00471F53" w:rsidRPr="00B94106" w:rsidRDefault="00471F53" w:rsidP="00B94106">
      <w:pPr>
        <w:pStyle w:val="ListParagraph"/>
        <w:numPr>
          <w:ilvl w:val="0"/>
          <w:numId w:val="1"/>
        </w:numPr>
        <w:ind w:left="426" w:hanging="426"/>
        <w:rPr>
          <w:sz w:val="24"/>
          <w:szCs w:val="24"/>
        </w:rPr>
      </w:pPr>
      <w:r>
        <w:rPr>
          <w:sz w:val="24"/>
          <w:szCs w:val="24"/>
        </w:rPr>
        <w:t xml:space="preserve">The Lords agreed with the Commons in their amendment 8 and proposed amendments 8A to 8C. These amendments would apply to GB. </w:t>
      </w:r>
    </w:p>
    <w:p w14:paraId="2986467A" w14:textId="77777777" w:rsidR="009A55D9" w:rsidRPr="00A208A4" w:rsidRDefault="009A55D9" w:rsidP="00A208A4">
      <w:pPr>
        <w:rPr>
          <w:sz w:val="24"/>
          <w:szCs w:val="24"/>
        </w:rPr>
      </w:pPr>
    </w:p>
    <w:p w14:paraId="519C30C5" w14:textId="7007D2C5" w:rsidR="009A55D9" w:rsidRPr="00A261AB" w:rsidRDefault="00966A54" w:rsidP="00966A54">
      <w:pPr>
        <w:rPr>
          <w:sz w:val="24"/>
          <w:szCs w:val="24"/>
          <w:u w:val="single"/>
        </w:rPr>
      </w:pPr>
      <w:r w:rsidRPr="0031171A">
        <w:rPr>
          <w:sz w:val="24"/>
          <w:szCs w:val="24"/>
          <w:u w:val="single"/>
        </w:rPr>
        <w:t>For amendments tabled for CCLA</w:t>
      </w:r>
    </w:p>
    <w:p w14:paraId="4FAB10F5" w14:textId="77777777" w:rsidR="00C80862" w:rsidRDefault="00C80862" w:rsidP="00966A54">
      <w:pPr>
        <w:rPr>
          <w:sz w:val="24"/>
          <w:szCs w:val="24"/>
        </w:rPr>
      </w:pPr>
    </w:p>
    <w:p w14:paraId="76D7F5F9" w14:textId="436D864A" w:rsidR="0031171A" w:rsidRDefault="0031171A" w:rsidP="00A208A4">
      <w:pPr>
        <w:pStyle w:val="ListParagraph"/>
        <w:numPr>
          <w:ilvl w:val="0"/>
          <w:numId w:val="1"/>
        </w:numPr>
        <w:ind w:left="426" w:hanging="426"/>
        <w:rPr>
          <w:sz w:val="24"/>
          <w:szCs w:val="24"/>
        </w:rPr>
      </w:pPr>
      <w:r>
        <w:rPr>
          <w:sz w:val="24"/>
          <w:szCs w:val="24"/>
        </w:rPr>
        <w:t xml:space="preserve">The Government has tabled a motion to disagree with the Lords in their amendment 7T, proposed to Commons amendment 7.  This amendment would apply to GB.  </w:t>
      </w:r>
    </w:p>
    <w:p w14:paraId="20094C8B" w14:textId="77777777" w:rsidR="0031171A" w:rsidRDefault="0031171A" w:rsidP="0031171A">
      <w:pPr>
        <w:rPr>
          <w:sz w:val="24"/>
          <w:szCs w:val="24"/>
        </w:rPr>
      </w:pPr>
    </w:p>
    <w:p w14:paraId="0F48287E" w14:textId="77777777" w:rsidR="0075243C" w:rsidRDefault="0075243C" w:rsidP="0075243C">
      <w:pPr>
        <w:rPr>
          <w:sz w:val="24"/>
          <w:szCs w:val="24"/>
        </w:rPr>
      </w:pPr>
    </w:p>
    <w:p w14:paraId="0F48287F" w14:textId="77777777" w:rsidR="0075243C" w:rsidRDefault="0075243C" w:rsidP="0075243C">
      <w:pPr>
        <w:rPr>
          <w:sz w:val="24"/>
          <w:szCs w:val="24"/>
          <w:u w:val="single"/>
        </w:rPr>
      </w:pPr>
      <w:r>
        <w:rPr>
          <w:sz w:val="24"/>
          <w:szCs w:val="24"/>
          <w:u w:val="single"/>
        </w:rPr>
        <w:t>Subject matter and legislative competence of devolved legislatures</w:t>
      </w:r>
    </w:p>
    <w:p w14:paraId="0F482880" w14:textId="77777777" w:rsidR="0075243C" w:rsidRPr="0075243C" w:rsidRDefault="0075243C" w:rsidP="0075243C">
      <w:pPr>
        <w:rPr>
          <w:sz w:val="24"/>
          <w:szCs w:val="24"/>
          <w:u w:val="single"/>
        </w:rPr>
      </w:pPr>
    </w:p>
    <w:p w14:paraId="0F482881" w14:textId="6E60A7BC" w:rsidR="00F77805" w:rsidRDefault="00216951" w:rsidP="00F77805">
      <w:pPr>
        <w:pStyle w:val="ListParagraph"/>
        <w:numPr>
          <w:ilvl w:val="0"/>
          <w:numId w:val="1"/>
        </w:numPr>
        <w:ind w:left="426"/>
        <w:rPr>
          <w:sz w:val="24"/>
          <w:szCs w:val="24"/>
        </w:rPr>
      </w:pPr>
      <w:r>
        <w:rPr>
          <w:sz w:val="24"/>
          <w:szCs w:val="24"/>
        </w:rPr>
        <w:t>None of the amendments made at LCCA</w:t>
      </w:r>
      <w:r w:rsidR="0031171A">
        <w:rPr>
          <w:sz w:val="24"/>
          <w:szCs w:val="24"/>
        </w:rPr>
        <w:t xml:space="preserve"> or tabled for CCLA</w:t>
      </w:r>
      <w:r>
        <w:rPr>
          <w:sz w:val="24"/>
          <w:szCs w:val="24"/>
        </w:rPr>
        <w:t xml:space="preserve"> </w:t>
      </w:r>
      <w:r w:rsidR="0075243C">
        <w:rPr>
          <w:sz w:val="24"/>
          <w:szCs w:val="24"/>
        </w:rPr>
        <w:t>apply to England</w:t>
      </w:r>
      <w:r w:rsidR="00C80862">
        <w:rPr>
          <w:sz w:val="24"/>
          <w:szCs w:val="24"/>
        </w:rPr>
        <w:t xml:space="preserve"> or England and Wales</w:t>
      </w:r>
      <w:r w:rsidR="0075243C">
        <w:rPr>
          <w:sz w:val="24"/>
          <w:szCs w:val="24"/>
        </w:rPr>
        <w:t xml:space="preserve"> only.</w:t>
      </w:r>
    </w:p>
    <w:p w14:paraId="089D805B" w14:textId="77777777" w:rsidR="00083CFE" w:rsidRPr="00617BCC" w:rsidRDefault="00083CFE">
      <w:pPr>
        <w:rPr>
          <w:sz w:val="24"/>
          <w:szCs w:val="24"/>
          <w:u w:val="single"/>
        </w:rPr>
      </w:pPr>
    </w:p>
    <w:p w14:paraId="0F482885" w14:textId="291814AF" w:rsidR="008D2736" w:rsidRPr="001003A6" w:rsidRDefault="00617BCC">
      <w:pPr>
        <w:rPr>
          <w:b/>
          <w:sz w:val="24"/>
          <w:szCs w:val="24"/>
          <w:u w:val="single"/>
        </w:rPr>
      </w:pPr>
      <w:r w:rsidRPr="00083CFE">
        <w:rPr>
          <w:b/>
          <w:sz w:val="24"/>
          <w:szCs w:val="24"/>
          <w:u w:val="single"/>
        </w:rPr>
        <w:t>Amendments made at LCCA</w:t>
      </w:r>
    </w:p>
    <w:p w14:paraId="678ED837" w14:textId="77777777" w:rsidR="00083CFE" w:rsidRDefault="00083CFE"/>
    <w:tbl>
      <w:tblPr>
        <w:tblStyle w:val="ENGeneralTable"/>
        <w:tblW w:w="10773" w:type="dxa"/>
        <w:tblInd w:w="-1026" w:type="dxa"/>
        <w:tblLayout w:type="fixed"/>
        <w:tblLook w:val="04A0" w:firstRow="1" w:lastRow="0" w:firstColumn="1" w:lastColumn="0" w:noHBand="0" w:noVBand="1"/>
      </w:tblPr>
      <w:tblGrid>
        <w:gridCol w:w="1560"/>
        <w:gridCol w:w="948"/>
        <w:gridCol w:w="838"/>
        <w:gridCol w:w="1474"/>
        <w:gridCol w:w="992"/>
        <w:gridCol w:w="1418"/>
        <w:gridCol w:w="992"/>
        <w:gridCol w:w="1417"/>
        <w:gridCol w:w="1134"/>
      </w:tblGrid>
      <w:tr w:rsidR="00083CFE" w14:paraId="42C6A47F" w14:textId="77777777" w:rsidTr="00A261AB">
        <w:trPr>
          <w:cnfStyle w:val="100000000000" w:firstRow="1" w:lastRow="0" w:firstColumn="0" w:lastColumn="0" w:oddVBand="0" w:evenVBand="0" w:oddHBand="0" w:evenHBand="0" w:firstRowFirstColumn="0" w:firstRowLastColumn="0" w:lastRowFirstColumn="0" w:lastRowLastColumn="0"/>
        </w:trPr>
        <w:tc>
          <w:tcPr>
            <w:tcW w:w="1560" w:type="dxa"/>
          </w:tcPr>
          <w:p w14:paraId="0F24E00E" w14:textId="77777777" w:rsidR="00083CFE" w:rsidRDefault="00083CFE" w:rsidP="008C5900">
            <w:pPr>
              <w:rPr>
                <w:b w:val="0"/>
                <w:i/>
                <w:sz w:val="24"/>
                <w:szCs w:val="24"/>
              </w:rPr>
            </w:pPr>
          </w:p>
        </w:tc>
        <w:tc>
          <w:tcPr>
            <w:tcW w:w="948" w:type="dxa"/>
          </w:tcPr>
          <w:p w14:paraId="14B44477" w14:textId="77777777" w:rsidR="00083CFE" w:rsidRPr="00226709" w:rsidRDefault="00083CFE" w:rsidP="008C5900">
            <w:pPr>
              <w:pStyle w:val="TTableText"/>
              <w:rPr>
                <w:rStyle w:val="TTableHeadings"/>
              </w:rPr>
            </w:pPr>
            <w:r w:rsidRPr="00226709">
              <w:rPr>
                <w:rStyle w:val="TTableHeadings"/>
              </w:rPr>
              <w:t>England</w:t>
            </w:r>
          </w:p>
        </w:tc>
        <w:tc>
          <w:tcPr>
            <w:tcW w:w="838" w:type="dxa"/>
          </w:tcPr>
          <w:p w14:paraId="62B358BA" w14:textId="77777777" w:rsidR="00083CFE" w:rsidRPr="00226709" w:rsidRDefault="00083CFE" w:rsidP="008C5900">
            <w:pPr>
              <w:pStyle w:val="TTableText"/>
              <w:rPr>
                <w:rStyle w:val="TTableHeadings"/>
              </w:rPr>
            </w:pPr>
            <w:r w:rsidRPr="00226709">
              <w:rPr>
                <w:rStyle w:val="TTableHeadings"/>
              </w:rPr>
              <w:t>Wales</w:t>
            </w:r>
          </w:p>
        </w:tc>
        <w:tc>
          <w:tcPr>
            <w:tcW w:w="1474" w:type="dxa"/>
          </w:tcPr>
          <w:p w14:paraId="155FCD10" w14:textId="77777777" w:rsidR="00083CFE" w:rsidRPr="00226709" w:rsidRDefault="00083CFE" w:rsidP="008C5900">
            <w:pPr>
              <w:pStyle w:val="TTableText"/>
              <w:rPr>
                <w:rStyle w:val="TTableHeadings"/>
              </w:rPr>
            </w:pPr>
          </w:p>
        </w:tc>
        <w:tc>
          <w:tcPr>
            <w:tcW w:w="992" w:type="dxa"/>
          </w:tcPr>
          <w:p w14:paraId="174A8B19" w14:textId="77777777" w:rsidR="00083CFE" w:rsidRPr="00226709" w:rsidRDefault="00083CFE" w:rsidP="008C5900">
            <w:pPr>
              <w:pStyle w:val="TTableText"/>
              <w:rPr>
                <w:rStyle w:val="TTableHeadings"/>
              </w:rPr>
            </w:pPr>
            <w:r w:rsidRPr="00226709">
              <w:rPr>
                <w:rStyle w:val="TTableHeadings"/>
              </w:rPr>
              <w:t>Scotland</w:t>
            </w:r>
          </w:p>
        </w:tc>
        <w:tc>
          <w:tcPr>
            <w:tcW w:w="1418" w:type="dxa"/>
          </w:tcPr>
          <w:p w14:paraId="21C6FEF9" w14:textId="77777777" w:rsidR="00083CFE" w:rsidRDefault="00083CFE" w:rsidP="008C5900">
            <w:pPr>
              <w:rPr>
                <w:b w:val="0"/>
                <w:i/>
                <w:sz w:val="24"/>
                <w:szCs w:val="24"/>
              </w:rPr>
            </w:pPr>
          </w:p>
        </w:tc>
        <w:tc>
          <w:tcPr>
            <w:tcW w:w="992" w:type="dxa"/>
          </w:tcPr>
          <w:p w14:paraId="6A305578" w14:textId="77777777" w:rsidR="00083CFE" w:rsidRDefault="00083CFE" w:rsidP="008C5900">
            <w:pPr>
              <w:rPr>
                <w:b w:val="0"/>
                <w:i/>
                <w:sz w:val="24"/>
                <w:szCs w:val="24"/>
              </w:rPr>
            </w:pPr>
            <w:r w:rsidRPr="00226709">
              <w:rPr>
                <w:rStyle w:val="TTableHeadings"/>
              </w:rPr>
              <w:t>Northern Ireland</w:t>
            </w:r>
          </w:p>
        </w:tc>
        <w:tc>
          <w:tcPr>
            <w:tcW w:w="1417" w:type="dxa"/>
          </w:tcPr>
          <w:p w14:paraId="5B4BD394" w14:textId="77777777" w:rsidR="00083CFE" w:rsidRDefault="00083CFE" w:rsidP="008C5900">
            <w:pPr>
              <w:rPr>
                <w:b w:val="0"/>
                <w:i/>
                <w:sz w:val="24"/>
                <w:szCs w:val="24"/>
              </w:rPr>
            </w:pPr>
          </w:p>
        </w:tc>
        <w:tc>
          <w:tcPr>
            <w:tcW w:w="1134" w:type="dxa"/>
          </w:tcPr>
          <w:p w14:paraId="0700BFB1" w14:textId="77777777" w:rsidR="00083CFE" w:rsidRDefault="00083CFE" w:rsidP="008C5900">
            <w:pPr>
              <w:rPr>
                <w:b w:val="0"/>
                <w:i/>
                <w:sz w:val="24"/>
                <w:szCs w:val="24"/>
              </w:rPr>
            </w:pPr>
          </w:p>
        </w:tc>
      </w:tr>
      <w:tr w:rsidR="00083CFE" w:rsidRPr="0075243C" w14:paraId="63BB4D17" w14:textId="77777777" w:rsidTr="00A261AB">
        <w:tc>
          <w:tcPr>
            <w:tcW w:w="1560" w:type="dxa"/>
          </w:tcPr>
          <w:p w14:paraId="59A162A5" w14:textId="77777777" w:rsidR="00083CFE" w:rsidRPr="0075243C" w:rsidRDefault="00083CFE" w:rsidP="008C5900">
            <w:pPr>
              <w:rPr>
                <w:b/>
                <w:sz w:val="16"/>
                <w:szCs w:val="16"/>
              </w:rPr>
            </w:pPr>
            <w:r w:rsidRPr="0075243C">
              <w:rPr>
                <w:b/>
                <w:sz w:val="16"/>
                <w:szCs w:val="16"/>
              </w:rPr>
              <w:t>Provision</w:t>
            </w:r>
          </w:p>
        </w:tc>
        <w:tc>
          <w:tcPr>
            <w:tcW w:w="948" w:type="dxa"/>
          </w:tcPr>
          <w:p w14:paraId="1F522ADC" w14:textId="77777777" w:rsidR="00083CFE" w:rsidRPr="0075243C" w:rsidRDefault="00083CFE" w:rsidP="008C5900">
            <w:pPr>
              <w:pStyle w:val="TTableText"/>
              <w:rPr>
                <w:rStyle w:val="TTableHeadings"/>
                <w:szCs w:val="16"/>
              </w:rPr>
            </w:pPr>
            <w:r w:rsidRPr="0075243C">
              <w:rPr>
                <w:rStyle w:val="TTableHeadings"/>
                <w:szCs w:val="16"/>
              </w:rPr>
              <w:t>Extends to E &amp; W and applies to England?</w:t>
            </w:r>
          </w:p>
        </w:tc>
        <w:tc>
          <w:tcPr>
            <w:tcW w:w="838" w:type="dxa"/>
          </w:tcPr>
          <w:p w14:paraId="2E430860" w14:textId="77777777" w:rsidR="00083CFE" w:rsidRPr="0075243C" w:rsidRDefault="00083CFE" w:rsidP="008C5900">
            <w:pPr>
              <w:pStyle w:val="TTableText"/>
              <w:rPr>
                <w:rStyle w:val="TTableHeadings"/>
                <w:szCs w:val="16"/>
              </w:rPr>
            </w:pPr>
            <w:r w:rsidRPr="0075243C">
              <w:rPr>
                <w:rStyle w:val="TTableHeadings"/>
                <w:szCs w:val="16"/>
              </w:rPr>
              <w:t>Extends to E &amp; W and applies to Wales?</w:t>
            </w:r>
          </w:p>
        </w:tc>
        <w:tc>
          <w:tcPr>
            <w:tcW w:w="1474" w:type="dxa"/>
          </w:tcPr>
          <w:p w14:paraId="5CA5052B" w14:textId="77777777" w:rsidR="00083CFE" w:rsidRPr="0075243C" w:rsidRDefault="00083CFE" w:rsidP="008C5900">
            <w:pPr>
              <w:pStyle w:val="TTableText"/>
              <w:rPr>
                <w:rStyle w:val="TTableHeadings"/>
                <w:szCs w:val="16"/>
              </w:rPr>
            </w:pPr>
            <w:r>
              <w:rPr>
                <w:rStyle w:val="TTableHeadings"/>
                <w:szCs w:val="16"/>
              </w:rPr>
              <w:t>Would corresponding provision be within the competence of the National Assembly for Wales</w:t>
            </w:r>
          </w:p>
        </w:tc>
        <w:tc>
          <w:tcPr>
            <w:tcW w:w="992" w:type="dxa"/>
          </w:tcPr>
          <w:p w14:paraId="41C42899" w14:textId="77777777" w:rsidR="00083CFE" w:rsidRPr="0075243C" w:rsidRDefault="00083CFE" w:rsidP="008C5900">
            <w:pPr>
              <w:pStyle w:val="TTableText"/>
              <w:rPr>
                <w:rStyle w:val="TTableHeadings"/>
                <w:szCs w:val="16"/>
              </w:rPr>
            </w:pPr>
            <w:r w:rsidRPr="0075243C">
              <w:rPr>
                <w:rStyle w:val="TTableHeadings"/>
                <w:szCs w:val="16"/>
              </w:rPr>
              <w:t>Extends and applies to Scotland?</w:t>
            </w:r>
          </w:p>
        </w:tc>
        <w:tc>
          <w:tcPr>
            <w:tcW w:w="1418" w:type="dxa"/>
          </w:tcPr>
          <w:p w14:paraId="1D565797" w14:textId="77777777" w:rsidR="00083CFE" w:rsidRPr="0075243C" w:rsidRDefault="00083CFE" w:rsidP="008C5900">
            <w:pPr>
              <w:pStyle w:val="TTableText"/>
              <w:rPr>
                <w:rStyle w:val="TTableHeadings"/>
                <w:szCs w:val="16"/>
              </w:rPr>
            </w:pPr>
            <w:r>
              <w:rPr>
                <w:rStyle w:val="TTableHeadings"/>
                <w:szCs w:val="16"/>
              </w:rPr>
              <w:t>Would corresponding provision be within the competence of the Scottish Parliament?</w:t>
            </w:r>
          </w:p>
        </w:tc>
        <w:tc>
          <w:tcPr>
            <w:tcW w:w="992" w:type="dxa"/>
          </w:tcPr>
          <w:p w14:paraId="146B05D0" w14:textId="77777777" w:rsidR="00083CFE" w:rsidRPr="0075243C" w:rsidRDefault="00083CFE" w:rsidP="008C5900">
            <w:pPr>
              <w:pStyle w:val="TTableText"/>
              <w:rPr>
                <w:rStyle w:val="TTableHeadings"/>
                <w:szCs w:val="16"/>
              </w:rPr>
            </w:pPr>
            <w:r w:rsidRPr="0075243C">
              <w:rPr>
                <w:rStyle w:val="TTableHeadings"/>
                <w:szCs w:val="16"/>
              </w:rPr>
              <w:t>Extends and applies to Northern Ireland?</w:t>
            </w:r>
          </w:p>
        </w:tc>
        <w:tc>
          <w:tcPr>
            <w:tcW w:w="1417" w:type="dxa"/>
          </w:tcPr>
          <w:p w14:paraId="68CABAC0" w14:textId="77777777" w:rsidR="00083CFE" w:rsidRPr="0075243C" w:rsidRDefault="00083CFE" w:rsidP="008C5900">
            <w:pPr>
              <w:pStyle w:val="TTableText"/>
              <w:rPr>
                <w:rStyle w:val="TTableHeadings"/>
                <w:szCs w:val="16"/>
              </w:rPr>
            </w:pPr>
            <w:r>
              <w:rPr>
                <w:rStyle w:val="TTableHeadings"/>
                <w:szCs w:val="16"/>
              </w:rPr>
              <w:t>Would corresponding provision be within the competence of the Northern Ireland Assembly</w:t>
            </w:r>
            <w:r w:rsidRPr="0075243C">
              <w:rPr>
                <w:rStyle w:val="TTableHeadings"/>
                <w:szCs w:val="16"/>
              </w:rPr>
              <w:t>?</w:t>
            </w:r>
          </w:p>
        </w:tc>
        <w:tc>
          <w:tcPr>
            <w:tcW w:w="1134" w:type="dxa"/>
          </w:tcPr>
          <w:p w14:paraId="446B4ED0" w14:textId="77777777" w:rsidR="00083CFE" w:rsidRPr="0075243C" w:rsidRDefault="00083CFE" w:rsidP="008C5900">
            <w:pPr>
              <w:pStyle w:val="TTableText"/>
              <w:rPr>
                <w:rStyle w:val="TTableHeadings"/>
                <w:szCs w:val="16"/>
              </w:rPr>
            </w:pPr>
            <w:r>
              <w:rPr>
                <w:rStyle w:val="TTableHeadings"/>
                <w:szCs w:val="16"/>
              </w:rPr>
              <w:t>Legislative Consent Motion needed?</w:t>
            </w:r>
          </w:p>
        </w:tc>
      </w:tr>
      <w:tr w:rsidR="00083CFE" w:rsidRPr="00226709" w14:paraId="431724E9" w14:textId="77777777" w:rsidTr="00A261AB">
        <w:tc>
          <w:tcPr>
            <w:tcW w:w="1560" w:type="dxa"/>
          </w:tcPr>
          <w:p w14:paraId="238948CB" w14:textId="2DF19B7A" w:rsidR="00083CFE" w:rsidRDefault="009A55D9" w:rsidP="001003A6">
            <w:pPr>
              <w:rPr>
                <w:b/>
                <w:i/>
                <w:sz w:val="24"/>
                <w:szCs w:val="24"/>
              </w:rPr>
            </w:pPr>
            <w:r>
              <w:rPr>
                <w:rStyle w:val="TTableHeadings"/>
              </w:rPr>
              <w:t>Amendment 2A (to Commons amendment 2)</w:t>
            </w:r>
          </w:p>
        </w:tc>
        <w:tc>
          <w:tcPr>
            <w:tcW w:w="948" w:type="dxa"/>
          </w:tcPr>
          <w:p w14:paraId="64BA5AA0" w14:textId="676DFACA" w:rsidR="00083CFE" w:rsidRPr="00226709" w:rsidRDefault="00083CFE" w:rsidP="008C5900">
            <w:pPr>
              <w:pStyle w:val="TTableText"/>
            </w:pPr>
            <w:r w:rsidRPr="00226709">
              <w:t>Yes</w:t>
            </w:r>
          </w:p>
        </w:tc>
        <w:tc>
          <w:tcPr>
            <w:tcW w:w="838" w:type="dxa"/>
          </w:tcPr>
          <w:p w14:paraId="5C33A5E2" w14:textId="013AF3A0" w:rsidR="00083CFE" w:rsidRPr="00226709" w:rsidRDefault="00083CFE" w:rsidP="008C5900">
            <w:pPr>
              <w:pStyle w:val="TTableText"/>
            </w:pPr>
            <w:r w:rsidRPr="00226709">
              <w:t>Yes</w:t>
            </w:r>
          </w:p>
        </w:tc>
        <w:tc>
          <w:tcPr>
            <w:tcW w:w="1474" w:type="dxa"/>
          </w:tcPr>
          <w:p w14:paraId="446FAF4F" w14:textId="4DA0E53D" w:rsidR="00083CFE" w:rsidRPr="00226709" w:rsidRDefault="00083CFE" w:rsidP="008C5900">
            <w:pPr>
              <w:pStyle w:val="TTableText"/>
            </w:pPr>
            <w:r>
              <w:t>N/A</w:t>
            </w:r>
          </w:p>
        </w:tc>
        <w:tc>
          <w:tcPr>
            <w:tcW w:w="992" w:type="dxa"/>
          </w:tcPr>
          <w:p w14:paraId="0BA54C3C" w14:textId="30874422" w:rsidR="00083CFE" w:rsidRPr="00226709" w:rsidRDefault="00083CFE" w:rsidP="008C5900">
            <w:pPr>
              <w:pStyle w:val="TTableText"/>
            </w:pPr>
            <w:r w:rsidRPr="00226709">
              <w:t>Yes</w:t>
            </w:r>
          </w:p>
        </w:tc>
        <w:tc>
          <w:tcPr>
            <w:tcW w:w="1418" w:type="dxa"/>
          </w:tcPr>
          <w:p w14:paraId="5F6A47CD" w14:textId="504D8BAA" w:rsidR="00083CFE" w:rsidRPr="00226709" w:rsidRDefault="00083CFE" w:rsidP="008C5900">
            <w:pPr>
              <w:pStyle w:val="TTableText"/>
            </w:pPr>
            <w:r>
              <w:t>N/A</w:t>
            </w:r>
          </w:p>
        </w:tc>
        <w:tc>
          <w:tcPr>
            <w:tcW w:w="992" w:type="dxa"/>
          </w:tcPr>
          <w:p w14:paraId="0B51718C" w14:textId="49F3E541" w:rsidR="00083CFE" w:rsidRPr="00226709" w:rsidRDefault="00083CFE" w:rsidP="008C5900">
            <w:pPr>
              <w:pStyle w:val="TTableText"/>
            </w:pPr>
            <w:r w:rsidRPr="00226709">
              <w:t>Yes</w:t>
            </w:r>
          </w:p>
        </w:tc>
        <w:tc>
          <w:tcPr>
            <w:tcW w:w="1417" w:type="dxa"/>
          </w:tcPr>
          <w:p w14:paraId="4E7DB4D1" w14:textId="2CAEC90E" w:rsidR="00083CFE" w:rsidRPr="00226709" w:rsidRDefault="00083CFE" w:rsidP="008C5900">
            <w:pPr>
              <w:pStyle w:val="TTableText"/>
            </w:pPr>
            <w:r>
              <w:t>N/A</w:t>
            </w:r>
          </w:p>
        </w:tc>
        <w:tc>
          <w:tcPr>
            <w:tcW w:w="1134" w:type="dxa"/>
          </w:tcPr>
          <w:p w14:paraId="478E8F2A" w14:textId="4863DAC7" w:rsidR="00083CFE" w:rsidRPr="00226709" w:rsidRDefault="00083CFE" w:rsidP="008C5900">
            <w:pPr>
              <w:pStyle w:val="TTableText"/>
            </w:pPr>
            <w:r>
              <w:t>No</w:t>
            </w:r>
          </w:p>
        </w:tc>
      </w:tr>
      <w:tr w:rsidR="00083CFE" w:rsidRPr="00226709" w14:paraId="2CA52B87" w14:textId="77777777" w:rsidTr="00A261AB">
        <w:tc>
          <w:tcPr>
            <w:tcW w:w="1560" w:type="dxa"/>
          </w:tcPr>
          <w:p w14:paraId="3070A8CF" w14:textId="5AD66C27" w:rsidR="00083CFE" w:rsidRDefault="00A261AB" w:rsidP="00A261AB">
            <w:pPr>
              <w:rPr>
                <w:rStyle w:val="TTableHeadings"/>
              </w:rPr>
            </w:pPr>
            <w:r>
              <w:rPr>
                <w:rStyle w:val="TTableHeadings"/>
              </w:rPr>
              <w:t xml:space="preserve">Amendments 6A and 6B (to Commons amendment 6)  </w:t>
            </w:r>
          </w:p>
        </w:tc>
        <w:tc>
          <w:tcPr>
            <w:tcW w:w="948" w:type="dxa"/>
          </w:tcPr>
          <w:p w14:paraId="6D08CEC2" w14:textId="14B059FC" w:rsidR="00083CFE" w:rsidRPr="00226709" w:rsidRDefault="00083CFE" w:rsidP="008C5900">
            <w:pPr>
              <w:pStyle w:val="TTableText"/>
            </w:pPr>
            <w:r>
              <w:t>Yes</w:t>
            </w:r>
          </w:p>
        </w:tc>
        <w:tc>
          <w:tcPr>
            <w:tcW w:w="838" w:type="dxa"/>
          </w:tcPr>
          <w:p w14:paraId="05F0E636" w14:textId="4C78D637" w:rsidR="00083CFE" w:rsidRPr="00226709" w:rsidRDefault="00083CFE" w:rsidP="008C5900">
            <w:pPr>
              <w:pStyle w:val="TTableText"/>
            </w:pPr>
            <w:r>
              <w:t>Yes</w:t>
            </w:r>
          </w:p>
        </w:tc>
        <w:tc>
          <w:tcPr>
            <w:tcW w:w="1474" w:type="dxa"/>
          </w:tcPr>
          <w:p w14:paraId="05BC514E" w14:textId="52BED944" w:rsidR="00083CFE" w:rsidRDefault="00083CFE" w:rsidP="008C5900">
            <w:pPr>
              <w:pStyle w:val="TTableText"/>
            </w:pPr>
            <w:r>
              <w:t>N/A</w:t>
            </w:r>
          </w:p>
        </w:tc>
        <w:tc>
          <w:tcPr>
            <w:tcW w:w="992" w:type="dxa"/>
          </w:tcPr>
          <w:p w14:paraId="2487CCD8" w14:textId="7EA1E502" w:rsidR="00083CFE" w:rsidRPr="00226709" w:rsidRDefault="00083CFE" w:rsidP="008C5900">
            <w:pPr>
              <w:pStyle w:val="TTableText"/>
            </w:pPr>
            <w:r>
              <w:t>Yes</w:t>
            </w:r>
          </w:p>
        </w:tc>
        <w:tc>
          <w:tcPr>
            <w:tcW w:w="1418" w:type="dxa"/>
          </w:tcPr>
          <w:p w14:paraId="08CA3418" w14:textId="23DB7FBB" w:rsidR="00083CFE" w:rsidRDefault="00083CFE" w:rsidP="008C5900">
            <w:pPr>
              <w:pStyle w:val="TTableText"/>
            </w:pPr>
            <w:r>
              <w:t>N/A</w:t>
            </w:r>
          </w:p>
        </w:tc>
        <w:tc>
          <w:tcPr>
            <w:tcW w:w="992" w:type="dxa"/>
          </w:tcPr>
          <w:p w14:paraId="503D23FB" w14:textId="36BFE21B" w:rsidR="00083CFE" w:rsidRPr="00226709" w:rsidRDefault="00083CFE" w:rsidP="008C5900">
            <w:pPr>
              <w:pStyle w:val="TTableText"/>
            </w:pPr>
            <w:r>
              <w:t xml:space="preserve">No </w:t>
            </w:r>
          </w:p>
        </w:tc>
        <w:tc>
          <w:tcPr>
            <w:tcW w:w="1417" w:type="dxa"/>
          </w:tcPr>
          <w:p w14:paraId="549A34EA" w14:textId="4E3B4622" w:rsidR="00083CFE" w:rsidRDefault="00937591" w:rsidP="008C5900">
            <w:pPr>
              <w:pStyle w:val="TTableText"/>
            </w:pPr>
            <w:r>
              <w:t>N/A</w:t>
            </w:r>
          </w:p>
        </w:tc>
        <w:tc>
          <w:tcPr>
            <w:tcW w:w="1134" w:type="dxa"/>
          </w:tcPr>
          <w:p w14:paraId="3AECE1F4" w14:textId="34709002" w:rsidR="00083CFE" w:rsidRPr="00226709" w:rsidRDefault="00083CFE" w:rsidP="008C5900">
            <w:pPr>
              <w:pStyle w:val="TTableText"/>
            </w:pPr>
            <w:r>
              <w:t>No</w:t>
            </w:r>
          </w:p>
        </w:tc>
      </w:tr>
      <w:tr w:rsidR="00A261AB" w:rsidRPr="00226709" w14:paraId="46CF7B95" w14:textId="77777777" w:rsidTr="00A261AB">
        <w:tc>
          <w:tcPr>
            <w:tcW w:w="1560" w:type="dxa"/>
          </w:tcPr>
          <w:p w14:paraId="24A0078F" w14:textId="5BF8AC15" w:rsidR="00A261AB" w:rsidRDefault="00AB5502" w:rsidP="00AB5502">
            <w:pPr>
              <w:rPr>
                <w:rStyle w:val="TTableHeadings"/>
              </w:rPr>
            </w:pPr>
            <w:r>
              <w:rPr>
                <w:rStyle w:val="TTableHeadings"/>
              </w:rPr>
              <w:t xml:space="preserve">Amendments 7A to 7W </w:t>
            </w:r>
            <w:r w:rsidR="00AA57C5">
              <w:rPr>
                <w:rStyle w:val="TTableHeadings"/>
              </w:rPr>
              <w:t>(</w:t>
            </w:r>
            <w:bookmarkStart w:id="0" w:name="_GoBack"/>
            <w:bookmarkEnd w:id="0"/>
            <w:r w:rsidR="00A261AB">
              <w:rPr>
                <w:rStyle w:val="TTableHeadings"/>
              </w:rPr>
              <w:t>to Commons amendment 7)</w:t>
            </w:r>
          </w:p>
        </w:tc>
        <w:tc>
          <w:tcPr>
            <w:tcW w:w="948" w:type="dxa"/>
          </w:tcPr>
          <w:p w14:paraId="2A4EAC34" w14:textId="4F04F76B" w:rsidR="00A261AB" w:rsidRDefault="00A261AB" w:rsidP="008C5900">
            <w:pPr>
              <w:pStyle w:val="TTableText"/>
            </w:pPr>
            <w:r>
              <w:t>Yes</w:t>
            </w:r>
          </w:p>
        </w:tc>
        <w:tc>
          <w:tcPr>
            <w:tcW w:w="838" w:type="dxa"/>
          </w:tcPr>
          <w:p w14:paraId="273103A9" w14:textId="0C94A103" w:rsidR="00A261AB" w:rsidRDefault="00A261AB" w:rsidP="008C5900">
            <w:pPr>
              <w:pStyle w:val="TTableText"/>
            </w:pPr>
            <w:r>
              <w:t>Yes</w:t>
            </w:r>
          </w:p>
        </w:tc>
        <w:tc>
          <w:tcPr>
            <w:tcW w:w="1474" w:type="dxa"/>
          </w:tcPr>
          <w:p w14:paraId="1E6629C9" w14:textId="3CF19B19" w:rsidR="00A261AB" w:rsidRDefault="00A261AB" w:rsidP="008C5900">
            <w:pPr>
              <w:pStyle w:val="TTableText"/>
            </w:pPr>
            <w:r>
              <w:t>N/A</w:t>
            </w:r>
          </w:p>
        </w:tc>
        <w:tc>
          <w:tcPr>
            <w:tcW w:w="992" w:type="dxa"/>
          </w:tcPr>
          <w:p w14:paraId="505DD11F" w14:textId="1BD7F1F7" w:rsidR="00A261AB" w:rsidRDefault="00A261AB" w:rsidP="008C5900">
            <w:pPr>
              <w:pStyle w:val="TTableText"/>
            </w:pPr>
            <w:r>
              <w:t>Yes</w:t>
            </w:r>
          </w:p>
        </w:tc>
        <w:tc>
          <w:tcPr>
            <w:tcW w:w="1418" w:type="dxa"/>
          </w:tcPr>
          <w:p w14:paraId="3A2C6894" w14:textId="466A4914" w:rsidR="00A261AB" w:rsidRDefault="00A261AB" w:rsidP="008C5900">
            <w:pPr>
              <w:pStyle w:val="TTableText"/>
            </w:pPr>
            <w:r>
              <w:t>N/A</w:t>
            </w:r>
          </w:p>
        </w:tc>
        <w:tc>
          <w:tcPr>
            <w:tcW w:w="992" w:type="dxa"/>
          </w:tcPr>
          <w:p w14:paraId="54B4D932" w14:textId="76824E84" w:rsidR="00A261AB" w:rsidRDefault="00A261AB" w:rsidP="008C5900">
            <w:pPr>
              <w:pStyle w:val="TTableText"/>
            </w:pPr>
            <w:r>
              <w:t xml:space="preserve">No </w:t>
            </w:r>
          </w:p>
        </w:tc>
        <w:tc>
          <w:tcPr>
            <w:tcW w:w="1417" w:type="dxa"/>
          </w:tcPr>
          <w:p w14:paraId="38FD2E6D" w14:textId="06FBC41A" w:rsidR="00A261AB" w:rsidRDefault="00937591" w:rsidP="008C5900">
            <w:pPr>
              <w:pStyle w:val="TTableText"/>
            </w:pPr>
            <w:r>
              <w:t>N/A</w:t>
            </w:r>
          </w:p>
        </w:tc>
        <w:tc>
          <w:tcPr>
            <w:tcW w:w="1134" w:type="dxa"/>
          </w:tcPr>
          <w:p w14:paraId="63EAEE93" w14:textId="459955F7" w:rsidR="00A261AB" w:rsidRDefault="00A261AB" w:rsidP="008C5900">
            <w:pPr>
              <w:pStyle w:val="TTableText"/>
            </w:pPr>
            <w:r>
              <w:t>No</w:t>
            </w:r>
          </w:p>
        </w:tc>
      </w:tr>
      <w:tr w:rsidR="00A261AB" w:rsidRPr="00226709" w14:paraId="68FD44C5" w14:textId="77777777" w:rsidTr="00A261AB">
        <w:tc>
          <w:tcPr>
            <w:tcW w:w="1560" w:type="dxa"/>
          </w:tcPr>
          <w:p w14:paraId="414B834E" w14:textId="57443173" w:rsidR="00A261AB" w:rsidRDefault="00A261AB" w:rsidP="00A261AB">
            <w:pPr>
              <w:rPr>
                <w:rStyle w:val="TTableHeadings"/>
              </w:rPr>
            </w:pPr>
            <w:r>
              <w:rPr>
                <w:rStyle w:val="TTableHeadings"/>
              </w:rPr>
              <w:t>Amendments 8A to 8C (to Commons amendment 8)</w:t>
            </w:r>
          </w:p>
        </w:tc>
        <w:tc>
          <w:tcPr>
            <w:tcW w:w="948" w:type="dxa"/>
          </w:tcPr>
          <w:p w14:paraId="08F918A3" w14:textId="0A4E27BB" w:rsidR="00A261AB" w:rsidRDefault="00A261AB" w:rsidP="008C5900">
            <w:pPr>
              <w:pStyle w:val="TTableText"/>
            </w:pPr>
            <w:r>
              <w:t>Yes</w:t>
            </w:r>
          </w:p>
        </w:tc>
        <w:tc>
          <w:tcPr>
            <w:tcW w:w="838" w:type="dxa"/>
          </w:tcPr>
          <w:p w14:paraId="5732DBC3" w14:textId="7356E96D" w:rsidR="00A261AB" w:rsidRDefault="00A261AB" w:rsidP="008C5900">
            <w:pPr>
              <w:pStyle w:val="TTableText"/>
            </w:pPr>
            <w:r>
              <w:t>Yes</w:t>
            </w:r>
          </w:p>
        </w:tc>
        <w:tc>
          <w:tcPr>
            <w:tcW w:w="1474" w:type="dxa"/>
          </w:tcPr>
          <w:p w14:paraId="5525AAAB" w14:textId="6845F926" w:rsidR="00A261AB" w:rsidRDefault="00A261AB" w:rsidP="008C5900">
            <w:pPr>
              <w:pStyle w:val="TTableText"/>
            </w:pPr>
            <w:r>
              <w:t>N/A</w:t>
            </w:r>
          </w:p>
        </w:tc>
        <w:tc>
          <w:tcPr>
            <w:tcW w:w="992" w:type="dxa"/>
          </w:tcPr>
          <w:p w14:paraId="2111525E" w14:textId="5F741F10" w:rsidR="00A261AB" w:rsidRDefault="00A261AB" w:rsidP="008C5900">
            <w:pPr>
              <w:pStyle w:val="TTableText"/>
            </w:pPr>
            <w:r>
              <w:t>Yes</w:t>
            </w:r>
          </w:p>
        </w:tc>
        <w:tc>
          <w:tcPr>
            <w:tcW w:w="1418" w:type="dxa"/>
          </w:tcPr>
          <w:p w14:paraId="3091975F" w14:textId="04D8971C" w:rsidR="00A261AB" w:rsidRDefault="00A261AB" w:rsidP="008C5900">
            <w:pPr>
              <w:pStyle w:val="TTableText"/>
            </w:pPr>
            <w:r>
              <w:t>N/A</w:t>
            </w:r>
          </w:p>
        </w:tc>
        <w:tc>
          <w:tcPr>
            <w:tcW w:w="992" w:type="dxa"/>
          </w:tcPr>
          <w:p w14:paraId="5C68EC54" w14:textId="0429CF0A" w:rsidR="00A261AB" w:rsidRDefault="00A261AB" w:rsidP="008C5900">
            <w:pPr>
              <w:pStyle w:val="TTableText"/>
            </w:pPr>
            <w:r>
              <w:t xml:space="preserve">No </w:t>
            </w:r>
          </w:p>
        </w:tc>
        <w:tc>
          <w:tcPr>
            <w:tcW w:w="1417" w:type="dxa"/>
          </w:tcPr>
          <w:p w14:paraId="403F4408" w14:textId="7DD4EF27" w:rsidR="00A261AB" w:rsidRDefault="00937591" w:rsidP="008C5900">
            <w:pPr>
              <w:pStyle w:val="TTableText"/>
            </w:pPr>
            <w:r>
              <w:t>N/A</w:t>
            </w:r>
          </w:p>
        </w:tc>
        <w:tc>
          <w:tcPr>
            <w:tcW w:w="1134" w:type="dxa"/>
          </w:tcPr>
          <w:p w14:paraId="5621C7DD" w14:textId="1C80C838" w:rsidR="00A261AB" w:rsidRDefault="00A261AB" w:rsidP="008C5900">
            <w:pPr>
              <w:pStyle w:val="TTableText"/>
            </w:pPr>
            <w:r>
              <w:t>No</w:t>
            </w:r>
          </w:p>
        </w:tc>
      </w:tr>
    </w:tbl>
    <w:p w14:paraId="19EF5F39" w14:textId="77777777" w:rsidR="00083CFE" w:rsidRDefault="00083CFE"/>
    <w:p w14:paraId="44DC90F4" w14:textId="77777777" w:rsidR="001003A6" w:rsidRDefault="001003A6" w:rsidP="001003A6"/>
    <w:p w14:paraId="5CB1B921" w14:textId="10A18D7A" w:rsidR="001003A6" w:rsidRPr="00083CFE" w:rsidRDefault="001003A6" w:rsidP="001003A6">
      <w:pPr>
        <w:rPr>
          <w:b/>
          <w:sz w:val="24"/>
          <w:szCs w:val="24"/>
          <w:u w:val="single"/>
        </w:rPr>
      </w:pPr>
      <w:r w:rsidRPr="00A208A4">
        <w:rPr>
          <w:b/>
          <w:sz w:val="24"/>
          <w:szCs w:val="24"/>
          <w:u w:val="single"/>
        </w:rPr>
        <w:t>Amendments tabled for CCLA</w:t>
      </w:r>
    </w:p>
    <w:p w14:paraId="2C43ECB4" w14:textId="77777777" w:rsidR="001003A6" w:rsidRDefault="001003A6"/>
    <w:tbl>
      <w:tblPr>
        <w:tblStyle w:val="ENGeneralTable"/>
        <w:tblW w:w="10773" w:type="dxa"/>
        <w:tblInd w:w="-1026" w:type="dxa"/>
        <w:tblLayout w:type="fixed"/>
        <w:tblLook w:val="04A0" w:firstRow="1" w:lastRow="0" w:firstColumn="1" w:lastColumn="0" w:noHBand="0" w:noVBand="1"/>
      </w:tblPr>
      <w:tblGrid>
        <w:gridCol w:w="1560"/>
        <w:gridCol w:w="948"/>
        <w:gridCol w:w="838"/>
        <w:gridCol w:w="1474"/>
        <w:gridCol w:w="992"/>
        <w:gridCol w:w="1418"/>
        <w:gridCol w:w="992"/>
        <w:gridCol w:w="1417"/>
        <w:gridCol w:w="1134"/>
      </w:tblGrid>
      <w:tr w:rsidR="0031171A" w14:paraId="3C7D3351" w14:textId="77777777" w:rsidTr="004B30F3">
        <w:trPr>
          <w:cnfStyle w:val="100000000000" w:firstRow="1" w:lastRow="0" w:firstColumn="0" w:lastColumn="0" w:oddVBand="0" w:evenVBand="0" w:oddHBand="0" w:evenHBand="0" w:firstRowFirstColumn="0" w:firstRowLastColumn="0" w:lastRowFirstColumn="0" w:lastRowLastColumn="0"/>
        </w:trPr>
        <w:tc>
          <w:tcPr>
            <w:tcW w:w="1560" w:type="dxa"/>
          </w:tcPr>
          <w:p w14:paraId="40A16A73" w14:textId="77777777" w:rsidR="0031171A" w:rsidRDefault="0031171A" w:rsidP="004B30F3">
            <w:pPr>
              <w:rPr>
                <w:b w:val="0"/>
                <w:i/>
                <w:sz w:val="24"/>
                <w:szCs w:val="24"/>
              </w:rPr>
            </w:pPr>
          </w:p>
        </w:tc>
        <w:tc>
          <w:tcPr>
            <w:tcW w:w="948" w:type="dxa"/>
          </w:tcPr>
          <w:p w14:paraId="0B7DA75B" w14:textId="77777777" w:rsidR="0031171A" w:rsidRPr="00226709" w:rsidRDefault="0031171A" w:rsidP="004B30F3">
            <w:pPr>
              <w:pStyle w:val="TTableText"/>
              <w:rPr>
                <w:rStyle w:val="TTableHeadings"/>
              </w:rPr>
            </w:pPr>
            <w:r w:rsidRPr="00226709">
              <w:rPr>
                <w:rStyle w:val="TTableHeadings"/>
              </w:rPr>
              <w:t>England</w:t>
            </w:r>
          </w:p>
        </w:tc>
        <w:tc>
          <w:tcPr>
            <w:tcW w:w="838" w:type="dxa"/>
          </w:tcPr>
          <w:p w14:paraId="6E89FEE9" w14:textId="77777777" w:rsidR="0031171A" w:rsidRPr="00226709" w:rsidRDefault="0031171A" w:rsidP="004B30F3">
            <w:pPr>
              <w:pStyle w:val="TTableText"/>
              <w:rPr>
                <w:rStyle w:val="TTableHeadings"/>
              </w:rPr>
            </w:pPr>
            <w:r w:rsidRPr="00226709">
              <w:rPr>
                <w:rStyle w:val="TTableHeadings"/>
              </w:rPr>
              <w:t>Wales</w:t>
            </w:r>
          </w:p>
        </w:tc>
        <w:tc>
          <w:tcPr>
            <w:tcW w:w="1474" w:type="dxa"/>
          </w:tcPr>
          <w:p w14:paraId="3F051AF8" w14:textId="77777777" w:rsidR="0031171A" w:rsidRPr="00226709" w:rsidRDefault="0031171A" w:rsidP="004B30F3">
            <w:pPr>
              <w:pStyle w:val="TTableText"/>
              <w:rPr>
                <w:rStyle w:val="TTableHeadings"/>
              </w:rPr>
            </w:pPr>
          </w:p>
        </w:tc>
        <w:tc>
          <w:tcPr>
            <w:tcW w:w="992" w:type="dxa"/>
          </w:tcPr>
          <w:p w14:paraId="41E86C58" w14:textId="77777777" w:rsidR="0031171A" w:rsidRPr="00226709" w:rsidRDefault="0031171A" w:rsidP="004B30F3">
            <w:pPr>
              <w:pStyle w:val="TTableText"/>
              <w:rPr>
                <w:rStyle w:val="TTableHeadings"/>
              </w:rPr>
            </w:pPr>
            <w:r w:rsidRPr="00226709">
              <w:rPr>
                <w:rStyle w:val="TTableHeadings"/>
              </w:rPr>
              <w:t>Scotland</w:t>
            </w:r>
          </w:p>
        </w:tc>
        <w:tc>
          <w:tcPr>
            <w:tcW w:w="1418" w:type="dxa"/>
          </w:tcPr>
          <w:p w14:paraId="0C91340E" w14:textId="77777777" w:rsidR="0031171A" w:rsidRDefault="0031171A" w:rsidP="004B30F3">
            <w:pPr>
              <w:rPr>
                <w:b w:val="0"/>
                <w:i/>
                <w:sz w:val="24"/>
                <w:szCs w:val="24"/>
              </w:rPr>
            </w:pPr>
          </w:p>
        </w:tc>
        <w:tc>
          <w:tcPr>
            <w:tcW w:w="992" w:type="dxa"/>
          </w:tcPr>
          <w:p w14:paraId="3986A686" w14:textId="77777777" w:rsidR="0031171A" w:rsidRDefault="0031171A" w:rsidP="004B30F3">
            <w:pPr>
              <w:rPr>
                <w:b w:val="0"/>
                <w:i/>
                <w:sz w:val="24"/>
                <w:szCs w:val="24"/>
              </w:rPr>
            </w:pPr>
            <w:r w:rsidRPr="00226709">
              <w:rPr>
                <w:rStyle w:val="TTableHeadings"/>
              </w:rPr>
              <w:t>Northern Ireland</w:t>
            </w:r>
          </w:p>
        </w:tc>
        <w:tc>
          <w:tcPr>
            <w:tcW w:w="1417" w:type="dxa"/>
          </w:tcPr>
          <w:p w14:paraId="7DAF2750" w14:textId="77777777" w:rsidR="0031171A" w:rsidRDefault="0031171A" w:rsidP="004B30F3">
            <w:pPr>
              <w:rPr>
                <w:b w:val="0"/>
                <w:i/>
                <w:sz w:val="24"/>
                <w:szCs w:val="24"/>
              </w:rPr>
            </w:pPr>
          </w:p>
        </w:tc>
        <w:tc>
          <w:tcPr>
            <w:tcW w:w="1134" w:type="dxa"/>
          </w:tcPr>
          <w:p w14:paraId="43841096" w14:textId="77777777" w:rsidR="0031171A" w:rsidRDefault="0031171A" w:rsidP="004B30F3">
            <w:pPr>
              <w:rPr>
                <w:b w:val="0"/>
                <w:i/>
                <w:sz w:val="24"/>
                <w:szCs w:val="24"/>
              </w:rPr>
            </w:pPr>
          </w:p>
        </w:tc>
      </w:tr>
      <w:tr w:rsidR="0031171A" w:rsidRPr="0075243C" w14:paraId="6B0969ED" w14:textId="77777777" w:rsidTr="004B30F3">
        <w:tc>
          <w:tcPr>
            <w:tcW w:w="1560" w:type="dxa"/>
          </w:tcPr>
          <w:p w14:paraId="2A2688B0" w14:textId="77777777" w:rsidR="0031171A" w:rsidRPr="0075243C" w:rsidRDefault="0031171A" w:rsidP="004B30F3">
            <w:pPr>
              <w:rPr>
                <w:b/>
                <w:sz w:val="16"/>
                <w:szCs w:val="16"/>
              </w:rPr>
            </w:pPr>
            <w:r w:rsidRPr="0075243C">
              <w:rPr>
                <w:b/>
                <w:sz w:val="16"/>
                <w:szCs w:val="16"/>
              </w:rPr>
              <w:t>Provision</w:t>
            </w:r>
          </w:p>
        </w:tc>
        <w:tc>
          <w:tcPr>
            <w:tcW w:w="948" w:type="dxa"/>
          </w:tcPr>
          <w:p w14:paraId="23568EBF" w14:textId="77777777" w:rsidR="0031171A" w:rsidRPr="0075243C" w:rsidRDefault="0031171A" w:rsidP="004B30F3">
            <w:pPr>
              <w:pStyle w:val="TTableText"/>
              <w:rPr>
                <w:rStyle w:val="TTableHeadings"/>
                <w:szCs w:val="16"/>
              </w:rPr>
            </w:pPr>
            <w:r w:rsidRPr="0075243C">
              <w:rPr>
                <w:rStyle w:val="TTableHeadings"/>
                <w:szCs w:val="16"/>
              </w:rPr>
              <w:t>Extends to E &amp; W and applies to England?</w:t>
            </w:r>
          </w:p>
        </w:tc>
        <w:tc>
          <w:tcPr>
            <w:tcW w:w="838" w:type="dxa"/>
          </w:tcPr>
          <w:p w14:paraId="4AAF01D0" w14:textId="77777777" w:rsidR="0031171A" w:rsidRPr="0075243C" w:rsidRDefault="0031171A" w:rsidP="004B30F3">
            <w:pPr>
              <w:pStyle w:val="TTableText"/>
              <w:rPr>
                <w:rStyle w:val="TTableHeadings"/>
                <w:szCs w:val="16"/>
              </w:rPr>
            </w:pPr>
            <w:r w:rsidRPr="0075243C">
              <w:rPr>
                <w:rStyle w:val="TTableHeadings"/>
                <w:szCs w:val="16"/>
              </w:rPr>
              <w:t>Extends to E &amp; W and applies to Wales?</w:t>
            </w:r>
          </w:p>
        </w:tc>
        <w:tc>
          <w:tcPr>
            <w:tcW w:w="1474" w:type="dxa"/>
          </w:tcPr>
          <w:p w14:paraId="36E56CE4" w14:textId="77777777" w:rsidR="0031171A" w:rsidRPr="0075243C" w:rsidRDefault="0031171A" w:rsidP="004B30F3">
            <w:pPr>
              <w:pStyle w:val="TTableText"/>
              <w:rPr>
                <w:rStyle w:val="TTableHeadings"/>
                <w:szCs w:val="16"/>
              </w:rPr>
            </w:pPr>
            <w:r>
              <w:rPr>
                <w:rStyle w:val="TTableHeadings"/>
                <w:szCs w:val="16"/>
              </w:rPr>
              <w:t>Would corresponding provision be within the competence of the National Assembly for Wales</w:t>
            </w:r>
          </w:p>
        </w:tc>
        <w:tc>
          <w:tcPr>
            <w:tcW w:w="992" w:type="dxa"/>
          </w:tcPr>
          <w:p w14:paraId="1A8F48FD" w14:textId="77777777" w:rsidR="0031171A" w:rsidRPr="0075243C" w:rsidRDefault="0031171A" w:rsidP="004B30F3">
            <w:pPr>
              <w:pStyle w:val="TTableText"/>
              <w:rPr>
                <w:rStyle w:val="TTableHeadings"/>
                <w:szCs w:val="16"/>
              </w:rPr>
            </w:pPr>
            <w:r w:rsidRPr="0075243C">
              <w:rPr>
                <w:rStyle w:val="TTableHeadings"/>
                <w:szCs w:val="16"/>
              </w:rPr>
              <w:t>Extends and applies to Scotland?</w:t>
            </w:r>
          </w:p>
        </w:tc>
        <w:tc>
          <w:tcPr>
            <w:tcW w:w="1418" w:type="dxa"/>
          </w:tcPr>
          <w:p w14:paraId="05EFC371" w14:textId="77777777" w:rsidR="0031171A" w:rsidRPr="0075243C" w:rsidRDefault="0031171A" w:rsidP="004B30F3">
            <w:pPr>
              <w:pStyle w:val="TTableText"/>
              <w:rPr>
                <w:rStyle w:val="TTableHeadings"/>
                <w:szCs w:val="16"/>
              </w:rPr>
            </w:pPr>
            <w:r>
              <w:rPr>
                <w:rStyle w:val="TTableHeadings"/>
                <w:szCs w:val="16"/>
              </w:rPr>
              <w:t>Would corresponding provision be within the competence of the Scottish Parliament?</w:t>
            </w:r>
          </w:p>
        </w:tc>
        <w:tc>
          <w:tcPr>
            <w:tcW w:w="992" w:type="dxa"/>
          </w:tcPr>
          <w:p w14:paraId="5A297BFF" w14:textId="77777777" w:rsidR="0031171A" w:rsidRPr="0075243C" w:rsidRDefault="0031171A" w:rsidP="004B30F3">
            <w:pPr>
              <w:pStyle w:val="TTableText"/>
              <w:rPr>
                <w:rStyle w:val="TTableHeadings"/>
                <w:szCs w:val="16"/>
              </w:rPr>
            </w:pPr>
            <w:r w:rsidRPr="0075243C">
              <w:rPr>
                <w:rStyle w:val="TTableHeadings"/>
                <w:szCs w:val="16"/>
              </w:rPr>
              <w:t>Extends and applies to Northern Ireland?</w:t>
            </w:r>
          </w:p>
        </w:tc>
        <w:tc>
          <w:tcPr>
            <w:tcW w:w="1417" w:type="dxa"/>
          </w:tcPr>
          <w:p w14:paraId="0486DD73" w14:textId="77777777" w:rsidR="0031171A" w:rsidRPr="0075243C" w:rsidRDefault="0031171A" w:rsidP="004B30F3">
            <w:pPr>
              <w:pStyle w:val="TTableText"/>
              <w:rPr>
                <w:rStyle w:val="TTableHeadings"/>
                <w:szCs w:val="16"/>
              </w:rPr>
            </w:pPr>
            <w:r>
              <w:rPr>
                <w:rStyle w:val="TTableHeadings"/>
                <w:szCs w:val="16"/>
              </w:rPr>
              <w:t>Would corresponding provision be within the competence of the Northern Ireland Assembly</w:t>
            </w:r>
            <w:r w:rsidRPr="0075243C">
              <w:rPr>
                <w:rStyle w:val="TTableHeadings"/>
                <w:szCs w:val="16"/>
              </w:rPr>
              <w:t>?</w:t>
            </w:r>
          </w:p>
        </w:tc>
        <w:tc>
          <w:tcPr>
            <w:tcW w:w="1134" w:type="dxa"/>
          </w:tcPr>
          <w:p w14:paraId="44EA4943" w14:textId="77777777" w:rsidR="0031171A" w:rsidRPr="0075243C" w:rsidRDefault="0031171A" w:rsidP="004B30F3">
            <w:pPr>
              <w:pStyle w:val="TTableText"/>
              <w:rPr>
                <w:rStyle w:val="TTableHeadings"/>
                <w:szCs w:val="16"/>
              </w:rPr>
            </w:pPr>
            <w:r>
              <w:rPr>
                <w:rStyle w:val="TTableHeadings"/>
                <w:szCs w:val="16"/>
              </w:rPr>
              <w:t>Legislative Consent Motion needed?</w:t>
            </w:r>
          </w:p>
        </w:tc>
      </w:tr>
      <w:tr w:rsidR="00A208A4" w:rsidRPr="00226709" w14:paraId="54C58F73" w14:textId="77777777" w:rsidTr="004B30F3">
        <w:tc>
          <w:tcPr>
            <w:tcW w:w="1560" w:type="dxa"/>
          </w:tcPr>
          <w:p w14:paraId="63319A16" w14:textId="165BA535" w:rsidR="00A208A4" w:rsidRDefault="00A208A4" w:rsidP="004B30F3">
            <w:pPr>
              <w:rPr>
                <w:b/>
                <w:i/>
                <w:sz w:val="24"/>
                <w:szCs w:val="24"/>
              </w:rPr>
            </w:pPr>
            <w:r>
              <w:rPr>
                <w:rStyle w:val="TTableHeadings"/>
              </w:rPr>
              <w:t>Motion to disagree with Lords amendment 7T</w:t>
            </w:r>
          </w:p>
        </w:tc>
        <w:tc>
          <w:tcPr>
            <w:tcW w:w="948" w:type="dxa"/>
          </w:tcPr>
          <w:p w14:paraId="00F13AE7" w14:textId="749CBB9B" w:rsidR="00A208A4" w:rsidRPr="00226709" w:rsidRDefault="00A208A4" w:rsidP="004B30F3">
            <w:pPr>
              <w:pStyle w:val="TTableText"/>
            </w:pPr>
            <w:r>
              <w:t>Yes</w:t>
            </w:r>
          </w:p>
        </w:tc>
        <w:tc>
          <w:tcPr>
            <w:tcW w:w="838" w:type="dxa"/>
          </w:tcPr>
          <w:p w14:paraId="416D5B87" w14:textId="3BD619A0" w:rsidR="00A208A4" w:rsidRPr="00226709" w:rsidRDefault="00A208A4" w:rsidP="004B30F3">
            <w:pPr>
              <w:pStyle w:val="TTableText"/>
            </w:pPr>
            <w:r>
              <w:t>Yes</w:t>
            </w:r>
          </w:p>
        </w:tc>
        <w:tc>
          <w:tcPr>
            <w:tcW w:w="1474" w:type="dxa"/>
          </w:tcPr>
          <w:p w14:paraId="1B5D18F2" w14:textId="1FA1F3C2" w:rsidR="00A208A4" w:rsidRPr="00226709" w:rsidRDefault="00A208A4" w:rsidP="004B30F3">
            <w:pPr>
              <w:pStyle w:val="TTableText"/>
            </w:pPr>
            <w:r>
              <w:t>N/A</w:t>
            </w:r>
          </w:p>
        </w:tc>
        <w:tc>
          <w:tcPr>
            <w:tcW w:w="992" w:type="dxa"/>
          </w:tcPr>
          <w:p w14:paraId="5D92C51E" w14:textId="23110AC8" w:rsidR="00A208A4" w:rsidRPr="00226709" w:rsidRDefault="00A208A4" w:rsidP="004B30F3">
            <w:pPr>
              <w:pStyle w:val="TTableText"/>
            </w:pPr>
            <w:r>
              <w:t>Yes</w:t>
            </w:r>
          </w:p>
        </w:tc>
        <w:tc>
          <w:tcPr>
            <w:tcW w:w="1418" w:type="dxa"/>
          </w:tcPr>
          <w:p w14:paraId="62A0FB7E" w14:textId="5FD76210" w:rsidR="00A208A4" w:rsidRPr="00226709" w:rsidRDefault="00A208A4" w:rsidP="004B30F3">
            <w:pPr>
              <w:pStyle w:val="TTableText"/>
            </w:pPr>
            <w:r>
              <w:t>N/A</w:t>
            </w:r>
          </w:p>
        </w:tc>
        <w:tc>
          <w:tcPr>
            <w:tcW w:w="992" w:type="dxa"/>
          </w:tcPr>
          <w:p w14:paraId="54DD0AAE" w14:textId="64D9DD9F" w:rsidR="00A208A4" w:rsidRPr="00226709" w:rsidRDefault="00A208A4" w:rsidP="004B30F3">
            <w:pPr>
              <w:pStyle w:val="TTableText"/>
            </w:pPr>
            <w:r>
              <w:t xml:space="preserve">No </w:t>
            </w:r>
          </w:p>
        </w:tc>
        <w:tc>
          <w:tcPr>
            <w:tcW w:w="1417" w:type="dxa"/>
          </w:tcPr>
          <w:p w14:paraId="3EEFA35B" w14:textId="1518067D" w:rsidR="00A208A4" w:rsidRPr="00226709" w:rsidRDefault="00A208A4" w:rsidP="004B30F3">
            <w:pPr>
              <w:pStyle w:val="TTableText"/>
            </w:pPr>
            <w:r>
              <w:t>N/A</w:t>
            </w:r>
          </w:p>
        </w:tc>
        <w:tc>
          <w:tcPr>
            <w:tcW w:w="1134" w:type="dxa"/>
          </w:tcPr>
          <w:p w14:paraId="0A5AB45A" w14:textId="55BDA833" w:rsidR="00A208A4" w:rsidRPr="00226709" w:rsidRDefault="00A208A4" w:rsidP="004B30F3">
            <w:pPr>
              <w:pStyle w:val="TTableText"/>
            </w:pPr>
            <w:r>
              <w:t>No</w:t>
            </w:r>
          </w:p>
        </w:tc>
      </w:tr>
    </w:tbl>
    <w:p w14:paraId="36644B16" w14:textId="77777777" w:rsidR="0031171A" w:rsidRDefault="0031171A"/>
    <w:sectPr w:rsidR="0031171A" w:rsidSect="00A208A4">
      <w:footerReference w:type="default" r:id="rId14"/>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4828B1" w14:textId="77777777" w:rsidR="003E701F" w:rsidRDefault="003E701F" w:rsidP="003E701F">
      <w:pPr>
        <w:spacing w:line="240" w:lineRule="auto"/>
      </w:pPr>
      <w:r>
        <w:separator/>
      </w:r>
    </w:p>
  </w:endnote>
  <w:endnote w:type="continuationSeparator" w:id="0">
    <w:p w14:paraId="0F4828B2" w14:textId="77777777" w:rsidR="003E701F" w:rsidRDefault="003E701F" w:rsidP="003E70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Neue">
    <w:altName w:val="Helvetica Neue"/>
    <w:panose1 w:val="00000000000000000000"/>
    <w:charset w:val="4D"/>
    <w:family w:val="auto"/>
    <w:notTrueType/>
    <w:pitch w:val="default"/>
    <w:sig w:usb0="00000003" w:usb1="00000000" w:usb2="00000000" w:usb3="00000000" w:csb0="00000001" w:csb1="00000000"/>
  </w:font>
  <w:font w:name="PalatinoLinotype-Bold">
    <w:altName w:val="Palatino Linotype"/>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0214310"/>
      <w:docPartObj>
        <w:docPartGallery w:val="Page Numbers (Bottom of Page)"/>
        <w:docPartUnique/>
      </w:docPartObj>
    </w:sdtPr>
    <w:sdtEndPr>
      <w:rPr>
        <w:noProof/>
      </w:rPr>
    </w:sdtEndPr>
    <w:sdtContent>
      <w:p w14:paraId="760F5E67" w14:textId="5A0D9F10" w:rsidR="00573869" w:rsidRDefault="00573869">
        <w:pPr>
          <w:pStyle w:val="Footer"/>
          <w:jc w:val="center"/>
        </w:pPr>
        <w:r>
          <w:fldChar w:fldCharType="begin"/>
        </w:r>
        <w:r>
          <w:instrText xml:space="preserve"> PAGE   \* MERGEFORMAT </w:instrText>
        </w:r>
        <w:r>
          <w:fldChar w:fldCharType="separate"/>
        </w:r>
        <w:r w:rsidR="00AA57C5">
          <w:rPr>
            <w:noProof/>
          </w:rPr>
          <w:t>1</w:t>
        </w:r>
        <w:r>
          <w:rPr>
            <w:noProof/>
          </w:rPr>
          <w:fldChar w:fldCharType="end"/>
        </w:r>
      </w:p>
    </w:sdtContent>
  </w:sdt>
  <w:p w14:paraId="7F54971B" w14:textId="77777777" w:rsidR="00573869" w:rsidRDefault="005738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4828AF" w14:textId="77777777" w:rsidR="003E701F" w:rsidRDefault="003E701F" w:rsidP="003E701F">
      <w:pPr>
        <w:spacing w:line="240" w:lineRule="auto"/>
      </w:pPr>
      <w:r>
        <w:separator/>
      </w:r>
    </w:p>
  </w:footnote>
  <w:footnote w:type="continuationSeparator" w:id="0">
    <w:p w14:paraId="0F4828B0" w14:textId="77777777" w:rsidR="003E701F" w:rsidRDefault="003E701F" w:rsidP="003E701F">
      <w:pPr>
        <w:spacing w:line="240" w:lineRule="auto"/>
      </w:pPr>
      <w:r>
        <w:continuationSeparator/>
      </w:r>
    </w:p>
  </w:footnote>
  <w:footnote w:id="1">
    <w:p w14:paraId="0F4828B3" w14:textId="77777777" w:rsidR="003E701F" w:rsidRDefault="003E701F">
      <w:pPr>
        <w:pStyle w:val="FootnoteText"/>
      </w:pPr>
      <w:r>
        <w:rPr>
          <w:rStyle w:val="FootnoteReference"/>
        </w:rPr>
        <w:footnoteRef/>
      </w:r>
      <w:r>
        <w:t xml:space="preserve"> References in this statement to a provision being within the legislative competence of the Scottish Parliament, the National Assembly for Wales or the Northern Ireland Assembly are to the provision being within the legislative competence of the relevant devolved legislature for the purposes of Standing Order No. 83J of the Standing Orders of the House of Commons relating to Public Business.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2536"/>
    <w:multiLevelType w:val="hybridMultilevel"/>
    <w:tmpl w:val="5810BD5A"/>
    <w:lvl w:ilvl="0" w:tplc="C3EE14DC">
      <w:start w:val="1"/>
      <w:numFmt w:val="decimal"/>
      <w:lvlText w:val="%1."/>
      <w:lvlJc w:val="left"/>
      <w:pPr>
        <w:ind w:left="720" w:hanging="360"/>
      </w:pPr>
      <w:rPr>
        <w:rFonts w:hint="default"/>
        <w:b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805"/>
    <w:rsid w:val="0001667B"/>
    <w:rsid w:val="000719B8"/>
    <w:rsid w:val="00083CFE"/>
    <w:rsid w:val="000D3CA2"/>
    <w:rsid w:val="001003A6"/>
    <w:rsid w:val="00161995"/>
    <w:rsid w:val="00216951"/>
    <w:rsid w:val="0027195A"/>
    <w:rsid w:val="002B2714"/>
    <w:rsid w:val="002E18AC"/>
    <w:rsid w:val="0031171A"/>
    <w:rsid w:val="003575EE"/>
    <w:rsid w:val="003B7822"/>
    <w:rsid w:val="003E701F"/>
    <w:rsid w:val="00420B77"/>
    <w:rsid w:val="004252EF"/>
    <w:rsid w:val="00437662"/>
    <w:rsid w:val="00471F53"/>
    <w:rsid w:val="00492CDC"/>
    <w:rsid w:val="004D4A16"/>
    <w:rsid w:val="004E5139"/>
    <w:rsid w:val="0056342F"/>
    <w:rsid w:val="00573869"/>
    <w:rsid w:val="00580DF7"/>
    <w:rsid w:val="005C54F6"/>
    <w:rsid w:val="00617BCC"/>
    <w:rsid w:val="00745DB4"/>
    <w:rsid w:val="0075243C"/>
    <w:rsid w:val="00760411"/>
    <w:rsid w:val="008C7E85"/>
    <w:rsid w:val="008D2736"/>
    <w:rsid w:val="00925C44"/>
    <w:rsid w:val="00937591"/>
    <w:rsid w:val="00966A54"/>
    <w:rsid w:val="00992DD7"/>
    <w:rsid w:val="009A55D9"/>
    <w:rsid w:val="009C5068"/>
    <w:rsid w:val="009E3BF3"/>
    <w:rsid w:val="00A208A4"/>
    <w:rsid w:val="00A261AB"/>
    <w:rsid w:val="00A31DA3"/>
    <w:rsid w:val="00A40193"/>
    <w:rsid w:val="00AA57C5"/>
    <w:rsid w:val="00AB08B7"/>
    <w:rsid w:val="00AB5502"/>
    <w:rsid w:val="00AD5C56"/>
    <w:rsid w:val="00AF7561"/>
    <w:rsid w:val="00B32538"/>
    <w:rsid w:val="00B81A1E"/>
    <w:rsid w:val="00B94106"/>
    <w:rsid w:val="00B96DF3"/>
    <w:rsid w:val="00B97370"/>
    <w:rsid w:val="00C11988"/>
    <w:rsid w:val="00C1546E"/>
    <w:rsid w:val="00C34EF1"/>
    <w:rsid w:val="00C80862"/>
    <w:rsid w:val="00C85179"/>
    <w:rsid w:val="00C94888"/>
    <w:rsid w:val="00D155D1"/>
    <w:rsid w:val="00D90DB8"/>
    <w:rsid w:val="00DB4F97"/>
    <w:rsid w:val="00DD70BA"/>
    <w:rsid w:val="00E43998"/>
    <w:rsid w:val="00E75531"/>
    <w:rsid w:val="00E81839"/>
    <w:rsid w:val="00EB02B9"/>
    <w:rsid w:val="00EB1427"/>
    <w:rsid w:val="00F104AD"/>
    <w:rsid w:val="00F5427C"/>
    <w:rsid w:val="00F778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82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77805"/>
    <w:pPr>
      <w:spacing w:after="0"/>
    </w:pPr>
    <w:rPr>
      <w:rFonts w:eastAsia="Arial"/>
      <w:color w:val="000000"/>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805"/>
    <w:pPr>
      <w:ind w:left="720"/>
      <w:contextualSpacing/>
    </w:pPr>
  </w:style>
  <w:style w:type="paragraph" w:styleId="FootnoteText">
    <w:name w:val="footnote text"/>
    <w:basedOn w:val="Normal"/>
    <w:link w:val="FootnoteTextChar"/>
    <w:uiPriority w:val="99"/>
    <w:semiHidden/>
    <w:unhideWhenUsed/>
    <w:rsid w:val="003E701F"/>
    <w:pPr>
      <w:spacing w:line="240" w:lineRule="auto"/>
    </w:pPr>
    <w:rPr>
      <w:sz w:val="20"/>
      <w:szCs w:val="20"/>
    </w:rPr>
  </w:style>
  <w:style w:type="character" w:customStyle="1" w:styleId="FootnoteTextChar">
    <w:name w:val="Footnote Text Char"/>
    <w:basedOn w:val="DefaultParagraphFont"/>
    <w:link w:val="FootnoteText"/>
    <w:uiPriority w:val="99"/>
    <w:semiHidden/>
    <w:rsid w:val="003E701F"/>
    <w:rPr>
      <w:rFonts w:eastAsia="Arial"/>
      <w:color w:val="000000"/>
      <w:sz w:val="20"/>
      <w:szCs w:val="20"/>
      <w:lang w:eastAsia="en-GB"/>
    </w:rPr>
  </w:style>
  <w:style w:type="character" w:styleId="FootnoteReference">
    <w:name w:val="footnote reference"/>
    <w:basedOn w:val="DefaultParagraphFont"/>
    <w:uiPriority w:val="99"/>
    <w:semiHidden/>
    <w:unhideWhenUsed/>
    <w:rsid w:val="003E701F"/>
    <w:rPr>
      <w:vertAlign w:val="superscript"/>
    </w:rPr>
  </w:style>
  <w:style w:type="paragraph" w:customStyle="1" w:styleId="TTableText">
    <w:name w:val="T: Table Text"/>
    <w:basedOn w:val="Normal"/>
    <w:qFormat/>
    <w:rsid w:val="0075243C"/>
    <w:pPr>
      <w:widowControl w:val="0"/>
      <w:suppressAutoHyphens/>
      <w:autoSpaceDE w:val="0"/>
      <w:autoSpaceDN w:val="0"/>
      <w:adjustRightInd w:val="0"/>
      <w:spacing w:after="120" w:line="240" w:lineRule="atLeast"/>
      <w:textAlignment w:val="center"/>
    </w:pPr>
    <w:rPr>
      <w:rFonts w:eastAsiaTheme="minorEastAsia" w:cs="HelveticaNeue"/>
      <w:sz w:val="16"/>
      <w:szCs w:val="20"/>
      <w:lang w:val="en-US" w:eastAsia="en-US" w:bidi="en-US"/>
    </w:rPr>
  </w:style>
  <w:style w:type="character" w:customStyle="1" w:styleId="TTableHeadings">
    <w:name w:val="T: Table Headings"/>
    <w:basedOn w:val="DefaultParagraphFont"/>
    <w:qFormat/>
    <w:rsid w:val="0075243C"/>
    <w:rPr>
      <w:rFonts w:ascii="Arial" w:hAnsi="Arial" w:cs="PalatinoLinotype-Bold"/>
      <w:b/>
      <w:bCs/>
      <w:color w:val="000000"/>
      <w:sz w:val="16"/>
    </w:rPr>
  </w:style>
  <w:style w:type="table" w:customStyle="1" w:styleId="ENGeneralTable">
    <w:name w:val="EN General Table"/>
    <w:basedOn w:val="TableNormal"/>
    <w:uiPriority w:val="99"/>
    <w:qFormat/>
    <w:rsid w:val="0075243C"/>
    <w:pPr>
      <w:spacing w:after="0" w:line="240" w:lineRule="auto"/>
    </w:pPr>
    <w:rPr>
      <w:rFonts w:eastAsiaTheme="minorEastAsia" w:cstheme="minorBidi"/>
      <w:sz w:val="16"/>
      <w:szCs w:val="22"/>
      <w:lang w:val="en-US" w:bidi="en-US"/>
    </w:rPr>
    <w:tblP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Pr>
    <w:tblStylePr w:type="firstRow">
      <w:rPr>
        <w:rFonts w:ascii="Arial" w:hAnsi="Arial"/>
        <w:b/>
        <w:sz w:val="16"/>
      </w:rPr>
    </w:tblStylePr>
  </w:style>
  <w:style w:type="character" w:styleId="CommentReference">
    <w:name w:val="annotation reference"/>
    <w:basedOn w:val="DefaultParagraphFont"/>
    <w:uiPriority w:val="99"/>
    <w:semiHidden/>
    <w:unhideWhenUsed/>
    <w:rsid w:val="00EB02B9"/>
    <w:rPr>
      <w:sz w:val="16"/>
      <w:szCs w:val="16"/>
    </w:rPr>
  </w:style>
  <w:style w:type="paragraph" w:styleId="CommentText">
    <w:name w:val="annotation text"/>
    <w:basedOn w:val="Normal"/>
    <w:link w:val="CommentTextChar"/>
    <w:uiPriority w:val="99"/>
    <w:semiHidden/>
    <w:unhideWhenUsed/>
    <w:rsid w:val="00EB02B9"/>
    <w:pPr>
      <w:spacing w:line="240" w:lineRule="auto"/>
    </w:pPr>
    <w:rPr>
      <w:sz w:val="20"/>
      <w:szCs w:val="20"/>
    </w:rPr>
  </w:style>
  <w:style w:type="character" w:customStyle="1" w:styleId="CommentTextChar">
    <w:name w:val="Comment Text Char"/>
    <w:basedOn w:val="DefaultParagraphFont"/>
    <w:link w:val="CommentText"/>
    <w:uiPriority w:val="99"/>
    <w:semiHidden/>
    <w:rsid w:val="00EB02B9"/>
    <w:rPr>
      <w:rFonts w:eastAsia="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EB02B9"/>
    <w:rPr>
      <w:b/>
      <w:bCs/>
    </w:rPr>
  </w:style>
  <w:style w:type="character" w:customStyle="1" w:styleId="CommentSubjectChar">
    <w:name w:val="Comment Subject Char"/>
    <w:basedOn w:val="CommentTextChar"/>
    <w:link w:val="CommentSubject"/>
    <w:uiPriority w:val="99"/>
    <w:semiHidden/>
    <w:rsid w:val="00EB02B9"/>
    <w:rPr>
      <w:rFonts w:eastAsia="Arial"/>
      <w:b/>
      <w:bCs/>
      <w:color w:val="000000"/>
      <w:sz w:val="20"/>
      <w:szCs w:val="20"/>
      <w:lang w:eastAsia="en-GB"/>
    </w:rPr>
  </w:style>
  <w:style w:type="paragraph" w:styleId="BalloonText">
    <w:name w:val="Balloon Text"/>
    <w:basedOn w:val="Normal"/>
    <w:link w:val="BalloonTextChar"/>
    <w:uiPriority w:val="99"/>
    <w:semiHidden/>
    <w:unhideWhenUsed/>
    <w:rsid w:val="00EB02B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2B9"/>
    <w:rPr>
      <w:rFonts w:ascii="Tahoma" w:eastAsia="Arial" w:hAnsi="Tahoma" w:cs="Tahoma"/>
      <w:color w:val="000000"/>
      <w:sz w:val="16"/>
      <w:szCs w:val="16"/>
      <w:lang w:eastAsia="en-GB"/>
    </w:rPr>
  </w:style>
  <w:style w:type="paragraph" w:styleId="Header">
    <w:name w:val="header"/>
    <w:basedOn w:val="Normal"/>
    <w:link w:val="HeaderChar"/>
    <w:uiPriority w:val="99"/>
    <w:unhideWhenUsed/>
    <w:rsid w:val="00573869"/>
    <w:pPr>
      <w:tabs>
        <w:tab w:val="center" w:pos="4513"/>
        <w:tab w:val="right" w:pos="9026"/>
      </w:tabs>
      <w:spacing w:line="240" w:lineRule="auto"/>
    </w:pPr>
  </w:style>
  <w:style w:type="character" w:customStyle="1" w:styleId="HeaderChar">
    <w:name w:val="Header Char"/>
    <w:basedOn w:val="DefaultParagraphFont"/>
    <w:link w:val="Header"/>
    <w:uiPriority w:val="99"/>
    <w:rsid w:val="00573869"/>
    <w:rPr>
      <w:rFonts w:eastAsia="Arial"/>
      <w:color w:val="000000"/>
      <w:sz w:val="22"/>
      <w:szCs w:val="22"/>
      <w:lang w:eastAsia="en-GB"/>
    </w:rPr>
  </w:style>
  <w:style w:type="paragraph" w:styleId="Footer">
    <w:name w:val="footer"/>
    <w:basedOn w:val="Normal"/>
    <w:link w:val="FooterChar"/>
    <w:uiPriority w:val="99"/>
    <w:unhideWhenUsed/>
    <w:rsid w:val="00573869"/>
    <w:pPr>
      <w:tabs>
        <w:tab w:val="center" w:pos="4513"/>
        <w:tab w:val="right" w:pos="9026"/>
      </w:tabs>
      <w:spacing w:line="240" w:lineRule="auto"/>
    </w:pPr>
  </w:style>
  <w:style w:type="character" w:customStyle="1" w:styleId="FooterChar">
    <w:name w:val="Footer Char"/>
    <w:basedOn w:val="DefaultParagraphFont"/>
    <w:link w:val="Footer"/>
    <w:uiPriority w:val="99"/>
    <w:rsid w:val="00573869"/>
    <w:rPr>
      <w:rFonts w:eastAsia="Arial"/>
      <w:color w:val="000000"/>
      <w:sz w:val="22"/>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77805"/>
    <w:pPr>
      <w:spacing w:after="0"/>
    </w:pPr>
    <w:rPr>
      <w:rFonts w:eastAsia="Arial"/>
      <w:color w:val="000000"/>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805"/>
    <w:pPr>
      <w:ind w:left="720"/>
      <w:contextualSpacing/>
    </w:pPr>
  </w:style>
  <w:style w:type="paragraph" w:styleId="FootnoteText">
    <w:name w:val="footnote text"/>
    <w:basedOn w:val="Normal"/>
    <w:link w:val="FootnoteTextChar"/>
    <w:uiPriority w:val="99"/>
    <w:semiHidden/>
    <w:unhideWhenUsed/>
    <w:rsid w:val="003E701F"/>
    <w:pPr>
      <w:spacing w:line="240" w:lineRule="auto"/>
    </w:pPr>
    <w:rPr>
      <w:sz w:val="20"/>
      <w:szCs w:val="20"/>
    </w:rPr>
  </w:style>
  <w:style w:type="character" w:customStyle="1" w:styleId="FootnoteTextChar">
    <w:name w:val="Footnote Text Char"/>
    <w:basedOn w:val="DefaultParagraphFont"/>
    <w:link w:val="FootnoteText"/>
    <w:uiPriority w:val="99"/>
    <w:semiHidden/>
    <w:rsid w:val="003E701F"/>
    <w:rPr>
      <w:rFonts w:eastAsia="Arial"/>
      <w:color w:val="000000"/>
      <w:sz w:val="20"/>
      <w:szCs w:val="20"/>
      <w:lang w:eastAsia="en-GB"/>
    </w:rPr>
  </w:style>
  <w:style w:type="character" w:styleId="FootnoteReference">
    <w:name w:val="footnote reference"/>
    <w:basedOn w:val="DefaultParagraphFont"/>
    <w:uiPriority w:val="99"/>
    <w:semiHidden/>
    <w:unhideWhenUsed/>
    <w:rsid w:val="003E701F"/>
    <w:rPr>
      <w:vertAlign w:val="superscript"/>
    </w:rPr>
  </w:style>
  <w:style w:type="paragraph" w:customStyle="1" w:styleId="TTableText">
    <w:name w:val="T: Table Text"/>
    <w:basedOn w:val="Normal"/>
    <w:qFormat/>
    <w:rsid w:val="0075243C"/>
    <w:pPr>
      <w:widowControl w:val="0"/>
      <w:suppressAutoHyphens/>
      <w:autoSpaceDE w:val="0"/>
      <w:autoSpaceDN w:val="0"/>
      <w:adjustRightInd w:val="0"/>
      <w:spacing w:after="120" w:line="240" w:lineRule="atLeast"/>
      <w:textAlignment w:val="center"/>
    </w:pPr>
    <w:rPr>
      <w:rFonts w:eastAsiaTheme="minorEastAsia" w:cs="HelveticaNeue"/>
      <w:sz w:val="16"/>
      <w:szCs w:val="20"/>
      <w:lang w:val="en-US" w:eastAsia="en-US" w:bidi="en-US"/>
    </w:rPr>
  </w:style>
  <w:style w:type="character" w:customStyle="1" w:styleId="TTableHeadings">
    <w:name w:val="T: Table Headings"/>
    <w:basedOn w:val="DefaultParagraphFont"/>
    <w:qFormat/>
    <w:rsid w:val="0075243C"/>
    <w:rPr>
      <w:rFonts w:ascii="Arial" w:hAnsi="Arial" w:cs="PalatinoLinotype-Bold"/>
      <w:b/>
      <w:bCs/>
      <w:color w:val="000000"/>
      <w:sz w:val="16"/>
    </w:rPr>
  </w:style>
  <w:style w:type="table" w:customStyle="1" w:styleId="ENGeneralTable">
    <w:name w:val="EN General Table"/>
    <w:basedOn w:val="TableNormal"/>
    <w:uiPriority w:val="99"/>
    <w:qFormat/>
    <w:rsid w:val="0075243C"/>
    <w:pPr>
      <w:spacing w:after="0" w:line="240" w:lineRule="auto"/>
    </w:pPr>
    <w:rPr>
      <w:rFonts w:eastAsiaTheme="minorEastAsia" w:cstheme="minorBidi"/>
      <w:sz w:val="16"/>
      <w:szCs w:val="22"/>
      <w:lang w:val="en-US" w:bidi="en-US"/>
    </w:rPr>
    <w:tblP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Pr>
    <w:tblStylePr w:type="firstRow">
      <w:rPr>
        <w:rFonts w:ascii="Arial" w:hAnsi="Arial"/>
        <w:b/>
        <w:sz w:val="16"/>
      </w:rPr>
    </w:tblStylePr>
  </w:style>
  <w:style w:type="character" w:styleId="CommentReference">
    <w:name w:val="annotation reference"/>
    <w:basedOn w:val="DefaultParagraphFont"/>
    <w:uiPriority w:val="99"/>
    <w:semiHidden/>
    <w:unhideWhenUsed/>
    <w:rsid w:val="00EB02B9"/>
    <w:rPr>
      <w:sz w:val="16"/>
      <w:szCs w:val="16"/>
    </w:rPr>
  </w:style>
  <w:style w:type="paragraph" w:styleId="CommentText">
    <w:name w:val="annotation text"/>
    <w:basedOn w:val="Normal"/>
    <w:link w:val="CommentTextChar"/>
    <w:uiPriority w:val="99"/>
    <w:semiHidden/>
    <w:unhideWhenUsed/>
    <w:rsid w:val="00EB02B9"/>
    <w:pPr>
      <w:spacing w:line="240" w:lineRule="auto"/>
    </w:pPr>
    <w:rPr>
      <w:sz w:val="20"/>
      <w:szCs w:val="20"/>
    </w:rPr>
  </w:style>
  <w:style w:type="character" w:customStyle="1" w:styleId="CommentTextChar">
    <w:name w:val="Comment Text Char"/>
    <w:basedOn w:val="DefaultParagraphFont"/>
    <w:link w:val="CommentText"/>
    <w:uiPriority w:val="99"/>
    <w:semiHidden/>
    <w:rsid w:val="00EB02B9"/>
    <w:rPr>
      <w:rFonts w:eastAsia="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EB02B9"/>
    <w:rPr>
      <w:b/>
      <w:bCs/>
    </w:rPr>
  </w:style>
  <w:style w:type="character" w:customStyle="1" w:styleId="CommentSubjectChar">
    <w:name w:val="Comment Subject Char"/>
    <w:basedOn w:val="CommentTextChar"/>
    <w:link w:val="CommentSubject"/>
    <w:uiPriority w:val="99"/>
    <w:semiHidden/>
    <w:rsid w:val="00EB02B9"/>
    <w:rPr>
      <w:rFonts w:eastAsia="Arial"/>
      <w:b/>
      <w:bCs/>
      <w:color w:val="000000"/>
      <w:sz w:val="20"/>
      <w:szCs w:val="20"/>
      <w:lang w:eastAsia="en-GB"/>
    </w:rPr>
  </w:style>
  <w:style w:type="paragraph" w:styleId="BalloonText">
    <w:name w:val="Balloon Text"/>
    <w:basedOn w:val="Normal"/>
    <w:link w:val="BalloonTextChar"/>
    <w:uiPriority w:val="99"/>
    <w:semiHidden/>
    <w:unhideWhenUsed/>
    <w:rsid w:val="00EB02B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2B9"/>
    <w:rPr>
      <w:rFonts w:ascii="Tahoma" w:eastAsia="Arial" w:hAnsi="Tahoma" w:cs="Tahoma"/>
      <w:color w:val="000000"/>
      <w:sz w:val="16"/>
      <w:szCs w:val="16"/>
      <w:lang w:eastAsia="en-GB"/>
    </w:rPr>
  </w:style>
  <w:style w:type="paragraph" w:styleId="Header">
    <w:name w:val="header"/>
    <w:basedOn w:val="Normal"/>
    <w:link w:val="HeaderChar"/>
    <w:uiPriority w:val="99"/>
    <w:unhideWhenUsed/>
    <w:rsid w:val="00573869"/>
    <w:pPr>
      <w:tabs>
        <w:tab w:val="center" w:pos="4513"/>
        <w:tab w:val="right" w:pos="9026"/>
      </w:tabs>
      <w:spacing w:line="240" w:lineRule="auto"/>
    </w:pPr>
  </w:style>
  <w:style w:type="character" w:customStyle="1" w:styleId="HeaderChar">
    <w:name w:val="Header Char"/>
    <w:basedOn w:val="DefaultParagraphFont"/>
    <w:link w:val="Header"/>
    <w:uiPriority w:val="99"/>
    <w:rsid w:val="00573869"/>
    <w:rPr>
      <w:rFonts w:eastAsia="Arial"/>
      <w:color w:val="000000"/>
      <w:sz w:val="22"/>
      <w:szCs w:val="22"/>
      <w:lang w:eastAsia="en-GB"/>
    </w:rPr>
  </w:style>
  <w:style w:type="paragraph" w:styleId="Footer">
    <w:name w:val="footer"/>
    <w:basedOn w:val="Normal"/>
    <w:link w:val="FooterChar"/>
    <w:uiPriority w:val="99"/>
    <w:unhideWhenUsed/>
    <w:rsid w:val="00573869"/>
    <w:pPr>
      <w:tabs>
        <w:tab w:val="center" w:pos="4513"/>
        <w:tab w:val="right" w:pos="9026"/>
      </w:tabs>
      <w:spacing w:line="240" w:lineRule="auto"/>
    </w:pPr>
  </w:style>
  <w:style w:type="character" w:customStyle="1" w:styleId="FooterChar">
    <w:name w:val="Footer Char"/>
    <w:basedOn w:val="DefaultParagraphFont"/>
    <w:link w:val="Footer"/>
    <w:uiPriority w:val="99"/>
    <w:rsid w:val="00573869"/>
    <w:rPr>
      <w:rFonts w:eastAsia="Arial"/>
      <w:color w:val="000000"/>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7554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9c6981cf-ca77-4d25-a722-9ba9d442762a" ContentTypeId="0x01010020B27A3BB4AD4E469BDEA344273B4F2203" PreviousValue="false"/>
</file>

<file path=customXml/item3.xml><?xml version="1.0" encoding="utf-8"?>
<ct:contentTypeSchema xmlns:ct="http://schemas.microsoft.com/office/2006/metadata/contentType" xmlns:ma="http://schemas.microsoft.com/office/2006/metadata/properties/metaAttributes" ct:_="" ma:_="" ma:contentTypeName="DECC Presentation" ma:contentTypeID="0x01010020B27A3BB4AD4E469BDEA344273B4F2203004E17F0F942D0F14EAE8E5ED594FC9420" ma:contentTypeVersion="11" ma:contentTypeDescription="DECC Microsoft PowerPoint Presentation Content Type" ma:contentTypeScope="" ma:versionID="0810bc973eee7dd22f03d67a196d13db">
  <xsd:schema xmlns:xsd="http://www.w3.org/2001/XMLSchema" xmlns:xs="http://www.w3.org/2001/XMLSchema" xmlns:p="http://schemas.microsoft.com/office/2006/metadata/properties" xmlns:ns1="http://schemas.microsoft.com/sharepoint/v3" xmlns:ns3="f7e53c2a-c5c2-4bbb-ab47-6d506cb60401" targetNamespace="http://schemas.microsoft.com/office/2006/metadata/properties" ma:root="true" ma:fieldsID="0fe34eaa8d1a561e64ac37c64d26e336" ns1:_="" ns3:_="">
    <xsd:import namespace="http://schemas.microsoft.com/sharepoint/v3"/>
    <xsd:import namespace="f7e53c2a-c5c2-4bbb-ab47-6d506cb60401"/>
    <xsd:element name="properties">
      <xsd:complexType>
        <xsd:sequence>
          <xsd:element name="documentManagement">
            <xsd:complexType>
              <xsd:all>
                <xsd:element ref="ns3:_dlc_DocId" minOccurs="0"/>
                <xsd:element ref="ns3:_dlc_DocIdUrl" minOccurs="0"/>
                <xsd:element ref="ns3:_dlc_DocIdPersistId" minOccurs="0"/>
                <xsd:element ref="ns3:Document_x0020_Security_x0020_Classification" minOccurs="0"/>
                <xsd:element ref="ns3:Folder_x0020_ID" minOccurs="0"/>
                <xsd:element ref="ns3:Case_x0020_Reference_x0020_Number" minOccurs="0"/>
                <xsd:element ref="ns3:Request_x0020_Type" minOccurs="0"/>
                <xsd:element ref="ns3:MP" minOccurs="0"/>
                <xsd:element ref="ns3:Minister" minOccurs="0"/>
                <xsd:element ref="ns3:Linked_x0020_Documents" minOccurs="0"/>
                <xsd:element ref="ns3:Location_x0020_Of_x0020_Original_x0020_Source_x0020_Document" minOccurs="0"/>
                <xsd:element ref="ns3:Document_x0020_Notes" minOccurs="0"/>
                <xsd:element ref="ns3:Folder_x0020_Number"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2" nillable="true" ma:displayName="Exempt from Policy"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e53c2a-c5c2-4bbb-ab47-6d506cb6040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ocument_x0020_Security_x0020_Classification" ma:index="12" nillable="true" ma:displayName="Document Security Classification" ma:default="Official" ma:description="Please select the security classification." ma:format="Dropdown" ma:internalName="Document_x0020_Security_x0020_Classification" ma:readOnly="false">
      <xsd:simpleType>
        <xsd:restriction base="dms:Choice">
          <xsd:enumeration value="Official"/>
          <xsd:enumeration value="Official Sensitive"/>
          <xsd:enumeration value="Official Sensitive Personal"/>
          <xsd:enumeration value="Official Sensitive Commercial"/>
        </xsd:restriction>
      </xsd:simpleType>
    </xsd:element>
    <xsd:element name="Folder_x0020_ID" ma:index="13" nillable="true" ma:displayName="Folder ID" ma:internalName="Folder_x0020_ID" ma:readOnly="false">
      <xsd:simpleType>
        <xsd:restriction base="dms:Text">
          <xsd:maxLength value="255"/>
        </xsd:restriction>
      </xsd:simpleType>
    </xsd:element>
    <xsd:element name="Case_x0020_Reference_x0020_Number" ma:index="14" nillable="true" ma:displayName="Case Reference Number" ma:internalName="Case_x0020_Reference_x0020_Number" ma:readOnly="false">
      <xsd:simpleType>
        <xsd:restriction base="dms:Text">
          <xsd:maxLength value="255"/>
        </xsd:restriction>
      </xsd:simpleType>
    </xsd:element>
    <xsd:element name="Request_x0020_Type" ma:index="15" nillable="true" ma:displayName="Request Type" ma:description="Please select the request type." ma:format="Dropdown" ma:internalName="Request_x0020_Type" ma:readOnly="false">
      <xsd:simpleType>
        <xsd:restriction base="dms:Choice">
          <xsd:enumeration value="FOI"/>
          <xsd:enumeration value="EIR"/>
          <xsd:enumeration value="PQ"/>
          <xsd:enumeration value="MC"/>
        </xsd:restriction>
      </xsd:simpleType>
    </xsd:element>
    <xsd:element name="MP" ma:index="16" nillable="true" ma:displayName="MP" ma:description="Please enter the MP." ma:internalName="MP" ma:readOnly="false">
      <xsd:simpleType>
        <xsd:restriction base="dms:Text">
          <xsd:maxLength value="255"/>
        </xsd:restriction>
      </xsd:simpleType>
    </xsd:element>
    <xsd:element name="Minister" ma:index="17" nillable="true" ma:displayName="Minister" ma:description="Minister's Name" ma:internalName="Minister" ma:readOnly="false">
      <xsd:simpleType>
        <xsd:restriction base="dms:Text">
          <xsd:maxLength value="255"/>
        </xsd:restriction>
      </xsd:simpleType>
    </xsd:element>
    <xsd:element name="Linked_x0020_Documents" ma:index="18" nillable="true" ma:displayName="Linked Documents" ma:description="Documents linked to this item" ma:internalName="Linked_x0020_Documents" ma:readOnly="false">
      <xsd:simpleType>
        <xsd:restriction base="dms:Note"/>
      </xsd:simpleType>
    </xsd:element>
    <xsd:element name="Location_x0020_Of_x0020_Original_x0020_Source_x0020_Document" ma:index="19" nillable="true" ma:displayName="Location Of Original Source Document" ma:description="Please enter the location of the original source document." ma:internalName="Location_x0020_Of_x0020_Original_x0020_Source_x0020_Document" ma:readOnly="false">
      <xsd:simpleType>
        <xsd:restriction base="dms:Note">
          <xsd:maxLength value="255"/>
        </xsd:restriction>
      </xsd:simpleType>
    </xsd:element>
    <xsd:element name="Document_x0020_Notes" ma:index="20" nillable="true" ma:displayName="Document Notes" ma:description="Notes field for the item" ma:internalName="Document_x0020_Notes" ma:readOnly="false">
      <xsd:simpleType>
        <xsd:restriction base="dms:Note"/>
      </xsd:simpleType>
    </xsd:element>
    <xsd:element name="Folder_x0020_Number" ma:index="21" nillable="true" ma:displayName="Folder Number" ma:internalName="Folder_x0020_Number"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1"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_x0020_Notes xmlns="f7e53c2a-c5c2-4bbb-ab47-6d506cb60401" xsi:nil="true"/>
    <Case_x0020_Reference_x0020_Number xmlns="f7e53c2a-c5c2-4bbb-ab47-6d506cb60401" xsi:nil="true"/>
    <Document_x0020_Security_x0020_Classification xmlns="f7e53c2a-c5c2-4bbb-ab47-6d506cb60401">Official</Document_x0020_Security_x0020_Classification>
    <Minister xmlns="f7e53c2a-c5c2-4bbb-ab47-6d506cb60401" xsi:nil="true"/>
    <Folder_x0020_Number xmlns="f7e53c2a-c5c2-4bbb-ab47-6d506cb60401" xsi:nil="true"/>
    <Folder_x0020_ID xmlns="f7e53c2a-c5c2-4bbb-ab47-6d506cb60401" xsi:nil="true"/>
    <Location_x0020_Of_x0020_Original_x0020_Source_x0020_Document xmlns="f7e53c2a-c5c2-4bbb-ab47-6d506cb60401" xsi:nil="true"/>
    <MP xmlns="f7e53c2a-c5c2-4bbb-ab47-6d506cb60401" xsi:nil="true"/>
    <Request_x0020_Type xmlns="f7e53c2a-c5c2-4bbb-ab47-6d506cb60401" xsi:nil="true"/>
    <Linked_x0020_Documents xmlns="f7e53c2a-c5c2-4bbb-ab47-6d506cb60401" xsi:nil="true"/>
    <_dlc_Exempt xmlns="http://schemas.microsoft.com/sharepoint/v3" xsi:nil="true"/>
    <_dlc_DocId xmlns="f7e53c2a-c5c2-4bbb-ab47-6d506cb60401">DECCMIQ-184-2941</_dlc_DocId>
    <_dlc_DocIdUrl xmlns="f7e53c2a-c5c2-4bbb-ab47-6d506cb60401">
      <Url>https://edrms.decc.gsi.gov.uk/mi/EMC/EB2/_layouts/15/DocIdRedir.aspx?ID=DECCMIQ-184-2941</Url>
      <Description>DECCMIQ-184-2941</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BACC8-79AC-4AE1-B601-C39B1A73C071}">
  <ds:schemaRefs>
    <ds:schemaRef ds:uri="http://schemas.microsoft.com/sharepoint/events"/>
  </ds:schemaRefs>
</ds:datastoreItem>
</file>

<file path=customXml/itemProps2.xml><?xml version="1.0" encoding="utf-8"?>
<ds:datastoreItem xmlns:ds="http://schemas.openxmlformats.org/officeDocument/2006/customXml" ds:itemID="{124FEE49-655E-4769-8501-FCFC1C37970C}">
  <ds:schemaRefs>
    <ds:schemaRef ds:uri="Microsoft.SharePoint.Taxonomy.ContentTypeSync"/>
  </ds:schemaRefs>
</ds:datastoreItem>
</file>

<file path=customXml/itemProps3.xml><?xml version="1.0" encoding="utf-8"?>
<ds:datastoreItem xmlns:ds="http://schemas.openxmlformats.org/officeDocument/2006/customXml" ds:itemID="{FBA2538D-A72E-4A86-8228-497F3F4266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e53c2a-c5c2-4bbb-ab47-6d506cb604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209410-4DAC-47F0-AF1B-8E82D2AA41A4}">
  <ds:schemaRefs>
    <ds:schemaRef ds:uri="http://schemas.microsoft.com/sharepoint/v3/contenttype/forms"/>
  </ds:schemaRefs>
</ds:datastoreItem>
</file>

<file path=customXml/itemProps5.xml><?xml version="1.0" encoding="utf-8"?>
<ds:datastoreItem xmlns:ds="http://schemas.openxmlformats.org/officeDocument/2006/customXml" ds:itemID="{0232BE49-B038-4869-877F-A1EBECB05890}">
  <ds:schemaRefs>
    <ds:schemaRef ds:uri="http://schemas.microsoft.com/office/2006/documentManagement/types"/>
    <ds:schemaRef ds:uri="http://purl.org/dc/dcmitype/"/>
    <ds:schemaRef ds:uri="http://www.w3.org/XML/1998/namespace"/>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f7e53c2a-c5c2-4bbb-ab47-6d506cb60401"/>
    <ds:schemaRef ds:uri="http://schemas.microsoft.com/sharepoint/v3"/>
    <ds:schemaRef ds:uri="http://purl.org/dc/terms/"/>
  </ds:schemaRefs>
</ds:datastoreItem>
</file>

<file path=customXml/itemProps6.xml><?xml version="1.0" encoding="utf-8"?>
<ds:datastoreItem xmlns:ds="http://schemas.openxmlformats.org/officeDocument/2006/customXml" ds:itemID="{6494B31C-9E6C-4F3D-B9EC-E44EF8B62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DECC</Company>
  <LinksUpToDate>false</LinksUpToDate>
  <CharactersWithSpaces>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Mackenzie Jessica (Private Office)</dc:creator>
  <cp:lastModifiedBy>Dickason Julie (Heat &amp; Industry)</cp:lastModifiedBy>
  <cp:revision>4</cp:revision>
  <dcterms:created xsi:type="dcterms:W3CDTF">2016-04-18T08:28:00Z</dcterms:created>
  <dcterms:modified xsi:type="dcterms:W3CDTF">2016-04-18T10:19:00Z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0x01010020B27A3BB4AD4E469BDEA344273B4F2203004E17F0F942D0F14EAE8E5ED594FC9420</vt:lpwstr>
  </property>
  <property fmtid="{D5CDD505-2E9C-101B-9397-08002B2CF9AE}" pid="3" name="_dlc_DocIdItemGuid">
    <vt:lpwstr>1d2d9d13-a844-436a-970a-d1bb512724b0</vt:lpwstr>
  </property>
</Properties>
</file>