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D0" w:rsidRPr="008D78D9" w:rsidRDefault="00C56DD0" w:rsidP="005A5354">
      <w:pPr>
        <w:ind w:left="-142"/>
      </w:pPr>
      <w:bookmarkStart w:id="0" w:name="_GoBack"/>
      <w:bookmarkEnd w:id="0"/>
    </w:p>
    <w:p w:rsidR="00C56DD0" w:rsidRPr="008D78D9" w:rsidRDefault="00C56DD0" w:rsidP="005A5354">
      <w:pPr>
        <w:ind w:left="-142"/>
      </w:pPr>
    </w:p>
    <w:p w:rsidR="00C56DD0" w:rsidRPr="008D78D9" w:rsidRDefault="00C56DD0" w:rsidP="005A5354">
      <w:pPr>
        <w:ind w:left="-142"/>
      </w:pPr>
    </w:p>
    <w:p w:rsidR="00C56DD0" w:rsidRPr="008D78D9" w:rsidRDefault="00C56DD0" w:rsidP="005A5354">
      <w:pPr>
        <w:ind w:left="-142"/>
      </w:pPr>
    </w:p>
    <w:tbl>
      <w:tblPr>
        <w:tblW w:w="4536" w:type="dxa"/>
        <w:tblInd w:w="5273" w:type="dxa"/>
        <w:tblBorders>
          <w:insideH w:val="single" w:sz="8" w:space="0" w:color="FFFFFF"/>
          <w:insideV w:val="single" w:sz="12" w:space="0" w:color="FFFFFF"/>
        </w:tblBorders>
        <w:tblCellMar>
          <w:left w:w="170" w:type="dxa"/>
          <w:right w:w="0" w:type="dxa"/>
        </w:tblCellMar>
        <w:tblLook w:val="01E0" w:firstRow="1" w:lastRow="1" w:firstColumn="1" w:lastColumn="1" w:noHBand="0" w:noVBand="0"/>
      </w:tblPr>
      <w:tblGrid>
        <w:gridCol w:w="4536"/>
      </w:tblGrid>
      <w:tr w:rsidR="00C56DD0" w:rsidRPr="008D78D9" w:rsidTr="00E949FD">
        <w:trPr>
          <w:trHeight w:hRule="exact" w:val="1134"/>
          <w:tblHeader/>
        </w:trPr>
        <w:tc>
          <w:tcPr>
            <w:tcW w:w="4536" w:type="dxa"/>
            <w:tcBorders>
              <w:top w:val="nil"/>
            </w:tcBorders>
            <w:shd w:val="clear" w:color="auto" w:fill="21488A"/>
            <w:vAlign w:val="center"/>
          </w:tcPr>
          <w:p w:rsidR="00C56DD0" w:rsidRPr="008D78D9" w:rsidRDefault="00F90485" w:rsidP="00E11257">
            <w:pPr>
              <w:pStyle w:val="BISTitle"/>
              <w:spacing w:after="0"/>
              <w:rPr>
                <w:lang w:val="en-GB"/>
              </w:rPr>
            </w:pPr>
            <w:bookmarkStart w:id="1" w:name="_Toc412731184"/>
            <w:r>
              <w:rPr>
                <w:lang w:val="en-GB"/>
              </w:rPr>
              <w:t>Nullification of Ban on Invoice Assignment Clauses</w:t>
            </w:r>
            <w:bookmarkEnd w:id="1"/>
          </w:p>
        </w:tc>
      </w:tr>
      <w:tr w:rsidR="00C56DD0" w:rsidRPr="008D78D9" w:rsidTr="00A148A4">
        <w:trPr>
          <w:trHeight w:val="1191"/>
        </w:trPr>
        <w:tc>
          <w:tcPr>
            <w:tcW w:w="4536" w:type="dxa"/>
            <w:shd w:val="clear" w:color="auto" w:fill="000000"/>
            <w:tcMar>
              <w:left w:w="284" w:type="dxa"/>
              <w:right w:w="170" w:type="dxa"/>
            </w:tcMar>
            <w:vAlign w:val="center"/>
          </w:tcPr>
          <w:p w:rsidR="00C56DD0" w:rsidRPr="008D78D9" w:rsidRDefault="0005286F" w:rsidP="00523821">
            <w:pPr>
              <w:pStyle w:val="Secondarytitle"/>
              <w:rPr>
                <w:rFonts w:cs="Arial"/>
                <w:szCs w:val="28"/>
              </w:rPr>
            </w:pPr>
            <w:r w:rsidRPr="008D78D9">
              <w:rPr>
                <w:rFonts w:cs="Arial"/>
                <w:szCs w:val="28"/>
              </w:rPr>
              <w:t>Summary of responses</w:t>
            </w:r>
          </w:p>
        </w:tc>
      </w:tr>
      <w:tr w:rsidR="00C56DD0" w:rsidRPr="008D78D9" w:rsidTr="00A148A4">
        <w:trPr>
          <w:trHeight w:val="567"/>
        </w:trPr>
        <w:tc>
          <w:tcPr>
            <w:tcW w:w="4536" w:type="dxa"/>
            <w:shd w:val="clear" w:color="auto" w:fill="000000"/>
            <w:tcMar>
              <w:left w:w="284" w:type="dxa"/>
              <w:right w:w="170" w:type="dxa"/>
            </w:tcMar>
            <w:vAlign w:val="center"/>
          </w:tcPr>
          <w:p w:rsidR="00C56DD0" w:rsidRPr="008D78D9" w:rsidRDefault="0005286F" w:rsidP="0005286F">
            <w:pPr>
              <w:pStyle w:val="Supplementarytitle"/>
              <w:rPr>
                <w:rFonts w:cs="Arial"/>
              </w:rPr>
            </w:pPr>
            <w:r w:rsidRPr="008D78D9">
              <w:rPr>
                <w:rFonts w:cs="Arial"/>
              </w:rPr>
              <w:t>March</w:t>
            </w:r>
            <w:r w:rsidR="00C56DD0" w:rsidRPr="008D78D9">
              <w:rPr>
                <w:rFonts w:cs="Arial"/>
              </w:rPr>
              <w:t xml:space="preserve"> 201</w:t>
            </w:r>
            <w:r w:rsidR="0022504C" w:rsidRPr="008D78D9">
              <w:rPr>
                <w:rFonts w:cs="Arial"/>
              </w:rPr>
              <w:t>5</w:t>
            </w:r>
          </w:p>
        </w:tc>
      </w:tr>
    </w:tbl>
    <w:p w:rsidR="00C56DD0" w:rsidRPr="008D78D9" w:rsidRDefault="00C56DD0" w:rsidP="00ED47D3"/>
    <w:p w:rsidR="00C56DD0" w:rsidRPr="008D78D9" w:rsidRDefault="00C56DD0" w:rsidP="0005286F">
      <w:pPr>
        <w:pStyle w:val="BISCovertext"/>
        <w:rPr>
          <w:lang w:val="en-GB"/>
        </w:rPr>
        <w:sectPr w:rsidR="00C56DD0" w:rsidRPr="008D78D9" w:rsidSect="001705EB">
          <w:headerReference w:type="default" r:id="rId8"/>
          <w:footerReference w:type="even" r:id="rId9"/>
          <w:footerReference w:type="default" r:id="rId10"/>
          <w:headerReference w:type="first" r:id="rId11"/>
          <w:pgSz w:w="11906" w:h="16838" w:code="9"/>
          <w:pgMar w:top="1134" w:right="6804" w:bottom="1134" w:left="1134" w:header="720" w:footer="0" w:gutter="0"/>
          <w:cols w:space="720"/>
          <w:titlePg/>
        </w:sectPr>
      </w:pPr>
    </w:p>
    <w:p w:rsidR="00C56DD0" w:rsidRPr="008D78D9" w:rsidRDefault="00C56DD0" w:rsidP="009259CF">
      <w:bookmarkStart w:id="2" w:name="_Toc277773892"/>
    </w:p>
    <w:p w:rsidR="00C56DD0" w:rsidRPr="008D78D9" w:rsidRDefault="00C56DD0" w:rsidP="009259CF"/>
    <w:p w:rsidR="0005286F" w:rsidRPr="008D78D9" w:rsidRDefault="00C56DD0" w:rsidP="0005286F">
      <w:bookmarkStart w:id="3" w:name="OLE_LINK1"/>
      <w:r w:rsidRPr="008D78D9">
        <w:br w:type="page"/>
      </w:r>
      <w:bookmarkEnd w:id="3"/>
    </w:p>
    <w:p w:rsidR="00C56DD0" w:rsidRPr="008D78D9" w:rsidRDefault="00C56DD0" w:rsidP="009259CF">
      <w:pPr>
        <w:pStyle w:val="Heading1"/>
      </w:pPr>
      <w:bookmarkStart w:id="4" w:name="_Toc411935769"/>
      <w:bookmarkStart w:id="5" w:name="_Toc412731185"/>
      <w:r w:rsidRPr="008D78D9">
        <w:lastRenderedPageBreak/>
        <w:t>Contents</w:t>
      </w:r>
      <w:bookmarkEnd w:id="4"/>
      <w:bookmarkEnd w:id="5"/>
    </w:p>
    <w:p w:rsidR="006C71A8" w:rsidRDefault="00C56DD0">
      <w:pPr>
        <w:pStyle w:val="TOC1"/>
        <w:tabs>
          <w:tab w:val="right" w:leader="dot" w:pos="9628"/>
        </w:tabs>
        <w:rPr>
          <w:rFonts w:asciiTheme="minorHAnsi" w:eastAsiaTheme="minorEastAsia" w:hAnsiTheme="minorHAnsi" w:cstheme="minorBidi"/>
          <w:b w:val="0"/>
          <w:noProof/>
          <w:szCs w:val="22"/>
          <w:lang w:eastAsia="en-GB"/>
        </w:rPr>
      </w:pPr>
      <w:r w:rsidRPr="008D78D9">
        <w:fldChar w:fldCharType="begin"/>
      </w:r>
      <w:r w:rsidRPr="008D78D9">
        <w:instrText xml:space="preserve"> TOC \o "2-3" \h \z \t "Heading 1,1,BIS Title,1,BIS Cover text,1,BIS Inside bullets,1,Zero Lead,1" </w:instrText>
      </w:r>
      <w:r w:rsidRPr="008D78D9">
        <w:fldChar w:fldCharType="separate"/>
      </w:r>
      <w:hyperlink w:anchor="_Toc412731184" w:history="1">
        <w:r w:rsidR="006C71A8" w:rsidRPr="00607AC7">
          <w:rPr>
            <w:rStyle w:val="Hyperlink"/>
            <w:noProof/>
          </w:rPr>
          <w:t>Nullification of Ban on Invoice Assignment Clauses</w:t>
        </w:r>
        <w:r w:rsidR="006C71A8">
          <w:rPr>
            <w:noProof/>
            <w:webHidden/>
          </w:rPr>
          <w:tab/>
        </w:r>
        <w:r w:rsidR="006C71A8">
          <w:rPr>
            <w:noProof/>
            <w:webHidden/>
          </w:rPr>
          <w:fldChar w:fldCharType="begin"/>
        </w:r>
        <w:r w:rsidR="006C71A8">
          <w:rPr>
            <w:noProof/>
            <w:webHidden/>
          </w:rPr>
          <w:instrText xml:space="preserve"> PAGEREF _Toc412731184 \h </w:instrText>
        </w:r>
        <w:r w:rsidR="006C71A8">
          <w:rPr>
            <w:noProof/>
            <w:webHidden/>
          </w:rPr>
        </w:r>
        <w:r w:rsidR="006C71A8">
          <w:rPr>
            <w:noProof/>
            <w:webHidden/>
          </w:rPr>
          <w:fldChar w:fldCharType="separate"/>
        </w:r>
        <w:r w:rsidR="006C71A8">
          <w:rPr>
            <w:noProof/>
            <w:webHidden/>
          </w:rPr>
          <w:t>1</w:t>
        </w:r>
        <w:r w:rsidR="006C71A8">
          <w:rPr>
            <w:noProof/>
            <w:webHidden/>
          </w:rPr>
          <w:fldChar w:fldCharType="end"/>
        </w:r>
      </w:hyperlink>
    </w:p>
    <w:p w:rsidR="006C71A8" w:rsidRDefault="00DA46C0">
      <w:pPr>
        <w:pStyle w:val="TOC1"/>
        <w:tabs>
          <w:tab w:val="right" w:leader="dot" w:pos="9628"/>
        </w:tabs>
        <w:rPr>
          <w:rFonts w:asciiTheme="minorHAnsi" w:eastAsiaTheme="minorEastAsia" w:hAnsiTheme="minorHAnsi" w:cstheme="minorBidi"/>
          <w:b w:val="0"/>
          <w:noProof/>
          <w:szCs w:val="22"/>
          <w:lang w:eastAsia="en-GB"/>
        </w:rPr>
      </w:pPr>
      <w:hyperlink w:anchor="_Toc412731185" w:history="1">
        <w:r w:rsidR="006C71A8" w:rsidRPr="00607AC7">
          <w:rPr>
            <w:rStyle w:val="Hyperlink"/>
            <w:noProof/>
          </w:rPr>
          <w:t>Contents</w:t>
        </w:r>
        <w:r w:rsidR="006C71A8">
          <w:rPr>
            <w:noProof/>
            <w:webHidden/>
          </w:rPr>
          <w:tab/>
        </w:r>
        <w:r w:rsidR="006C71A8">
          <w:rPr>
            <w:noProof/>
            <w:webHidden/>
          </w:rPr>
          <w:fldChar w:fldCharType="begin"/>
        </w:r>
        <w:r w:rsidR="006C71A8">
          <w:rPr>
            <w:noProof/>
            <w:webHidden/>
          </w:rPr>
          <w:instrText xml:space="preserve"> PAGEREF _Toc412731185 \h </w:instrText>
        </w:r>
        <w:r w:rsidR="006C71A8">
          <w:rPr>
            <w:noProof/>
            <w:webHidden/>
          </w:rPr>
        </w:r>
        <w:r w:rsidR="006C71A8">
          <w:rPr>
            <w:noProof/>
            <w:webHidden/>
          </w:rPr>
          <w:fldChar w:fldCharType="separate"/>
        </w:r>
        <w:r w:rsidR="006C71A8">
          <w:rPr>
            <w:noProof/>
            <w:webHidden/>
          </w:rPr>
          <w:t>2</w:t>
        </w:r>
        <w:r w:rsidR="006C71A8">
          <w:rPr>
            <w:noProof/>
            <w:webHidden/>
          </w:rPr>
          <w:fldChar w:fldCharType="end"/>
        </w:r>
      </w:hyperlink>
    </w:p>
    <w:p w:rsidR="006C71A8" w:rsidRDefault="00DA46C0">
      <w:pPr>
        <w:pStyle w:val="TOC1"/>
        <w:tabs>
          <w:tab w:val="right" w:leader="dot" w:pos="9628"/>
        </w:tabs>
        <w:rPr>
          <w:rFonts w:asciiTheme="minorHAnsi" w:eastAsiaTheme="minorEastAsia" w:hAnsiTheme="minorHAnsi" w:cstheme="minorBidi"/>
          <w:b w:val="0"/>
          <w:noProof/>
          <w:szCs w:val="22"/>
          <w:lang w:eastAsia="en-GB"/>
        </w:rPr>
      </w:pPr>
      <w:hyperlink w:anchor="_Toc412731186" w:history="1">
        <w:r w:rsidR="006C71A8" w:rsidRPr="00607AC7">
          <w:rPr>
            <w:rStyle w:val="Hyperlink"/>
            <w:noProof/>
          </w:rPr>
          <w:t>Nullification of Ban on Invoice Assignment:  summary of responses</w:t>
        </w:r>
        <w:r w:rsidR="006C71A8">
          <w:rPr>
            <w:noProof/>
            <w:webHidden/>
          </w:rPr>
          <w:tab/>
        </w:r>
        <w:r w:rsidR="006C71A8">
          <w:rPr>
            <w:noProof/>
            <w:webHidden/>
          </w:rPr>
          <w:fldChar w:fldCharType="begin"/>
        </w:r>
        <w:r w:rsidR="006C71A8">
          <w:rPr>
            <w:noProof/>
            <w:webHidden/>
          </w:rPr>
          <w:instrText xml:space="preserve"> PAGEREF _Toc412731186 \h </w:instrText>
        </w:r>
        <w:r w:rsidR="006C71A8">
          <w:rPr>
            <w:noProof/>
            <w:webHidden/>
          </w:rPr>
        </w:r>
        <w:r w:rsidR="006C71A8">
          <w:rPr>
            <w:noProof/>
            <w:webHidden/>
          </w:rPr>
          <w:fldChar w:fldCharType="separate"/>
        </w:r>
        <w:r w:rsidR="006C71A8">
          <w:rPr>
            <w:noProof/>
            <w:webHidden/>
          </w:rPr>
          <w:t>3</w:t>
        </w:r>
        <w:r w:rsidR="006C71A8">
          <w:rPr>
            <w:noProof/>
            <w:webHidden/>
          </w:rPr>
          <w:fldChar w:fldCharType="end"/>
        </w:r>
      </w:hyperlink>
    </w:p>
    <w:p w:rsidR="006C71A8" w:rsidRDefault="00DA46C0">
      <w:pPr>
        <w:pStyle w:val="TOC2"/>
        <w:tabs>
          <w:tab w:val="right" w:leader="dot" w:pos="9628"/>
        </w:tabs>
        <w:rPr>
          <w:rFonts w:asciiTheme="minorHAnsi" w:eastAsiaTheme="minorEastAsia" w:hAnsiTheme="minorHAnsi" w:cstheme="minorBidi"/>
          <w:noProof/>
          <w:szCs w:val="22"/>
          <w:lang w:eastAsia="en-GB"/>
        </w:rPr>
      </w:pPr>
      <w:hyperlink w:anchor="_Toc412731187" w:history="1">
        <w:r w:rsidR="006C71A8" w:rsidRPr="00607AC7">
          <w:rPr>
            <w:rStyle w:val="Hyperlink"/>
            <w:noProof/>
          </w:rPr>
          <w:t>Introduction</w:t>
        </w:r>
        <w:r w:rsidR="006C71A8">
          <w:rPr>
            <w:noProof/>
            <w:webHidden/>
          </w:rPr>
          <w:tab/>
        </w:r>
        <w:r w:rsidR="006C71A8">
          <w:rPr>
            <w:noProof/>
            <w:webHidden/>
          </w:rPr>
          <w:fldChar w:fldCharType="begin"/>
        </w:r>
        <w:r w:rsidR="006C71A8">
          <w:rPr>
            <w:noProof/>
            <w:webHidden/>
          </w:rPr>
          <w:instrText xml:space="preserve"> PAGEREF _Toc412731187 \h </w:instrText>
        </w:r>
        <w:r w:rsidR="006C71A8">
          <w:rPr>
            <w:noProof/>
            <w:webHidden/>
          </w:rPr>
        </w:r>
        <w:r w:rsidR="006C71A8">
          <w:rPr>
            <w:noProof/>
            <w:webHidden/>
          </w:rPr>
          <w:fldChar w:fldCharType="separate"/>
        </w:r>
        <w:r w:rsidR="006C71A8">
          <w:rPr>
            <w:noProof/>
            <w:webHidden/>
          </w:rPr>
          <w:t>3</w:t>
        </w:r>
        <w:r w:rsidR="006C71A8">
          <w:rPr>
            <w:noProof/>
            <w:webHidden/>
          </w:rPr>
          <w:fldChar w:fldCharType="end"/>
        </w:r>
      </w:hyperlink>
    </w:p>
    <w:p w:rsidR="006C71A8" w:rsidRDefault="006C71A8">
      <w:pPr>
        <w:pStyle w:val="TOC2"/>
        <w:tabs>
          <w:tab w:val="right" w:leader="dot" w:pos="9628"/>
        </w:tabs>
        <w:rPr>
          <w:rFonts w:asciiTheme="minorHAnsi" w:eastAsiaTheme="minorEastAsia" w:hAnsiTheme="minorHAnsi" w:cstheme="minorBidi"/>
          <w:noProof/>
          <w:szCs w:val="22"/>
          <w:lang w:eastAsia="en-GB"/>
        </w:rPr>
      </w:pPr>
      <w:hyperlink w:anchor="_Toc412731189" w:history="1">
        <w:r w:rsidRPr="00607AC7">
          <w:rPr>
            <w:rStyle w:val="Hyperlink"/>
            <w:noProof/>
          </w:rPr>
          <w:t>Responses received</w:t>
        </w:r>
        <w:r>
          <w:rPr>
            <w:noProof/>
            <w:webHidden/>
          </w:rPr>
          <w:tab/>
        </w:r>
        <w:r>
          <w:rPr>
            <w:noProof/>
            <w:webHidden/>
          </w:rPr>
          <w:fldChar w:fldCharType="begin"/>
        </w:r>
        <w:r>
          <w:rPr>
            <w:noProof/>
            <w:webHidden/>
          </w:rPr>
          <w:instrText xml:space="preserve"> PAGEREF _Toc412731189 \h </w:instrText>
        </w:r>
        <w:r>
          <w:rPr>
            <w:noProof/>
            <w:webHidden/>
          </w:rPr>
        </w:r>
        <w:r>
          <w:rPr>
            <w:noProof/>
            <w:webHidden/>
          </w:rPr>
          <w:fldChar w:fldCharType="separate"/>
        </w:r>
        <w:r>
          <w:rPr>
            <w:noProof/>
            <w:webHidden/>
          </w:rPr>
          <w:t>4</w:t>
        </w:r>
        <w:r>
          <w:rPr>
            <w:noProof/>
            <w:webHidden/>
          </w:rPr>
          <w:fldChar w:fldCharType="end"/>
        </w:r>
      </w:hyperlink>
    </w:p>
    <w:p w:rsidR="006C71A8" w:rsidRDefault="00DA46C0">
      <w:pPr>
        <w:pStyle w:val="TOC2"/>
        <w:tabs>
          <w:tab w:val="right" w:leader="dot" w:pos="9628"/>
        </w:tabs>
        <w:rPr>
          <w:rFonts w:asciiTheme="minorHAnsi" w:eastAsiaTheme="minorEastAsia" w:hAnsiTheme="minorHAnsi" w:cstheme="minorBidi"/>
          <w:noProof/>
          <w:szCs w:val="22"/>
          <w:lang w:eastAsia="en-GB"/>
        </w:rPr>
      </w:pPr>
      <w:hyperlink w:anchor="_Toc412731190" w:history="1">
        <w:r w:rsidR="006C71A8" w:rsidRPr="00607AC7">
          <w:rPr>
            <w:rStyle w:val="Hyperlink"/>
            <w:noProof/>
          </w:rPr>
          <w:t>Summary of responses</w:t>
        </w:r>
        <w:r w:rsidR="006C71A8">
          <w:rPr>
            <w:noProof/>
            <w:webHidden/>
          </w:rPr>
          <w:tab/>
        </w:r>
        <w:r w:rsidR="006C71A8">
          <w:rPr>
            <w:noProof/>
            <w:webHidden/>
          </w:rPr>
          <w:fldChar w:fldCharType="begin"/>
        </w:r>
        <w:r w:rsidR="006C71A8">
          <w:rPr>
            <w:noProof/>
            <w:webHidden/>
          </w:rPr>
          <w:instrText xml:space="preserve"> PAGEREF _Toc412731190 \h </w:instrText>
        </w:r>
        <w:r w:rsidR="006C71A8">
          <w:rPr>
            <w:noProof/>
            <w:webHidden/>
          </w:rPr>
        </w:r>
        <w:r w:rsidR="006C71A8">
          <w:rPr>
            <w:noProof/>
            <w:webHidden/>
          </w:rPr>
          <w:fldChar w:fldCharType="separate"/>
        </w:r>
        <w:r w:rsidR="006C71A8">
          <w:rPr>
            <w:noProof/>
            <w:webHidden/>
          </w:rPr>
          <w:t>4</w:t>
        </w:r>
        <w:r w:rsidR="006C71A8">
          <w:rPr>
            <w:noProof/>
            <w:webHidden/>
          </w:rPr>
          <w:fldChar w:fldCharType="end"/>
        </w:r>
      </w:hyperlink>
    </w:p>
    <w:p w:rsidR="006C71A8" w:rsidRDefault="00DA46C0">
      <w:pPr>
        <w:pStyle w:val="TOC3"/>
        <w:tabs>
          <w:tab w:val="right" w:leader="dot" w:pos="9628"/>
        </w:tabs>
        <w:rPr>
          <w:rFonts w:asciiTheme="minorHAnsi" w:eastAsiaTheme="minorEastAsia" w:hAnsiTheme="minorHAnsi" w:cstheme="minorBidi"/>
          <w:noProof/>
          <w:szCs w:val="22"/>
          <w:lang w:eastAsia="en-GB"/>
        </w:rPr>
      </w:pPr>
      <w:hyperlink w:anchor="_Toc412731191" w:history="1">
        <w:r w:rsidR="006C71A8" w:rsidRPr="00607AC7">
          <w:rPr>
            <w:rStyle w:val="Hyperlink"/>
            <w:noProof/>
          </w:rPr>
          <w:t>Principles of the Proposal (questions 2-6)</w:t>
        </w:r>
        <w:r w:rsidR="006C71A8">
          <w:rPr>
            <w:noProof/>
            <w:webHidden/>
          </w:rPr>
          <w:tab/>
        </w:r>
        <w:r w:rsidR="006C71A8">
          <w:rPr>
            <w:noProof/>
            <w:webHidden/>
          </w:rPr>
          <w:fldChar w:fldCharType="begin"/>
        </w:r>
        <w:r w:rsidR="006C71A8">
          <w:rPr>
            <w:noProof/>
            <w:webHidden/>
          </w:rPr>
          <w:instrText xml:space="preserve"> PAGEREF _Toc412731191 \h </w:instrText>
        </w:r>
        <w:r w:rsidR="006C71A8">
          <w:rPr>
            <w:noProof/>
            <w:webHidden/>
          </w:rPr>
        </w:r>
        <w:r w:rsidR="006C71A8">
          <w:rPr>
            <w:noProof/>
            <w:webHidden/>
          </w:rPr>
          <w:fldChar w:fldCharType="separate"/>
        </w:r>
        <w:r w:rsidR="006C71A8">
          <w:rPr>
            <w:noProof/>
            <w:webHidden/>
          </w:rPr>
          <w:t>4</w:t>
        </w:r>
        <w:r w:rsidR="006C71A8">
          <w:rPr>
            <w:noProof/>
            <w:webHidden/>
          </w:rPr>
          <w:fldChar w:fldCharType="end"/>
        </w:r>
      </w:hyperlink>
    </w:p>
    <w:p w:rsidR="006C71A8" w:rsidRDefault="00DA46C0">
      <w:pPr>
        <w:pStyle w:val="TOC3"/>
        <w:tabs>
          <w:tab w:val="right" w:leader="dot" w:pos="9628"/>
        </w:tabs>
        <w:rPr>
          <w:rFonts w:asciiTheme="minorHAnsi" w:eastAsiaTheme="minorEastAsia" w:hAnsiTheme="minorHAnsi" w:cstheme="minorBidi"/>
          <w:noProof/>
          <w:szCs w:val="22"/>
          <w:lang w:eastAsia="en-GB"/>
        </w:rPr>
      </w:pPr>
      <w:hyperlink w:anchor="_Toc412731192" w:history="1">
        <w:r w:rsidR="006C71A8" w:rsidRPr="00607AC7">
          <w:rPr>
            <w:rStyle w:val="Hyperlink"/>
            <w:noProof/>
          </w:rPr>
          <w:t>Exemptions from the nullification (questions 7-10)</w:t>
        </w:r>
        <w:r w:rsidR="006C71A8">
          <w:rPr>
            <w:noProof/>
            <w:webHidden/>
          </w:rPr>
          <w:tab/>
        </w:r>
        <w:r w:rsidR="006C71A8">
          <w:rPr>
            <w:noProof/>
            <w:webHidden/>
          </w:rPr>
          <w:fldChar w:fldCharType="begin"/>
        </w:r>
        <w:r w:rsidR="006C71A8">
          <w:rPr>
            <w:noProof/>
            <w:webHidden/>
          </w:rPr>
          <w:instrText xml:space="preserve"> PAGEREF _Toc412731192 \h </w:instrText>
        </w:r>
        <w:r w:rsidR="006C71A8">
          <w:rPr>
            <w:noProof/>
            <w:webHidden/>
          </w:rPr>
        </w:r>
        <w:r w:rsidR="006C71A8">
          <w:rPr>
            <w:noProof/>
            <w:webHidden/>
          </w:rPr>
          <w:fldChar w:fldCharType="separate"/>
        </w:r>
        <w:r w:rsidR="006C71A8">
          <w:rPr>
            <w:noProof/>
            <w:webHidden/>
          </w:rPr>
          <w:t>6</w:t>
        </w:r>
        <w:r w:rsidR="006C71A8">
          <w:rPr>
            <w:noProof/>
            <w:webHidden/>
          </w:rPr>
          <w:fldChar w:fldCharType="end"/>
        </w:r>
      </w:hyperlink>
    </w:p>
    <w:p w:rsidR="006C71A8" w:rsidRDefault="00DA46C0">
      <w:pPr>
        <w:pStyle w:val="TOC3"/>
        <w:tabs>
          <w:tab w:val="right" w:leader="dot" w:pos="9628"/>
        </w:tabs>
        <w:rPr>
          <w:rFonts w:asciiTheme="minorHAnsi" w:eastAsiaTheme="minorEastAsia" w:hAnsiTheme="minorHAnsi" w:cstheme="minorBidi"/>
          <w:noProof/>
          <w:szCs w:val="22"/>
          <w:lang w:eastAsia="en-GB"/>
        </w:rPr>
      </w:pPr>
      <w:hyperlink w:anchor="_Toc412731193" w:history="1">
        <w:r w:rsidR="006C71A8" w:rsidRPr="00607AC7">
          <w:rPr>
            <w:rStyle w:val="Hyperlink"/>
            <w:noProof/>
          </w:rPr>
          <w:t>Effects on the Market (questions 11-15)</w:t>
        </w:r>
        <w:r w:rsidR="006C71A8">
          <w:rPr>
            <w:noProof/>
            <w:webHidden/>
          </w:rPr>
          <w:tab/>
        </w:r>
        <w:r w:rsidR="006C71A8">
          <w:rPr>
            <w:noProof/>
            <w:webHidden/>
          </w:rPr>
          <w:fldChar w:fldCharType="begin"/>
        </w:r>
        <w:r w:rsidR="006C71A8">
          <w:rPr>
            <w:noProof/>
            <w:webHidden/>
          </w:rPr>
          <w:instrText xml:space="preserve"> PAGEREF _Toc412731193 \h </w:instrText>
        </w:r>
        <w:r w:rsidR="006C71A8">
          <w:rPr>
            <w:noProof/>
            <w:webHidden/>
          </w:rPr>
        </w:r>
        <w:r w:rsidR="006C71A8">
          <w:rPr>
            <w:noProof/>
            <w:webHidden/>
          </w:rPr>
          <w:fldChar w:fldCharType="separate"/>
        </w:r>
        <w:r w:rsidR="006C71A8">
          <w:rPr>
            <w:noProof/>
            <w:webHidden/>
          </w:rPr>
          <w:t>8</w:t>
        </w:r>
        <w:r w:rsidR="006C71A8">
          <w:rPr>
            <w:noProof/>
            <w:webHidden/>
          </w:rPr>
          <w:fldChar w:fldCharType="end"/>
        </w:r>
      </w:hyperlink>
    </w:p>
    <w:p w:rsidR="006C71A8" w:rsidRDefault="00DA46C0">
      <w:pPr>
        <w:pStyle w:val="TOC3"/>
        <w:tabs>
          <w:tab w:val="right" w:leader="dot" w:pos="9628"/>
        </w:tabs>
        <w:rPr>
          <w:rFonts w:asciiTheme="minorHAnsi" w:eastAsiaTheme="minorEastAsia" w:hAnsiTheme="minorHAnsi" w:cstheme="minorBidi"/>
          <w:noProof/>
          <w:szCs w:val="22"/>
          <w:lang w:eastAsia="en-GB"/>
        </w:rPr>
      </w:pPr>
      <w:hyperlink w:anchor="_Toc412731194" w:history="1">
        <w:r w:rsidR="006C71A8" w:rsidRPr="00607AC7">
          <w:rPr>
            <w:rStyle w:val="Hyperlink"/>
            <w:noProof/>
          </w:rPr>
          <w:t>Changes to legislation and Enforcement (questions 16-17)</w:t>
        </w:r>
        <w:r w:rsidR="006C71A8">
          <w:rPr>
            <w:noProof/>
            <w:webHidden/>
          </w:rPr>
          <w:tab/>
        </w:r>
        <w:r w:rsidR="006C71A8">
          <w:rPr>
            <w:noProof/>
            <w:webHidden/>
          </w:rPr>
          <w:fldChar w:fldCharType="begin"/>
        </w:r>
        <w:r w:rsidR="006C71A8">
          <w:rPr>
            <w:noProof/>
            <w:webHidden/>
          </w:rPr>
          <w:instrText xml:space="preserve"> PAGEREF _Toc412731194 \h </w:instrText>
        </w:r>
        <w:r w:rsidR="006C71A8">
          <w:rPr>
            <w:noProof/>
            <w:webHidden/>
          </w:rPr>
        </w:r>
        <w:r w:rsidR="006C71A8">
          <w:rPr>
            <w:noProof/>
            <w:webHidden/>
          </w:rPr>
          <w:fldChar w:fldCharType="separate"/>
        </w:r>
        <w:r w:rsidR="006C71A8">
          <w:rPr>
            <w:noProof/>
            <w:webHidden/>
          </w:rPr>
          <w:t>10</w:t>
        </w:r>
        <w:r w:rsidR="006C71A8">
          <w:rPr>
            <w:noProof/>
            <w:webHidden/>
          </w:rPr>
          <w:fldChar w:fldCharType="end"/>
        </w:r>
      </w:hyperlink>
    </w:p>
    <w:p w:rsidR="006C71A8" w:rsidRDefault="00DA46C0">
      <w:pPr>
        <w:pStyle w:val="TOC3"/>
        <w:tabs>
          <w:tab w:val="right" w:leader="dot" w:pos="9628"/>
        </w:tabs>
        <w:rPr>
          <w:rFonts w:asciiTheme="minorHAnsi" w:eastAsiaTheme="minorEastAsia" w:hAnsiTheme="minorHAnsi" w:cstheme="minorBidi"/>
          <w:noProof/>
          <w:szCs w:val="22"/>
          <w:lang w:eastAsia="en-GB"/>
        </w:rPr>
      </w:pPr>
      <w:hyperlink w:anchor="_Toc412731195" w:history="1">
        <w:r w:rsidR="006C71A8" w:rsidRPr="00607AC7">
          <w:rPr>
            <w:rStyle w:val="Hyperlink"/>
            <w:noProof/>
          </w:rPr>
          <w:t>Costs to the Market (questions 18-19)</w:t>
        </w:r>
        <w:r w:rsidR="006C71A8">
          <w:rPr>
            <w:noProof/>
            <w:webHidden/>
          </w:rPr>
          <w:tab/>
        </w:r>
        <w:r w:rsidR="006C71A8">
          <w:rPr>
            <w:noProof/>
            <w:webHidden/>
          </w:rPr>
          <w:fldChar w:fldCharType="begin"/>
        </w:r>
        <w:r w:rsidR="006C71A8">
          <w:rPr>
            <w:noProof/>
            <w:webHidden/>
          </w:rPr>
          <w:instrText xml:space="preserve"> PAGEREF _Toc412731195 \h </w:instrText>
        </w:r>
        <w:r w:rsidR="006C71A8">
          <w:rPr>
            <w:noProof/>
            <w:webHidden/>
          </w:rPr>
        </w:r>
        <w:r w:rsidR="006C71A8">
          <w:rPr>
            <w:noProof/>
            <w:webHidden/>
          </w:rPr>
          <w:fldChar w:fldCharType="separate"/>
        </w:r>
        <w:r w:rsidR="006C71A8">
          <w:rPr>
            <w:noProof/>
            <w:webHidden/>
          </w:rPr>
          <w:t>11</w:t>
        </w:r>
        <w:r w:rsidR="006C71A8">
          <w:rPr>
            <w:noProof/>
            <w:webHidden/>
          </w:rPr>
          <w:fldChar w:fldCharType="end"/>
        </w:r>
      </w:hyperlink>
    </w:p>
    <w:p w:rsidR="006C71A8" w:rsidRDefault="00DA46C0">
      <w:pPr>
        <w:pStyle w:val="TOC2"/>
        <w:tabs>
          <w:tab w:val="right" w:leader="dot" w:pos="9628"/>
        </w:tabs>
        <w:rPr>
          <w:rFonts w:asciiTheme="minorHAnsi" w:eastAsiaTheme="minorEastAsia" w:hAnsiTheme="minorHAnsi" w:cstheme="minorBidi"/>
          <w:noProof/>
          <w:szCs w:val="22"/>
          <w:lang w:eastAsia="en-GB"/>
        </w:rPr>
      </w:pPr>
      <w:hyperlink w:anchor="_Toc412731196" w:history="1">
        <w:r w:rsidR="006C71A8" w:rsidRPr="00607AC7">
          <w:rPr>
            <w:rStyle w:val="Hyperlink"/>
            <w:noProof/>
          </w:rPr>
          <w:t>Next steps</w:t>
        </w:r>
        <w:r w:rsidR="006C71A8">
          <w:rPr>
            <w:noProof/>
            <w:webHidden/>
          </w:rPr>
          <w:tab/>
        </w:r>
        <w:r w:rsidR="006C71A8">
          <w:rPr>
            <w:noProof/>
            <w:webHidden/>
          </w:rPr>
          <w:fldChar w:fldCharType="begin"/>
        </w:r>
        <w:r w:rsidR="006C71A8">
          <w:rPr>
            <w:noProof/>
            <w:webHidden/>
          </w:rPr>
          <w:instrText xml:space="preserve"> PAGEREF _Toc412731196 \h </w:instrText>
        </w:r>
        <w:r w:rsidR="006C71A8">
          <w:rPr>
            <w:noProof/>
            <w:webHidden/>
          </w:rPr>
        </w:r>
        <w:r w:rsidR="006C71A8">
          <w:rPr>
            <w:noProof/>
            <w:webHidden/>
          </w:rPr>
          <w:fldChar w:fldCharType="separate"/>
        </w:r>
        <w:r w:rsidR="006C71A8">
          <w:rPr>
            <w:noProof/>
            <w:webHidden/>
          </w:rPr>
          <w:t>11</w:t>
        </w:r>
        <w:r w:rsidR="006C71A8">
          <w:rPr>
            <w:noProof/>
            <w:webHidden/>
          </w:rPr>
          <w:fldChar w:fldCharType="end"/>
        </w:r>
      </w:hyperlink>
    </w:p>
    <w:p w:rsidR="006C71A8" w:rsidRDefault="00DA46C0">
      <w:pPr>
        <w:pStyle w:val="TOC2"/>
        <w:tabs>
          <w:tab w:val="right" w:leader="dot" w:pos="9628"/>
        </w:tabs>
        <w:rPr>
          <w:rFonts w:asciiTheme="minorHAnsi" w:eastAsiaTheme="minorEastAsia" w:hAnsiTheme="minorHAnsi" w:cstheme="minorBidi"/>
          <w:noProof/>
          <w:szCs w:val="22"/>
          <w:lang w:eastAsia="en-GB"/>
        </w:rPr>
      </w:pPr>
      <w:hyperlink w:anchor="_Toc412731197" w:history="1">
        <w:r w:rsidR="006C71A8" w:rsidRPr="00607AC7">
          <w:rPr>
            <w:rStyle w:val="Hyperlink"/>
            <w:noProof/>
          </w:rPr>
          <w:t>Annex A – Reponses Received</w:t>
        </w:r>
        <w:r w:rsidR="006C71A8">
          <w:rPr>
            <w:noProof/>
            <w:webHidden/>
          </w:rPr>
          <w:tab/>
        </w:r>
        <w:r w:rsidR="006C71A8">
          <w:rPr>
            <w:noProof/>
            <w:webHidden/>
          </w:rPr>
          <w:fldChar w:fldCharType="begin"/>
        </w:r>
        <w:r w:rsidR="006C71A8">
          <w:rPr>
            <w:noProof/>
            <w:webHidden/>
          </w:rPr>
          <w:instrText xml:space="preserve"> PAGEREF _Toc412731197 \h </w:instrText>
        </w:r>
        <w:r w:rsidR="006C71A8">
          <w:rPr>
            <w:noProof/>
            <w:webHidden/>
          </w:rPr>
        </w:r>
        <w:r w:rsidR="006C71A8">
          <w:rPr>
            <w:noProof/>
            <w:webHidden/>
          </w:rPr>
          <w:fldChar w:fldCharType="separate"/>
        </w:r>
        <w:r w:rsidR="006C71A8">
          <w:rPr>
            <w:noProof/>
            <w:webHidden/>
          </w:rPr>
          <w:t>12</w:t>
        </w:r>
        <w:r w:rsidR="006C71A8">
          <w:rPr>
            <w:noProof/>
            <w:webHidden/>
          </w:rPr>
          <w:fldChar w:fldCharType="end"/>
        </w:r>
      </w:hyperlink>
    </w:p>
    <w:p w:rsidR="00C56DD0" w:rsidRPr="008D78D9" w:rsidRDefault="00C56DD0" w:rsidP="009259CF">
      <w:pPr>
        <w:pStyle w:val="Heading1"/>
      </w:pPr>
      <w:r w:rsidRPr="008D78D9">
        <w:fldChar w:fldCharType="end"/>
      </w:r>
      <w:r w:rsidRPr="008D78D9">
        <w:br w:type="page"/>
      </w:r>
      <w:bookmarkStart w:id="6" w:name="_Toc412731186"/>
      <w:bookmarkStart w:id="7" w:name="OLE_LINK2"/>
      <w:bookmarkStart w:id="8" w:name="OLE_LINK3"/>
      <w:bookmarkEnd w:id="2"/>
      <w:r w:rsidR="00F93AA4">
        <w:lastRenderedPageBreak/>
        <w:t>Nullification of Ban on Invoice Assignment</w:t>
      </w:r>
      <w:r w:rsidR="00E11257">
        <w:t xml:space="preserve">: </w:t>
      </w:r>
      <w:r w:rsidR="00F93AA4">
        <w:br/>
      </w:r>
      <w:r w:rsidR="00E11257">
        <w:t>s</w:t>
      </w:r>
      <w:r w:rsidR="00361180">
        <w:t xml:space="preserve">ummary of </w:t>
      </w:r>
      <w:r w:rsidR="00E11257">
        <w:t>responses</w:t>
      </w:r>
      <w:bookmarkEnd w:id="6"/>
    </w:p>
    <w:p w:rsidR="00C56DD0" w:rsidRPr="008D78D9" w:rsidRDefault="006813F2" w:rsidP="008D78D9">
      <w:pPr>
        <w:pStyle w:val="Heading2"/>
      </w:pPr>
      <w:bookmarkStart w:id="9" w:name="_Toc412731187"/>
      <w:bookmarkEnd w:id="7"/>
      <w:bookmarkEnd w:id="8"/>
      <w:r w:rsidRPr="008D78D9">
        <w:t>Introduction</w:t>
      </w:r>
      <w:bookmarkEnd w:id="9"/>
    </w:p>
    <w:p w:rsidR="00C66B9A" w:rsidRPr="004B6817" w:rsidRDefault="00C66B9A" w:rsidP="00C66B9A">
      <w:pPr>
        <w:pStyle w:val="Default"/>
      </w:pPr>
      <w:r w:rsidRPr="004B6817">
        <w:t xml:space="preserve">Invoice finance allows a business to assign the right to future payment of an invoice (known as a “trade receivable”) to a finance provider in exchange for a loan up to the full value of the invoice. Businesses are reliant on a strong cash flow and even a profitable business can come into serious difficulties if it has to wait a long time </w:t>
      </w:r>
      <w:r w:rsidR="00B0484A">
        <w:t>for</w:t>
      </w:r>
      <w:r w:rsidRPr="004B6817">
        <w:t xml:space="preserve"> </w:t>
      </w:r>
      <w:r w:rsidR="00401C13" w:rsidRPr="004B6817">
        <w:t>payment.</w:t>
      </w:r>
      <w:r w:rsidRPr="004B6817">
        <w:t xml:space="preserve"> </w:t>
      </w:r>
    </w:p>
    <w:p w:rsidR="00C66B9A" w:rsidRPr="004B6817" w:rsidRDefault="00C66B9A" w:rsidP="00C66B9A">
      <w:pPr>
        <w:pStyle w:val="Default"/>
      </w:pPr>
    </w:p>
    <w:p w:rsidR="00C66B9A" w:rsidRPr="004B6817" w:rsidRDefault="003421FF" w:rsidP="00C66B9A">
      <w:pPr>
        <w:pStyle w:val="Default"/>
      </w:pPr>
      <w:r w:rsidRPr="004B6817">
        <w:t xml:space="preserve">A ban on invoice assignment refers to a clause in a debtor’s terms of sale which prohibits the supplier from selling the debt from an accounts receivable, typically from an invoice, onto a third party financer. </w:t>
      </w:r>
      <w:r w:rsidR="00C66B9A" w:rsidRPr="004B6817">
        <w:t>Where businesses encounter bans on invoice assignment clauses they can still often obtain invoice finance by seeking waivers or workarounds. But this can expose businesses to higher interest and administrative fe</w:t>
      </w:r>
      <w:r w:rsidR="00B0484A">
        <w:t>es. Sometimes no waiver or work</w:t>
      </w:r>
      <w:r w:rsidR="00C66B9A" w:rsidRPr="004B6817">
        <w:t xml:space="preserve">around can be achieved, which may stop businesses accessing the </w:t>
      </w:r>
      <w:r w:rsidR="00B0484A">
        <w:t>f</w:t>
      </w:r>
      <w:r w:rsidR="00C66B9A" w:rsidRPr="004B6817">
        <w:t xml:space="preserve">inance. </w:t>
      </w:r>
    </w:p>
    <w:p w:rsidR="00C66B9A" w:rsidRDefault="00C66B9A" w:rsidP="00C66B9A">
      <w:pPr>
        <w:pStyle w:val="Default"/>
        <w:rPr>
          <w:sz w:val="23"/>
          <w:szCs w:val="23"/>
        </w:rPr>
      </w:pPr>
    </w:p>
    <w:p w:rsidR="00D35060" w:rsidRDefault="0001717D" w:rsidP="008D78D9">
      <w:r w:rsidRPr="0001717D">
        <w:t>At the moment invoice financing is used to obtain a small proportion of the finance small and medium sized businesses borrow.</w:t>
      </w:r>
      <w:r>
        <w:t xml:space="preserve"> </w:t>
      </w:r>
      <w:r w:rsidR="00D35060">
        <w:t>Figures from the Asset Based Finance Association</w:t>
      </w:r>
      <w:r w:rsidR="00397140">
        <w:t xml:space="preserve"> (ABFA)</w:t>
      </w:r>
      <w:r w:rsidR="00D35060">
        <w:t xml:space="preserve"> show that in the third quarter of 2014, £18.3bn worth of invoice finance was being used</w:t>
      </w:r>
      <w:r>
        <w:t xml:space="preserve"> by businesses</w:t>
      </w:r>
      <w:r w:rsidR="00D35060">
        <w:t>, an 18% increase on the same period two years ago</w:t>
      </w:r>
      <w:r w:rsidR="006B425D">
        <w:rPr>
          <w:rStyle w:val="FootnoteReference"/>
        </w:rPr>
        <w:footnoteReference w:id="1"/>
      </w:r>
      <w:r w:rsidR="00D35060">
        <w:t>.</w:t>
      </w:r>
    </w:p>
    <w:p w:rsidR="006813F2" w:rsidRPr="008D78D9" w:rsidRDefault="00397140" w:rsidP="008D78D9">
      <w:r w:rsidRPr="00EA0CF0">
        <w:rPr>
          <w:rFonts w:cs="Arial"/>
        </w:rPr>
        <w:t>In 2005 the Law Commission recommended removing this contractual barrier as part of a package of recommendations on secured transactions law reform.</w:t>
      </w:r>
      <w:r w:rsidR="0001717D">
        <w:rPr>
          <w:rFonts w:cs="Arial"/>
        </w:rPr>
        <w:t xml:space="preserve"> In December 2013, we published a discussion paper, </w:t>
      </w:r>
      <w:r w:rsidR="0001717D" w:rsidRPr="008D78D9">
        <w:rPr>
          <w:i/>
        </w:rPr>
        <w:t>Building a Responsible Payment Culture</w:t>
      </w:r>
      <w:r w:rsidR="0001717D">
        <w:rPr>
          <w:i/>
        </w:rPr>
        <w:t>,</w:t>
      </w:r>
      <w:r w:rsidR="0001717D">
        <w:rPr>
          <w:rFonts w:cs="Arial"/>
        </w:rPr>
        <w:t xml:space="preserve"> on issues related to prompt payment and</w:t>
      </w:r>
      <w:r w:rsidRPr="008D78D9">
        <w:t xml:space="preserve"> </w:t>
      </w:r>
      <w:r w:rsidR="0001717D">
        <w:t>r</w:t>
      </w:r>
      <w:r w:rsidR="006813F2" w:rsidRPr="008D78D9">
        <w:t>espondents were clear that</w:t>
      </w:r>
      <w:r w:rsidR="00EA0CF0">
        <w:t xml:space="preserve"> removing contractual barriers to selling invoices would help to increase access to</w:t>
      </w:r>
      <w:r w:rsidR="00401C13">
        <w:t xml:space="preserve"> invoice</w:t>
      </w:r>
      <w:r w:rsidR="00EA0CF0">
        <w:t xml:space="preserve"> financing. </w:t>
      </w:r>
    </w:p>
    <w:p w:rsidR="006813F2" w:rsidRPr="008D78D9" w:rsidRDefault="00AA6748" w:rsidP="008D78D9">
      <w:r>
        <w:t>In response to this discussion paper</w:t>
      </w:r>
      <w:r w:rsidR="006813F2" w:rsidRPr="008D78D9">
        <w:t xml:space="preserve">, </w:t>
      </w:r>
      <w:r>
        <w:t>the Government</w:t>
      </w:r>
      <w:r w:rsidR="00B70DA2" w:rsidRPr="008D78D9">
        <w:t xml:space="preserve"> committed </w:t>
      </w:r>
      <w:r w:rsidR="006813F2" w:rsidRPr="008D78D9">
        <w:t>to introduc</w:t>
      </w:r>
      <w:r w:rsidR="009E4A52">
        <w:t>e</w:t>
      </w:r>
      <w:r w:rsidR="006813F2" w:rsidRPr="008D78D9">
        <w:t xml:space="preserve"> </w:t>
      </w:r>
      <w:r w:rsidR="00A73619">
        <w:t xml:space="preserve">legislation to tackle contractual barriers such as ban on assignment. </w:t>
      </w:r>
      <w:r w:rsidR="00D377D0">
        <w:t>We are now seeking to achieve this t</w:t>
      </w:r>
      <w:r w:rsidR="00A73619">
        <w:t xml:space="preserve">hrough powers in the </w:t>
      </w:r>
      <w:r w:rsidR="009E4A52">
        <w:t xml:space="preserve">Small Business, Enterprise and Employment </w:t>
      </w:r>
      <w:r w:rsidR="00A73619">
        <w:t xml:space="preserve">Bill </w:t>
      </w:r>
      <w:r w:rsidR="00401C13">
        <w:t xml:space="preserve">which </w:t>
      </w:r>
      <w:r w:rsidR="00A73619">
        <w:t>w</w:t>
      </w:r>
      <w:r w:rsidR="00D377D0">
        <w:t>ill</w:t>
      </w:r>
      <w:r w:rsidR="00A73619">
        <w:t xml:space="preserve"> allow the Secretary of State to make regulations </w:t>
      </w:r>
      <w:r w:rsidR="00D377D0">
        <w:t>to</w:t>
      </w:r>
      <w:r w:rsidR="00A73619">
        <w:t xml:space="preserve"> invalidate </w:t>
      </w:r>
      <w:r w:rsidR="00397140">
        <w:t>anti assignment clauses</w:t>
      </w:r>
      <w:r w:rsidR="00A73619">
        <w:t>.</w:t>
      </w:r>
    </w:p>
    <w:p w:rsidR="001F0581" w:rsidRPr="008D78D9" w:rsidRDefault="00B70DA2" w:rsidP="008D78D9">
      <w:r w:rsidRPr="008D78D9">
        <w:t xml:space="preserve">The consultation </w:t>
      </w:r>
      <w:r w:rsidR="00A73619" w:rsidRPr="00A73619">
        <w:rPr>
          <w:i/>
        </w:rPr>
        <w:t xml:space="preserve">Nullification of Ban on Invoice Assignment Clauses </w:t>
      </w:r>
      <w:r w:rsidRPr="008D78D9">
        <w:t xml:space="preserve">set out our initial views on what should be in the secondary legislation. </w:t>
      </w:r>
      <w:r w:rsidR="00397140">
        <w:t>The proposal we tested</w:t>
      </w:r>
      <w:r w:rsidRPr="008D78D9">
        <w:t xml:space="preserve"> proposed to</w:t>
      </w:r>
      <w:r w:rsidR="000649CF">
        <w:t xml:space="preserve"> nullify the term outright with some exemptions.</w:t>
      </w:r>
      <w:r w:rsidRPr="008D78D9">
        <w:t xml:space="preserve"> </w:t>
      </w:r>
      <w:r w:rsidR="000649CF">
        <w:t xml:space="preserve">Our consultation asked whether we should limit this proposal to business to business contracts and </w:t>
      </w:r>
      <w:r w:rsidR="002F70C3">
        <w:t xml:space="preserve">exclude financial services. </w:t>
      </w:r>
    </w:p>
    <w:p w:rsidR="00C44D18" w:rsidRDefault="00C44D18" w:rsidP="008D78D9">
      <w:pPr>
        <w:pStyle w:val="Heading2"/>
        <w:rPr>
          <w:b w:val="0"/>
          <w:bCs w:val="0"/>
          <w:iCs w:val="0"/>
          <w:color w:val="auto"/>
          <w:sz w:val="24"/>
          <w:szCs w:val="24"/>
        </w:rPr>
      </w:pPr>
      <w:bookmarkStart w:id="10" w:name="_Toc412731188"/>
      <w:r w:rsidRPr="00C44D18">
        <w:rPr>
          <w:b w:val="0"/>
          <w:bCs w:val="0"/>
          <w:iCs w:val="0"/>
          <w:color w:val="auto"/>
          <w:sz w:val="24"/>
          <w:szCs w:val="24"/>
        </w:rPr>
        <w:t>This document provides a summary of the responses received to the consultation. It does not set out the Government response to responses received. We will publish amended regulations and an accompanying document outlining how the regulations have changed based on the responses received to the consultation after the election.</w:t>
      </w:r>
      <w:bookmarkEnd w:id="10"/>
    </w:p>
    <w:p w:rsidR="006813F2" w:rsidRPr="008D78D9" w:rsidRDefault="006813F2" w:rsidP="008D78D9">
      <w:pPr>
        <w:pStyle w:val="Heading2"/>
      </w:pPr>
      <w:bookmarkStart w:id="11" w:name="_Toc412731189"/>
      <w:r w:rsidRPr="008D78D9">
        <w:t>Responses received</w:t>
      </w:r>
      <w:bookmarkEnd w:id="11"/>
    </w:p>
    <w:p w:rsidR="006E2DEB" w:rsidRDefault="006E2DEB" w:rsidP="006E2DEB">
      <w:r w:rsidRPr="008D78D9">
        <w:t xml:space="preserve">We received </w:t>
      </w:r>
      <w:r w:rsidR="00F93AA4">
        <w:t>20</w:t>
      </w:r>
      <w:r w:rsidRPr="008D78D9">
        <w:t xml:space="preserve"> responses to the consultation, coming mainly from business representative bodies, </w:t>
      </w:r>
      <w:r w:rsidR="00D377D0">
        <w:t>invoice financiers</w:t>
      </w:r>
      <w:r w:rsidRPr="008D78D9">
        <w:t xml:space="preserve"> and </w:t>
      </w:r>
      <w:r w:rsidR="00D377D0">
        <w:t>law practitioners</w:t>
      </w:r>
      <w:r w:rsidRPr="008D78D9">
        <w:t xml:space="preserve">. We also had </w:t>
      </w:r>
      <w:r w:rsidR="002F70C3">
        <w:t>some</w:t>
      </w:r>
      <w:r w:rsidRPr="008D78D9">
        <w:t xml:space="preserve"> responses from large businesses </w:t>
      </w:r>
      <w:r w:rsidR="00D377D0">
        <w:t xml:space="preserve">in </w:t>
      </w:r>
      <w:r w:rsidRPr="008D78D9">
        <w:t xml:space="preserve">the retail and construction industry. </w:t>
      </w:r>
      <w:r w:rsidR="00515ECE" w:rsidRPr="008D78D9">
        <w:t xml:space="preserve">A full list of respondents is </w:t>
      </w:r>
      <w:r w:rsidR="00660CB9">
        <w:t>set out</w:t>
      </w:r>
      <w:r w:rsidR="00660CB9" w:rsidRPr="008D78D9">
        <w:t xml:space="preserve"> </w:t>
      </w:r>
      <w:r w:rsidR="00515ECE" w:rsidRPr="008D78D9">
        <w:t xml:space="preserve">in </w:t>
      </w:r>
      <w:r w:rsidR="00841959" w:rsidRPr="00841959">
        <w:t>Annex</w:t>
      </w:r>
      <w:r w:rsidR="00515ECE" w:rsidRPr="00841959">
        <w:t xml:space="preserve"> </w:t>
      </w:r>
      <w:r w:rsidR="00841959" w:rsidRPr="00841959">
        <w:t>A</w:t>
      </w:r>
      <w:r w:rsidR="00515ECE" w:rsidRPr="008D78D9">
        <w:t xml:space="preserve">. </w:t>
      </w:r>
    </w:p>
    <w:p w:rsidR="006B425D" w:rsidRPr="008D78D9" w:rsidRDefault="006B425D" w:rsidP="006E2DEB">
      <w:r>
        <w:t>One response was supported by five</w:t>
      </w:r>
      <w:r w:rsidR="001F0581">
        <w:t xml:space="preserve"> other</w:t>
      </w:r>
      <w:r>
        <w:t xml:space="preserve"> organisations</w:t>
      </w:r>
      <w:r w:rsidR="00BA14C9">
        <w:t xml:space="preserve"> who agreed with its conclusions</w:t>
      </w:r>
      <w:r w:rsidR="006E06AF">
        <w:t>.</w:t>
      </w:r>
      <w:r w:rsidR="001F0581">
        <w:t xml:space="preserve"> These have been counted as individual responses to the consultation.</w:t>
      </w:r>
      <w:r>
        <w:t xml:space="preserve"> </w:t>
      </w:r>
      <w:r w:rsidR="006E06AF">
        <w:t>W</w:t>
      </w:r>
      <w:r>
        <w:t xml:space="preserve">here arguments from this response </w:t>
      </w:r>
      <w:r w:rsidR="006E06AF">
        <w:t>are</w:t>
      </w:r>
      <w:r w:rsidR="001F0581">
        <w:t xml:space="preserve"> cited</w:t>
      </w:r>
      <w:r w:rsidR="006E06AF">
        <w:t xml:space="preserve">, we have </w:t>
      </w:r>
      <w:r w:rsidR="001F0581">
        <w:t xml:space="preserve">flagged </w:t>
      </w:r>
      <w:r w:rsidR="006E06AF">
        <w:t>that this view was supported by the five separate organisations.</w:t>
      </w:r>
    </w:p>
    <w:p w:rsidR="006E2DEB" w:rsidRPr="008D78D9" w:rsidRDefault="006E2DEB" w:rsidP="006E2DEB">
      <w:r w:rsidRPr="008D78D9">
        <w:t xml:space="preserve">During the consultation period, we </w:t>
      </w:r>
      <w:r w:rsidR="006B425D">
        <w:t xml:space="preserve">held </w:t>
      </w:r>
      <w:r w:rsidRPr="008D78D9">
        <w:t>a number of roundtable discussions gaining stakeholder feedback on the proposal</w:t>
      </w:r>
      <w:r w:rsidR="00515ECE" w:rsidRPr="008D78D9">
        <w:t>s outlined in the consultation</w:t>
      </w:r>
      <w:r w:rsidR="00C1267E">
        <w:t>.</w:t>
      </w:r>
      <w:r w:rsidR="00515ECE" w:rsidRPr="008D78D9">
        <w:t xml:space="preserve"> </w:t>
      </w:r>
      <w:r w:rsidR="00632844">
        <w:t>This feedback is not reflected in this document.</w:t>
      </w:r>
    </w:p>
    <w:p w:rsidR="006813F2" w:rsidRDefault="006813F2" w:rsidP="008D78D9">
      <w:pPr>
        <w:pStyle w:val="Heading2"/>
      </w:pPr>
      <w:bookmarkStart w:id="12" w:name="_Toc412731190"/>
      <w:r w:rsidRPr="008D78D9">
        <w:t>Summary of responses</w:t>
      </w:r>
      <w:bookmarkEnd w:id="12"/>
    </w:p>
    <w:p w:rsidR="008D77AD" w:rsidRDefault="008D77AD" w:rsidP="00203A87">
      <w:pPr>
        <w:pStyle w:val="ListParagraph"/>
        <w:numPr>
          <w:ilvl w:val="0"/>
          <w:numId w:val="42"/>
        </w:numPr>
        <w:ind w:left="284" w:hanging="284"/>
        <w:rPr>
          <w:b/>
        </w:rPr>
      </w:pPr>
      <w:r w:rsidRPr="008D77AD">
        <w:rPr>
          <w:b/>
        </w:rPr>
        <w:t>Comments on Draft regulations</w:t>
      </w:r>
    </w:p>
    <w:p w:rsidR="008D77AD" w:rsidRPr="008D77AD" w:rsidRDefault="001F0581" w:rsidP="008D77AD">
      <w:r>
        <w:t>Overall</w:t>
      </w:r>
      <w:r w:rsidR="003421FF">
        <w:t xml:space="preserve">, there was support for the proposals, but </w:t>
      </w:r>
      <w:r>
        <w:t xml:space="preserve">some </w:t>
      </w:r>
      <w:r w:rsidR="003421FF">
        <w:t>concerns</w:t>
      </w:r>
      <w:r w:rsidR="005F5779">
        <w:t xml:space="preserve"> were </w:t>
      </w:r>
      <w:r w:rsidR="00632844">
        <w:t>expressed about</w:t>
      </w:r>
      <w:r w:rsidR="005F5779">
        <w:t xml:space="preserve"> the</w:t>
      </w:r>
      <w:r w:rsidR="003421FF">
        <w:t xml:space="preserve"> consequences of this measure to contract law</w:t>
      </w:r>
      <w:r w:rsidR="005F5779">
        <w:t xml:space="preserve">. </w:t>
      </w:r>
      <w:r>
        <w:t xml:space="preserve">Detailed comments on the </w:t>
      </w:r>
      <w:r w:rsidR="002C14CA">
        <w:t>dr</w:t>
      </w:r>
      <w:r w:rsidR="00FC00D3">
        <w:t>a</w:t>
      </w:r>
      <w:r w:rsidR="002C14CA">
        <w:t xml:space="preserve">ft </w:t>
      </w:r>
      <w:r w:rsidR="00D6439B">
        <w:t>regulations</w:t>
      </w:r>
      <w:r>
        <w:t xml:space="preserve"> are set out in the relevant se</w:t>
      </w:r>
      <w:r w:rsidR="00D6439B">
        <w:t xml:space="preserve">ctions below. </w:t>
      </w:r>
    </w:p>
    <w:p w:rsidR="00515ECE" w:rsidRPr="008D78D9" w:rsidRDefault="001F6C8C" w:rsidP="00203A87">
      <w:pPr>
        <w:pStyle w:val="Heading3"/>
        <w:spacing w:after="0"/>
      </w:pPr>
      <w:bookmarkStart w:id="13" w:name="_Toc412731191"/>
      <w:r>
        <w:t>Principles of the Proposal</w:t>
      </w:r>
      <w:r w:rsidR="00711F68">
        <w:t xml:space="preserve"> (questions 2-6)</w:t>
      </w:r>
      <w:bookmarkEnd w:id="13"/>
    </w:p>
    <w:p w:rsidR="00FD16B7" w:rsidRPr="00FD16B7" w:rsidRDefault="00FD16B7" w:rsidP="00203A87">
      <w:pPr>
        <w:pStyle w:val="Heading4"/>
        <w:spacing w:after="0"/>
      </w:pPr>
    </w:p>
    <w:p w:rsidR="0069261E" w:rsidRPr="00203A87" w:rsidRDefault="00F731A9" w:rsidP="00203A87">
      <w:pPr>
        <w:pStyle w:val="ListParagraph"/>
        <w:numPr>
          <w:ilvl w:val="0"/>
          <w:numId w:val="42"/>
        </w:numPr>
        <w:spacing w:after="0"/>
        <w:ind w:left="284" w:hanging="284"/>
        <w:rPr>
          <w:b/>
        </w:rPr>
      </w:pPr>
      <w:r w:rsidRPr="00203A87">
        <w:rPr>
          <w:b/>
        </w:rPr>
        <w:t xml:space="preserve">Introducing the nullification of ban on </w:t>
      </w:r>
      <w:r w:rsidR="00783CA3" w:rsidRPr="00203A87">
        <w:rPr>
          <w:b/>
        </w:rPr>
        <w:t>invoice assignment</w:t>
      </w:r>
    </w:p>
    <w:p w:rsidR="00203A87" w:rsidRPr="00203A87" w:rsidRDefault="00203A87" w:rsidP="00203A87">
      <w:pPr>
        <w:spacing w:after="0"/>
        <w:ind w:left="360"/>
        <w:rPr>
          <w:b/>
        </w:rPr>
      </w:pPr>
    </w:p>
    <w:p w:rsidR="00294784" w:rsidRDefault="00783CA3" w:rsidP="006813F2">
      <w:r>
        <w:t>Our consultation</w:t>
      </w:r>
      <w:r w:rsidR="00F731A9">
        <w:t xml:space="preserve"> proposed that nul</w:t>
      </w:r>
      <w:r w:rsidR="00C1267E">
        <w:t xml:space="preserve">lifying </w:t>
      </w:r>
      <w:r w:rsidR="00495CAA">
        <w:t xml:space="preserve">anti-assignment clauses </w:t>
      </w:r>
      <w:r w:rsidR="000C4AF1">
        <w:t>in contracts</w:t>
      </w:r>
      <w:r w:rsidR="00C1267E">
        <w:t xml:space="preserve"> </w:t>
      </w:r>
      <w:r w:rsidR="00495CAA">
        <w:t xml:space="preserve">would be the </w:t>
      </w:r>
      <w:r w:rsidR="00A43404">
        <w:t xml:space="preserve">most </w:t>
      </w:r>
      <w:r w:rsidR="006D02FD">
        <w:t>efficient way</w:t>
      </w:r>
      <w:r w:rsidR="00495CAA">
        <w:t xml:space="preserve"> to </w:t>
      </w:r>
      <w:r w:rsidR="002C14CA">
        <w:t xml:space="preserve">implement </w:t>
      </w:r>
      <w:r w:rsidR="00495CAA">
        <w:t>this measur</w:t>
      </w:r>
      <w:r>
        <w:t>e. The intention of this method</w:t>
      </w:r>
      <w:r w:rsidR="00495CAA">
        <w:t xml:space="preserve"> was to</w:t>
      </w:r>
      <w:r w:rsidR="005F5779">
        <w:t xml:space="preserve"> keep costs to business low; it would</w:t>
      </w:r>
      <w:r w:rsidR="00495CAA">
        <w:t xml:space="preserve"> prevent </w:t>
      </w:r>
      <w:r w:rsidR="00DC39D5">
        <w:t>debtors from</w:t>
      </w:r>
      <w:r w:rsidR="00203A87">
        <w:t xml:space="preserve"> having to</w:t>
      </w:r>
      <w:r w:rsidR="00DC39D5">
        <w:t xml:space="preserve"> retrospectively revis</w:t>
      </w:r>
      <w:r w:rsidR="00203A87">
        <w:t>e</w:t>
      </w:r>
      <w:r w:rsidR="00DC39D5">
        <w:t xml:space="preserve"> their contracts</w:t>
      </w:r>
      <w:r w:rsidR="00495CAA">
        <w:t xml:space="preserve">. </w:t>
      </w:r>
      <w:r w:rsidR="00632844">
        <w:t>Suggested alternative approaches were:</w:t>
      </w:r>
    </w:p>
    <w:p w:rsidR="00632844" w:rsidRDefault="003863DC" w:rsidP="00632844">
      <w:pPr>
        <w:pStyle w:val="ListParagraph"/>
        <w:numPr>
          <w:ilvl w:val="0"/>
          <w:numId w:val="43"/>
        </w:numPr>
      </w:pPr>
      <w:r>
        <w:t>Sectoral regulation</w:t>
      </w:r>
    </w:p>
    <w:p w:rsidR="00632844" w:rsidRDefault="00632844" w:rsidP="00632844">
      <w:pPr>
        <w:pStyle w:val="ListParagraph"/>
        <w:numPr>
          <w:ilvl w:val="0"/>
          <w:numId w:val="43"/>
        </w:numPr>
      </w:pPr>
      <w:r>
        <w:t>Amendments to competition law rather than the proposed contractual law change.</w:t>
      </w:r>
    </w:p>
    <w:p w:rsidR="00632844" w:rsidRDefault="00632844" w:rsidP="00632844">
      <w:pPr>
        <w:pStyle w:val="ListParagraph"/>
        <w:numPr>
          <w:ilvl w:val="0"/>
          <w:numId w:val="43"/>
        </w:numPr>
      </w:pPr>
      <w:r>
        <w:t xml:space="preserve">More work to promote supply chain finance </w:t>
      </w:r>
    </w:p>
    <w:p w:rsidR="00632844" w:rsidRDefault="00632844" w:rsidP="00632844">
      <w:pPr>
        <w:pStyle w:val="ListParagraph"/>
        <w:numPr>
          <w:ilvl w:val="0"/>
          <w:numId w:val="43"/>
        </w:numPr>
      </w:pPr>
      <w:r>
        <w:t xml:space="preserve">The creation of a trust account between a supplier and an invoice financer where the financer could access the funds paid into the account. </w:t>
      </w:r>
    </w:p>
    <w:p w:rsidR="00495CAA" w:rsidRDefault="00495CAA" w:rsidP="006813F2">
      <w:r>
        <w:t>Responses to this approach</w:t>
      </w:r>
      <w:r w:rsidR="00A43404">
        <w:t xml:space="preserve"> of nullifying anti-assignment clauses in contracts</w:t>
      </w:r>
      <w:r>
        <w:t xml:space="preserve"> were </w:t>
      </w:r>
      <w:r w:rsidR="00A43404">
        <w:t>as follows:</w:t>
      </w:r>
    </w:p>
    <w:p w:rsidR="004F1A03" w:rsidRDefault="00142743" w:rsidP="00495CAA">
      <w:pPr>
        <w:pStyle w:val="ListParagraph"/>
        <w:numPr>
          <w:ilvl w:val="0"/>
          <w:numId w:val="26"/>
        </w:numPr>
      </w:pPr>
      <w:r>
        <w:t>1</w:t>
      </w:r>
      <w:r w:rsidR="006C1D60">
        <w:t>2</w:t>
      </w:r>
      <w:r w:rsidR="00495CAA">
        <w:t xml:space="preserve"> respon</w:t>
      </w:r>
      <w:r>
        <w:t>ses</w:t>
      </w:r>
      <w:r w:rsidR="00495CAA">
        <w:t xml:space="preserve"> supported this approach</w:t>
      </w:r>
    </w:p>
    <w:p w:rsidR="00495CAA" w:rsidRDefault="000A2FB4" w:rsidP="00495CAA">
      <w:pPr>
        <w:pStyle w:val="ListParagraph"/>
        <w:numPr>
          <w:ilvl w:val="0"/>
          <w:numId w:val="26"/>
        </w:numPr>
      </w:pPr>
      <w:r>
        <w:t>8</w:t>
      </w:r>
      <w:r w:rsidR="00142743">
        <w:t xml:space="preserve"> responses</w:t>
      </w:r>
      <w:r w:rsidR="00495CAA">
        <w:t xml:space="preserve"> did not support this approach.</w:t>
      </w:r>
    </w:p>
    <w:p w:rsidR="00C1267E" w:rsidRDefault="00DC39D5" w:rsidP="00495CAA">
      <w:r>
        <w:t>Ten</w:t>
      </w:r>
      <w:r w:rsidR="005E3CC4">
        <w:t xml:space="preserve"> of the respondents who supported this approach</w:t>
      </w:r>
      <w:r>
        <w:t xml:space="preserve"> did not elaborate on why they supported this method</w:t>
      </w:r>
      <w:r w:rsidR="005A6EC3">
        <w:t xml:space="preserve"> of implementation</w:t>
      </w:r>
      <w:r w:rsidR="002E0E2E">
        <w:t xml:space="preserve">. </w:t>
      </w:r>
      <w:r w:rsidR="004E13AC">
        <w:t>The other t</w:t>
      </w:r>
      <w:r w:rsidR="002E0E2E">
        <w:t>wo responses</w:t>
      </w:r>
      <w:r w:rsidR="005E3CC4">
        <w:t xml:space="preserve"> </w:t>
      </w:r>
      <w:r w:rsidR="00F26A9A">
        <w:t>thought that simplifying access to invoice financ</w:t>
      </w:r>
      <w:r w:rsidR="005A6EC3">
        <w:t>e</w:t>
      </w:r>
      <w:r w:rsidR="00F26A9A">
        <w:t xml:space="preserve"> </w:t>
      </w:r>
      <w:r w:rsidR="002E0E2E">
        <w:t>without asking debtors to revise their contracts would</w:t>
      </w:r>
      <w:r w:rsidR="00C1267E">
        <w:t xml:space="preserve"> </w:t>
      </w:r>
      <w:r w:rsidR="002E0E2E">
        <w:t>be the</w:t>
      </w:r>
      <w:r w:rsidR="00C1267E">
        <w:t xml:space="preserve"> </w:t>
      </w:r>
      <w:r w:rsidR="002E0E2E">
        <w:t xml:space="preserve">most </w:t>
      </w:r>
      <w:r w:rsidR="006D02FD">
        <w:t xml:space="preserve">effective </w:t>
      </w:r>
      <w:r w:rsidR="00C1267E">
        <w:t>way to introduce the measure</w:t>
      </w:r>
      <w:r w:rsidR="00F26A9A">
        <w:t xml:space="preserve">. </w:t>
      </w:r>
    </w:p>
    <w:p w:rsidR="007D28BA" w:rsidRDefault="00436F01" w:rsidP="00495CAA">
      <w:r>
        <w:t>There w</w:t>
      </w:r>
      <w:r w:rsidR="00783CA3">
        <w:t>ere</w:t>
      </w:r>
      <w:r>
        <w:t xml:space="preserve"> concern</w:t>
      </w:r>
      <w:r w:rsidR="00783CA3">
        <w:t>s</w:t>
      </w:r>
      <w:r>
        <w:t xml:space="preserve"> from</w:t>
      </w:r>
      <w:r w:rsidR="00032498">
        <w:t xml:space="preserve"> the eight respondents </w:t>
      </w:r>
      <w:r w:rsidR="00841623">
        <w:t xml:space="preserve">who did not support this approach </w:t>
      </w:r>
      <w:r w:rsidR="00032498">
        <w:t>that</w:t>
      </w:r>
      <w:r>
        <w:t xml:space="preserve"> there may be unintended consequences to preventing anti-assignment clauses.</w:t>
      </w:r>
      <w:r w:rsidR="006C1D60">
        <w:t xml:space="preserve"> One</w:t>
      </w:r>
      <w:r w:rsidR="00BB2795">
        <w:t xml:space="preserve"> </w:t>
      </w:r>
      <w:r w:rsidR="00995D11">
        <w:t>respondent</w:t>
      </w:r>
      <w:r w:rsidR="00BB2795">
        <w:t xml:space="preserve"> </w:t>
      </w:r>
      <w:r w:rsidR="00841623">
        <w:t>argued</w:t>
      </w:r>
      <w:r w:rsidR="00BB2795">
        <w:t xml:space="preserve"> that </w:t>
      </w:r>
      <w:r w:rsidR="00841623">
        <w:t>it</w:t>
      </w:r>
      <w:r w:rsidR="00F01C55">
        <w:t xml:space="preserve"> </w:t>
      </w:r>
      <w:r w:rsidR="004E13AC">
        <w:t>would place a limit on contract</w:t>
      </w:r>
      <w:r w:rsidR="00F01C55">
        <w:t xml:space="preserve"> law </w:t>
      </w:r>
      <w:r w:rsidR="00CC03CD">
        <w:t xml:space="preserve">and this </w:t>
      </w:r>
      <w:r w:rsidR="002E0E2E">
        <w:t xml:space="preserve">particular </w:t>
      </w:r>
      <w:r w:rsidR="00CC03CD">
        <w:t xml:space="preserve">response was endorsed by five </w:t>
      </w:r>
      <w:r w:rsidR="005A6EC3">
        <w:t xml:space="preserve">other </w:t>
      </w:r>
      <w:r w:rsidR="002E0E2E">
        <w:t>organisations</w:t>
      </w:r>
      <w:r w:rsidR="003C1F4B">
        <w:t>.</w:t>
      </w:r>
      <w:r w:rsidR="00783CA3">
        <w:t xml:space="preserve"> </w:t>
      </w:r>
      <w:r w:rsidR="00995D11">
        <w:t xml:space="preserve">The respondent </w:t>
      </w:r>
      <w:r w:rsidR="00783CA3">
        <w:t>suggested</w:t>
      </w:r>
      <w:r w:rsidR="00995D11">
        <w:t xml:space="preserve"> an alternative approach, which</w:t>
      </w:r>
      <w:r w:rsidR="00032498">
        <w:t xml:space="preserve"> would</w:t>
      </w:r>
      <w:r w:rsidR="00995D11">
        <w:t xml:space="preserve"> see the change implemented </w:t>
      </w:r>
      <w:r w:rsidR="00783CA3">
        <w:t xml:space="preserve">through competition law or </w:t>
      </w:r>
      <w:r w:rsidR="00950D30">
        <w:t xml:space="preserve">alternatively through </w:t>
      </w:r>
      <w:r w:rsidR="00783CA3">
        <w:t>sectoral regulation</w:t>
      </w:r>
      <w:r w:rsidR="00950D30">
        <w:t xml:space="preserve">. </w:t>
      </w:r>
      <w:r w:rsidR="002C14CA">
        <w:t xml:space="preserve">The respondent considered that, in </w:t>
      </w:r>
      <w:r w:rsidR="00950D30">
        <w:t>any case, its scope should be limited to contracts that are enforced in England and Wales</w:t>
      </w:r>
      <w:r w:rsidR="00783CA3">
        <w:t>.</w:t>
      </w:r>
      <w:r w:rsidR="003C1F4B">
        <w:t xml:space="preserve"> </w:t>
      </w:r>
      <w:r w:rsidR="00294784">
        <w:t xml:space="preserve">The response </w:t>
      </w:r>
      <w:r w:rsidR="00995D11">
        <w:t>argued</w:t>
      </w:r>
      <w:r w:rsidR="003C1F4B">
        <w:t xml:space="preserve"> that parties from all over the world use </w:t>
      </w:r>
      <w:r w:rsidR="00032498">
        <w:t xml:space="preserve">our </w:t>
      </w:r>
      <w:r w:rsidR="00783CA3">
        <w:t>contract</w:t>
      </w:r>
      <w:r w:rsidR="00294784">
        <w:t xml:space="preserve"> l</w:t>
      </w:r>
      <w:r w:rsidR="003C1F4B">
        <w:t>aw</w:t>
      </w:r>
      <w:r w:rsidR="00783CA3">
        <w:t xml:space="preserve"> in order to do business</w:t>
      </w:r>
      <w:r w:rsidR="003C1F4B">
        <w:t xml:space="preserve"> and so there may be legitimate reasons</w:t>
      </w:r>
      <w:r w:rsidR="00783CA3">
        <w:t xml:space="preserve"> why overseas businesses included</w:t>
      </w:r>
      <w:r w:rsidR="003C1F4B">
        <w:t xml:space="preserve"> a ban on assignment</w:t>
      </w:r>
      <w:r w:rsidR="00783CA3">
        <w:t xml:space="preserve"> clause in debtors’</w:t>
      </w:r>
      <w:r w:rsidR="003C1F4B">
        <w:t xml:space="preserve"> contract</w:t>
      </w:r>
      <w:r w:rsidR="00783CA3">
        <w:t>s</w:t>
      </w:r>
      <w:r w:rsidR="003C1F4B">
        <w:t>.</w:t>
      </w:r>
    </w:p>
    <w:p w:rsidR="00F14400" w:rsidRDefault="00F14400" w:rsidP="00495CAA">
      <w:r>
        <w:t xml:space="preserve">One </w:t>
      </w:r>
      <w:r w:rsidR="004E13AC">
        <w:t>response suggested a</w:t>
      </w:r>
      <w:r w:rsidR="007D28BA">
        <w:t xml:space="preserve"> </w:t>
      </w:r>
      <w:r w:rsidR="004E13AC">
        <w:t>different approach entirely, w</w:t>
      </w:r>
      <w:r w:rsidR="00464DF3">
        <w:t>hich</w:t>
      </w:r>
      <w:r w:rsidR="001A34AD">
        <w:t xml:space="preserve"> </w:t>
      </w:r>
      <w:r w:rsidR="007D28BA">
        <w:t xml:space="preserve">called for </w:t>
      </w:r>
      <w:r w:rsidR="00950D30">
        <w:t>the Government to do more to</w:t>
      </w:r>
      <w:r w:rsidR="007D28BA">
        <w:t xml:space="preserve"> promote supply chain finance.</w:t>
      </w:r>
    </w:p>
    <w:p w:rsidR="008D77AD" w:rsidRDefault="00F14400" w:rsidP="00F14400">
      <w:pPr>
        <w:spacing w:after="0"/>
      </w:pPr>
      <w:r>
        <w:t xml:space="preserve">The final response suggested </w:t>
      </w:r>
      <w:r w:rsidR="007F014C">
        <w:t xml:space="preserve">that suppliers create </w:t>
      </w:r>
      <w:r>
        <w:t>a trust account</w:t>
      </w:r>
      <w:r w:rsidR="007F014C">
        <w:t xml:space="preserve"> between themselves and the</w:t>
      </w:r>
      <w:r>
        <w:t xml:space="preserve"> invoice financer</w:t>
      </w:r>
      <w:r w:rsidR="007F014C">
        <w:t>.</w:t>
      </w:r>
      <w:r>
        <w:t xml:space="preserve"> </w:t>
      </w:r>
    </w:p>
    <w:p w:rsidR="00F14400" w:rsidRDefault="00F14400" w:rsidP="00F14400">
      <w:pPr>
        <w:spacing w:after="0"/>
      </w:pPr>
    </w:p>
    <w:p w:rsidR="00DB2B45" w:rsidRDefault="00646608" w:rsidP="00495CAA">
      <w:pPr>
        <w:rPr>
          <w:b/>
        </w:rPr>
      </w:pPr>
      <w:r>
        <w:rPr>
          <w:b/>
        </w:rPr>
        <w:t xml:space="preserve">3. </w:t>
      </w:r>
      <w:r w:rsidR="00DB2B45" w:rsidRPr="00DB2B45">
        <w:rPr>
          <w:b/>
        </w:rPr>
        <w:t>Business to Business contracts</w:t>
      </w:r>
    </w:p>
    <w:p w:rsidR="00B26885" w:rsidRDefault="00B26885" w:rsidP="00495CAA">
      <w:r>
        <w:t>We asked</w:t>
      </w:r>
      <w:r w:rsidR="007D28BA">
        <w:t xml:space="preserve"> consultees</w:t>
      </w:r>
      <w:r>
        <w:t xml:space="preserve"> whether the proposal should be limited to business to business contracts.</w:t>
      </w:r>
      <w:r w:rsidR="007D28BA">
        <w:t xml:space="preserve"> We received </w:t>
      </w:r>
      <w:r w:rsidR="00CB261F">
        <w:t>the following responses</w:t>
      </w:r>
      <w:r w:rsidR="007D28BA">
        <w:t>.</w:t>
      </w:r>
      <w:r>
        <w:t xml:space="preserve"> </w:t>
      </w:r>
    </w:p>
    <w:p w:rsidR="00495CAA" w:rsidRDefault="00D112A6" w:rsidP="00B26885">
      <w:pPr>
        <w:pStyle w:val="ListParagraph"/>
        <w:numPr>
          <w:ilvl w:val="0"/>
          <w:numId w:val="27"/>
        </w:numPr>
      </w:pPr>
      <w:r>
        <w:t>6</w:t>
      </w:r>
      <w:r w:rsidR="00142743">
        <w:t xml:space="preserve"> responses</w:t>
      </w:r>
      <w:r w:rsidR="00B26885" w:rsidRPr="00B26885">
        <w:t xml:space="preserve"> agreed with the proposal</w:t>
      </w:r>
    </w:p>
    <w:p w:rsidR="00B26885" w:rsidRDefault="00D112A6" w:rsidP="00B26885">
      <w:pPr>
        <w:pStyle w:val="ListParagraph"/>
        <w:numPr>
          <w:ilvl w:val="0"/>
          <w:numId w:val="27"/>
        </w:numPr>
      </w:pPr>
      <w:r>
        <w:t>8</w:t>
      </w:r>
      <w:r w:rsidR="00142743">
        <w:t xml:space="preserve"> responses</w:t>
      </w:r>
      <w:r w:rsidR="004C051C">
        <w:t xml:space="preserve"> disagreed with the proposal</w:t>
      </w:r>
    </w:p>
    <w:p w:rsidR="00B26885" w:rsidRDefault="00142743" w:rsidP="00B26885">
      <w:pPr>
        <w:pStyle w:val="ListParagraph"/>
        <w:numPr>
          <w:ilvl w:val="0"/>
          <w:numId w:val="27"/>
        </w:numPr>
      </w:pPr>
      <w:r>
        <w:t xml:space="preserve">6 </w:t>
      </w:r>
      <w:r w:rsidR="00314CFD">
        <w:t>responses</w:t>
      </w:r>
      <w:r w:rsidR="00B26885">
        <w:t xml:space="preserve"> </w:t>
      </w:r>
      <w:r w:rsidR="00F01C55">
        <w:t>did not respond to</w:t>
      </w:r>
      <w:r w:rsidR="00B26885">
        <w:t xml:space="preserve"> the question</w:t>
      </w:r>
    </w:p>
    <w:p w:rsidR="00830BE4" w:rsidRDefault="004C051C" w:rsidP="004C051C">
      <w:r>
        <w:t xml:space="preserve">The </w:t>
      </w:r>
      <w:r w:rsidR="001A34AD">
        <w:t>six</w:t>
      </w:r>
      <w:r w:rsidR="00CB261F">
        <w:t xml:space="preserve"> </w:t>
      </w:r>
      <w:r>
        <w:t xml:space="preserve">respondents who agreed with the proposal thought that </w:t>
      </w:r>
      <w:r w:rsidR="00F01C55">
        <w:t>it should be limited to business to business contracts</w:t>
      </w:r>
      <w:r>
        <w:t xml:space="preserve">, with </w:t>
      </w:r>
      <w:r w:rsidR="00830BE4">
        <w:t>two</w:t>
      </w:r>
      <w:r w:rsidR="00CB261F">
        <w:t xml:space="preserve"> </w:t>
      </w:r>
      <w:r>
        <w:t xml:space="preserve">commenting that excluding consumer contracts was correct. </w:t>
      </w:r>
    </w:p>
    <w:p w:rsidR="001A34AD" w:rsidRDefault="008427E1" w:rsidP="004C051C">
      <w:r>
        <w:t xml:space="preserve">One response argued that overriding </w:t>
      </w:r>
      <w:r w:rsidR="00CB261F">
        <w:t xml:space="preserve">the </w:t>
      </w:r>
      <w:r>
        <w:t>ability</w:t>
      </w:r>
      <w:r w:rsidR="00CB261F">
        <w:t xml:space="preserve"> for businesses</w:t>
      </w:r>
      <w:r>
        <w:t xml:space="preserve"> to </w:t>
      </w:r>
      <w:r w:rsidR="00950D30">
        <w:t xml:space="preserve">freely </w:t>
      </w:r>
      <w:r>
        <w:t>agree contracts was undesirabl</w:t>
      </w:r>
      <w:r w:rsidR="001A34AD">
        <w:t xml:space="preserve">e </w:t>
      </w:r>
      <w:r>
        <w:t xml:space="preserve">and </w:t>
      </w:r>
      <w:r w:rsidR="001A34AD">
        <w:t>this</w:t>
      </w:r>
      <w:r>
        <w:t xml:space="preserve"> particular response was endorsed by five organisations. Two</w:t>
      </w:r>
      <w:r w:rsidR="004C051C">
        <w:t xml:space="preserve"> </w:t>
      </w:r>
      <w:r w:rsidR="00950D30">
        <w:t xml:space="preserve">other </w:t>
      </w:r>
      <w:r w:rsidR="004C051C">
        <w:t>respo</w:t>
      </w:r>
      <w:r w:rsidR="00CB261F">
        <w:t>ndents</w:t>
      </w:r>
      <w:r w:rsidR="004C051C">
        <w:t xml:space="preserve"> disagreed with the proposal because they felt the scope should be widened to sole traders and to Government contracts</w:t>
      </w:r>
      <w:r w:rsidR="00CB261F">
        <w:t>.</w:t>
      </w:r>
      <w:r>
        <w:t xml:space="preserve"> </w:t>
      </w:r>
    </w:p>
    <w:p w:rsidR="004C051C" w:rsidRDefault="00646608" w:rsidP="004C051C">
      <w:pPr>
        <w:rPr>
          <w:b/>
        </w:rPr>
      </w:pPr>
      <w:r>
        <w:rPr>
          <w:b/>
        </w:rPr>
        <w:t xml:space="preserve">4. </w:t>
      </w:r>
      <w:r w:rsidR="00F659E8">
        <w:rPr>
          <w:b/>
        </w:rPr>
        <w:t>Excluding Financial Services Co</w:t>
      </w:r>
      <w:r w:rsidR="00F659E8" w:rsidRPr="00F659E8">
        <w:rPr>
          <w:b/>
        </w:rPr>
        <w:t>ntracts</w:t>
      </w:r>
    </w:p>
    <w:p w:rsidR="006365E9" w:rsidRDefault="006365E9" w:rsidP="004C051C">
      <w:r>
        <w:t xml:space="preserve">Our consultation sought </w:t>
      </w:r>
      <w:r w:rsidR="003D6950">
        <w:t xml:space="preserve">views </w:t>
      </w:r>
      <w:r>
        <w:t xml:space="preserve">on whether financial services contracts should be excluded from the scope of our proposed regulations. </w:t>
      </w:r>
      <w:r w:rsidR="00CB261F">
        <w:t>The responses were as follows:</w:t>
      </w:r>
    </w:p>
    <w:p w:rsidR="00F32A90" w:rsidRDefault="00464CB3" w:rsidP="00F32A90">
      <w:pPr>
        <w:pStyle w:val="ListParagraph"/>
        <w:numPr>
          <w:ilvl w:val="0"/>
          <w:numId w:val="28"/>
        </w:numPr>
      </w:pPr>
      <w:r>
        <w:t>12</w:t>
      </w:r>
      <w:r w:rsidR="00F32A90">
        <w:t xml:space="preserve"> </w:t>
      </w:r>
      <w:r w:rsidR="00F54110">
        <w:t xml:space="preserve">responses </w:t>
      </w:r>
      <w:r w:rsidR="00F32A90">
        <w:t>agreed with the proposal</w:t>
      </w:r>
    </w:p>
    <w:p w:rsidR="00F32A90" w:rsidRDefault="00CB261F" w:rsidP="00F32A90">
      <w:pPr>
        <w:pStyle w:val="ListParagraph"/>
        <w:numPr>
          <w:ilvl w:val="0"/>
          <w:numId w:val="28"/>
        </w:numPr>
      </w:pPr>
      <w:r>
        <w:t>No</w:t>
      </w:r>
      <w:r w:rsidR="00142743">
        <w:t xml:space="preserve"> responses</w:t>
      </w:r>
      <w:r w:rsidR="00F32A90">
        <w:t xml:space="preserve"> disagreed with the proposal</w:t>
      </w:r>
    </w:p>
    <w:p w:rsidR="00F32A90" w:rsidRDefault="00464CB3" w:rsidP="00F32A90">
      <w:pPr>
        <w:pStyle w:val="ListParagraph"/>
        <w:numPr>
          <w:ilvl w:val="0"/>
          <w:numId w:val="28"/>
        </w:numPr>
      </w:pPr>
      <w:r>
        <w:t>8</w:t>
      </w:r>
      <w:r w:rsidR="00142743">
        <w:t xml:space="preserve"> </w:t>
      </w:r>
      <w:r w:rsidR="00314CFD">
        <w:t>responses</w:t>
      </w:r>
      <w:r w:rsidR="00CB261F">
        <w:t xml:space="preserve"> </w:t>
      </w:r>
      <w:r w:rsidR="00F32A90">
        <w:t xml:space="preserve">did not </w:t>
      </w:r>
      <w:r w:rsidR="00CB261F">
        <w:t>answer</w:t>
      </w:r>
      <w:r w:rsidR="008427E1">
        <w:t xml:space="preserve"> the question</w:t>
      </w:r>
    </w:p>
    <w:p w:rsidR="004E13AC" w:rsidRDefault="006825F3" w:rsidP="004C051C">
      <w:r>
        <w:t>Seven responses agreed</w:t>
      </w:r>
      <w:r w:rsidR="00375D85">
        <w:t xml:space="preserve"> that financial services products </w:t>
      </w:r>
      <w:r w:rsidR="00142743">
        <w:t xml:space="preserve">are </w:t>
      </w:r>
      <w:r w:rsidR="004E13AC">
        <w:t>different</w:t>
      </w:r>
      <w:r w:rsidR="00142743">
        <w:t xml:space="preserve"> from business to business payment contracts</w:t>
      </w:r>
      <w:r w:rsidR="00FE1D1C">
        <w:t xml:space="preserve"> and the measures should </w:t>
      </w:r>
      <w:r w:rsidR="000C4AF1">
        <w:t>not</w:t>
      </w:r>
      <w:r w:rsidR="00FE1D1C">
        <w:t xml:space="preserve"> apply</w:t>
      </w:r>
      <w:r w:rsidR="000C4AF1">
        <w:t xml:space="preserve"> to financial services contracts</w:t>
      </w:r>
      <w:r w:rsidR="00142743">
        <w:t xml:space="preserve">. </w:t>
      </w:r>
      <w:r w:rsidR="001C2D05">
        <w:t>Th</w:t>
      </w:r>
      <w:r>
        <w:t xml:space="preserve">ose seven agreed </w:t>
      </w:r>
      <w:r w:rsidR="001C2D05">
        <w:t>with the examples quoted in the consultation, a business may want to ensure that it maintains a direct relation</w:t>
      </w:r>
      <w:r w:rsidR="005B63C3">
        <w:t>ship with a bank issuing a loan or</w:t>
      </w:r>
      <w:r w:rsidR="001C2D05">
        <w:t xml:space="preserve"> </w:t>
      </w:r>
      <w:r w:rsidR="005B63C3">
        <w:t xml:space="preserve">there may be </w:t>
      </w:r>
      <w:r w:rsidR="001C2D05">
        <w:t>uncertain</w:t>
      </w:r>
      <w:r w:rsidR="005B63C3">
        <w:t>ty about the</w:t>
      </w:r>
      <w:r w:rsidR="001C2D05">
        <w:t xml:space="preserve"> credit rating of a third party in assignment of derivative produc</w:t>
      </w:r>
      <w:r w:rsidR="005B63C3">
        <w:t>ts</w:t>
      </w:r>
      <w:r w:rsidR="00283476">
        <w:t>.</w:t>
      </w:r>
      <w:r>
        <w:t xml:space="preserve"> The remaining five did not elaborate on why they agreed with excluding the financial services.</w:t>
      </w:r>
      <w:r w:rsidR="001C2D05">
        <w:t xml:space="preserve"> </w:t>
      </w:r>
    </w:p>
    <w:p w:rsidR="00FE1D1C" w:rsidRDefault="00283476" w:rsidP="004C051C">
      <w:r>
        <w:t xml:space="preserve">Finally, </w:t>
      </w:r>
      <w:r w:rsidR="006825F3">
        <w:t>a response stated that</w:t>
      </w:r>
      <w:r>
        <w:t xml:space="preserve"> exclud</w:t>
      </w:r>
      <w:r w:rsidR="006825F3">
        <w:t>ing</w:t>
      </w:r>
      <w:r>
        <w:t xml:space="preserve"> other types of contracts would make the law difficult to interpret</w:t>
      </w:r>
      <w:r w:rsidR="005F45CA">
        <w:t xml:space="preserve"> and that it would be difficult to capture all the different types of contracts defined in law</w:t>
      </w:r>
      <w:r>
        <w:t>. This particular view was supported by five other organisations</w:t>
      </w:r>
      <w:r w:rsidR="005B5AF7">
        <w:t>.</w:t>
      </w:r>
      <w:r w:rsidR="00560A88">
        <w:t xml:space="preserve"> </w:t>
      </w:r>
    </w:p>
    <w:p w:rsidR="00FE1D1C" w:rsidRDefault="00646608" w:rsidP="004C051C">
      <w:pPr>
        <w:rPr>
          <w:b/>
        </w:rPr>
      </w:pPr>
      <w:r>
        <w:rPr>
          <w:b/>
        </w:rPr>
        <w:t xml:space="preserve">5. </w:t>
      </w:r>
      <w:r w:rsidR="006365E9">
        <w:rPr>
          <w:b/>
        </w:rPr>
        <w:t xml:space="preserve">Do you agree with the list of Financial </w:t>
      </w:r>
      <w:r w:rsidR="0065357B">
        <w:rPr>
          <w:b/>
        </w:rPr>
        <w:t>Services?</w:t>
      </w:r>
    </w:p>
    <w:p w:rsidR="006365E9" w:rsidRDefault="006365E9" w:rsidP="006365E9">
      <w:r>
        <w:t>We asked participants if we should exclude financial services as listed in section 40 of the Terrorist Asset Freezing etc. Act 2010.</w:t>
      </w:r>
    </w:p>
    <w:p w:rsidR="006365E9" w:rsidRDefault="00A330EC" w:rsidP="006365E9">
      <w:pPr>
        <w:pStyle w:val="ListParagraph"/>
        <w:numPr>
          <w:ilvl w:val="0"/>
          <w:numId w:val="29"/>
        </w:numPr>
      </w:pPr>
      <w:r>
        <w:t>11</w:t>
      </w:r>
      <w:r w:rsidR="004609A9" w:rsidRPr="006365E9">
        <w:t xml:space="preserve"> </w:t>
      </w:r>
      <w:r w:rsidR="00F54110" w:rsidRPr="006365E9">
        <w:t>responses</w:t>
      </w:r>
      <w:r w:rsidR="006365E9">
        <w:t xml:space="preserve"> agreed with the </w:t>
      </w:r>
      <w:r>
        <w:t>list</w:t>
      </w:r>
    </w:p>
    <w:p w:rsidR="00A330EC" w:rsidRDefault="00A330EC" w:rsidP="006365E9">
      <w:pPr>
        <w:pStyle w:val="ListParagraph"/>
        <w:numPr>
          <w:ilvl w:val="0"/>
          <w:numId w:val="29"/>
        </w:numPr>
      </w:pPr>
      <w:r>
        <w:t xml:space="preserve">9 </w:t>
      </w:r>
      <w:r w:rsidR="00314CFD">
        <w:t>responses</w:t>
      </w:r>
      <w:r>
        <w:t xml:space="preserve"> </w:t>
      </w:r>
      <w:r w:rsidR="005F45CA">
        <w:t>did not respond to the question</w:t>
      </w:r>
    </w:p>
    <w:p w:rsidR="00F659E8" w:rsidRPr="006365E9" w:rsidRDefault="00CB261F" w:rsidP="004C051C">
      <w:r>
        <w:t xml:space="preserve">All respondents who answered agreed. </w:t>
      </w:r>
      <w:r w:rsidR="004A1F19">
        <w:t>Six</w:t>
      </w:r>
      <w:r w:rsidR="00690621">
        <w:t xml:space="preserve"> respondents agreed that the</w:t>
      </w:r>
      <w:r w:rsidR="001B4094">
        <w:t xml:space="preserve"> </w:t>
      </w:r>
      <w:r w:rsidR="00690621">
        <w:t xml:space="preserve">list from the </w:t>
      </w:r>
      <w:r w:rsidR="001B4094">
        <w:t>Terrorist As</w:t>
      </w:r>
      <w:r w:rsidR="005B5AF7">
        <w:t>set Freezing etc. Act 2010 was</w:t>
      </w:r>
      <w:r w:rsidR="001B4094">
        <w:t xml:space="preserve"> a thorough list of financial services</w:t>
      </w:r>
      <w:r w:rsidR="00EF3780">
        <w:t xml:space="preserve">. </w:t>
      </w:r>
      <w:r w:rsidR="00C454B7">
        <w:t xml:space="preserve">However, </w:t>
      </w:r>
      <w:r w:rsidR="00EF3780">
        <w:t>t</w:t>
      </w:r>
      <w:r w:rsidR="005F45CA">
        <w:t>wo</w:t>
      </w:r>
      <w:r w:rsidR="00690621">
        <w:t xml:space="preserve"> </w:t>
      </w:r>
      <w:r w:rsidR="00C454B7">
        <w:t>issues</w:t>
      </w:r>
      <w:r w:rsidR="005B63C3">
        <w:t xml:space="preserve"> </w:t>
      </w:r>
      <w:r w:rsidR="00C454B7">
        <w:t>were raised by</w:t>
      </w:r>
      <w:r w:rsidR="004A1F19">
        <w:t xml:space="preserve"> two</w:t>
      </w:r>
      <w:r w:rsidR="00C454B7">
        <w:t xml:space="preserve"> </w:t>
      </w:r>
      <w:r w:rsidR="005F45CA">
        <w:t>invoice financers</w:t>
      </w:r>
      <w:r w:rsidR="00EF3780">
        <w:t>, firstly</w:t>
      </w:r>
      <w:r w:rsidR="00C454B7">
        <w:t>,</w:t>
      </w:r>
      <w:r w:rsidR="00EF3780">
        <w:t xml:space="preserve"> that invoice disc</w:t>
      </w:r>
      <w:r w:rsidR="005B63C3">
        <w:t>ounting be included in the list</w:t>
      </w:r>
      <w:r w:rsidR="00C454B7">
        <w:t>,</w:t>
      </w:r>
      <w:r w:rsidR="005B63C3">
        <w:t xml:space="preserve"> and</w:t>
      </w:r>
      <w:r w:rsidR="00EF3780">
        <w:t xml:space="preserve"> secondly</w:t>
      </w:r>
      <w:r w:rsidR="00C454B7">
        <w:t>,</w:t>
      </w:r>
      <w:r w:rsidR="00EF3780">
        <w:t xml:space="preserve"> that invoice financing be recogni</w:t>
      </w:r>
      <w:r w:rsidR="005B5AF7">
        <w:t>sed as distinct from lending.</w:t>
      </w:r>
      <w:r w:rsidR="00EF3780">
        <w:t xml:space="preserve"> </w:t>
      </w:r>
    </w:p>
    <w:p w:rsidR="003C5298" w:rsidRDefault="002D4F57" w:rsidP="003C5298">
      <w:pPr>
        <w:pStyle w:val="Heading4"/>
      </w:pPr>
      <w:r>
        <w:t xml:space="preserve">6. </w:t>
      </w:r>
      <w:r w:rsidR="005B5AF7">
        <w:t>O</w:t>
      </w:r>
      <w:r w:rsidRPr="002D4F57">
        <w:t>ther activities that should be excluded or special provisions tha</w:t>
      </w:r>
      <w:r w:rsidR="005B5AF7">
        <w:t>t need to be taken into account</w:t>
      </w:r>
    </w:p>
    <w:p w:rsidR="00753C94" w:rsidRDefault="002D4F57" w:rsidP="002D4F57">
      <w:r>
        <w:br/>
      </w:r>
      <w:r w:rsidR="00824D43">
        <w:t xml:space="preserve">Thirteen responses raised no other issues. </w:t>
      </w:r>
      <w:r>
        <w:t xml:space="preserve">We received </w:t>
      </w:r>
      <w:r w:rsidR="00824D43">
        <w:t>seven</w:t>
      </w:r>
      <w:r>
        <w:t xml:space="preserve"> response</w:t>
      </w:r>
      <w:r w:rsidR="000C4AF1">
        <w:t>s which relayed concerns to the proposal to nullify anti-assignment clauses</w:t>
      </w:r>
      <w:r>
        <w:t>. One resp</w:t>
      </w:r>
      <w:r w:rsidR="00C454B7">
        <w:t>ondent</w:t>
      </w:r>
      <w:r>
        <w:t xml:space="preserve"> </w:t>
      </w:r>
      <w:r w:rsidR="00C454B7">
        <w:t>stated</w:t>
      </w:r>
      <w:r w:rsidR="00753C94">
        <w:t xml:space="preserve"> that it would be impossible to list all the contracts that could be caught under the nullification. This response was endorsed by five </w:t>
      </w:r>
      <w:r w:rsidR="000C4AF1">
        <w:t>other</w:t>
      </w:r>
      <w:r w:rsidR="00753C94">
        <w:t xml:space="preserve"> </w:t>
      </w:r>
      <w:r w:rsidR="004A1F19">
        <w:t>organisations;</w:t>
      </w:r>
      <w:r w:rsidR="00753C94">
        <w:t xml:space="preserve"> however</w:t>
      </w:r>
      <w:r w:rsidR="00C454B7">
        <w:t>,</w:t>
      </w:r>
      <w:r w:rsidR="00753C94">
        <w:t xml:space="preserve"> </w:t>
      </w:r>
      <w:r w:rsidR="00DD5199">
        <w:t xml:space="preserve">they did </w:t>
      </w:r>
      <w:r w:rsidR="00A954B2">
        <w:t>not</w:t>
      </w:r>
      <w:r w:rsidR="00DD5199">
        <w:t xml:space="preserve"> provide an</w:t>
      </w:r>
      <w:r w:rsidR="00753C94">
        <w:t xml:space="preserve"> example</w:t>
      </w:r>
      <w:r w:rsidR="00DD5199">
        <w:t xml:space="preserve"> </w:t>
      </w:r>
      <w:r w:rsidR="00753C94">
        <w:t xml:space="preserve">to </w:t>
      </w:r>
      <w:r w:rsidR="00C454B7">
        <w:t>support this view</w:t>
      </w:r>
      <w:r w:rsidR="00753C94">
        <w:t xml:space="preserve">. </w:t>
      </w:r>
    </w:p>
    <w:p w:rsidR="00281BE9" w:rsidRPr="008D78D9" w:rsidRDefault="00281BE9" w:rsidP="00281BE9">
      <w:pPr>
        <w:pStyle w:val="Heading3"/>
      </w:pPr>
      <w:bookmarkStart w:id="14" w:name="_Toc412731192"/>
      <w:r>
        <w:t xml:space="preserve">Exemptions from the nullification (questions </w:t>
      </w:r>
      <w:r w:rsidR="004D0520">
        <w:t>7</w:t>
      </w:r>
      <w:r>
        <w:t>-</w:t>
      </w:r>
      <w:r w:rsidR="004D0520">
        <w:t>10</w:t>
      </w:r>
      <w:r>
        <w:t>)</w:t>
      </w:r>
      <w:bookmarkEnd w:id="14"/>
    </w:p>
    <w:p w:rsidR="00984AFF" w:rsidRDefault="00984AFF" w:rsidP="005F45CA">
      <w:pPr>
        <w:spacing w:after="0"/>
        <w:rPr>
          <w:b/>
        </w:rPr>
      </w:pPr>
    </w:p>
    <w:p w:rsidR="00753C94" w:rsidRPr="009455BE" w:rsidRDefault="00753C94" w:rsidP="005F45CA">
      <w:pPr>
        <w:spacing w:after="0"/>
        <w:rPr>
          <w:b/>
        </w:rPr>
      </w:pPr>
      <w:r w:rsidRPr="009455BE">
        <w:rPr>
          <w:b/>
        </w:rPr>
        <w:t xml:space="preserve">7. </w:t>
      </w:r>
      <w:r w:rsidR="009455BE" w:rsidRPr="009455BE">
        <w:rPr>
          <w:b/>
        </w:rPr>
        <w:t>Tenancy agreements</w:t>
      </w:r>
    </w:p>
    <w:p w:rsidR="001041B7" w:rsidRDefault="001041B7" w:rsidP="002D4F57">
      <w:r>
        <w:t xml:space="preserve">We asked for views on the exclusion of tenancy agreements and interests in land from the proposals. </w:t>
      </w:r>
      <w:r w:rsidR="00C454B7">
        <w:t>The responses were as follows:</w:t>
      </w:r>
    </w:p>
    <w:p w:rsidR="001041B7" w:rsidRDefault="001041B7" w:rsidP="001041B7">
      <w:pPr>
        <w:pStyle w:val="ListParagraph"/>
        <w:numPr>
          <w:ilvl w:val="0"/>
          <w:numId w:val="30"/>
        </w:numPr>
      </w:pPr>
      <w:r>
        <w:t xml:space="preserve">9 </w:t>
      </w:r>
      <w:r w:rsidR="002C348C">
        <w:t>responses a</w:t>
      </w:r>
      <w:r>
        <w:t>greed</w:t>
      </w:r>
    </w:p>
    <w:p w:rsidR="001041B7" w:rsidRDefault="001041B7" w:rsidP="001041B7">
      <w:pPr>
        <w:pStyle w:val="ListParagraph"/>
        <w:numPr>
          <w:ilvl w:val="0"/>
          <w:numId w:val="30"/>
        </w:numPr>
      </w:pPr>
      <w:r>
        <w:t xml:space="preserve">2 </w:t>
      </w:r>
      <w:r w:rsidR="002C348C">
        <w:t xml:space="preserve"> responses d</w:t>
      </w:r>
      <w:r>
        <w:t>isagreed</w:t>
      </w:r>
    </w:p>
    <w:p w:rsidR="009455BE" w:rsidRDefault="001041B7" w:rsidP="001041B7">
      <w:pPr>
        <w:pStyle w:val="ListParagraph"/>
        <w:numPr>
          <w:ilvl w:val="0"/>
          <w:numId w:val="30"/>
        </w:numPr>
      </w:pPr>
      <w:r>
        <w:t xml:space="preserve">9 </w:t>
      </w:r>
      <w:r w:rsidR="002C348C">
        <w:t xml:space="preserve"> responses </w:t>
      </w:r>
      <w:r w:rsidR="005F45CA">
        <w:t>did not respond to the question</w:t>
      </w:r>
    </w:p>
    <w:p w:rsidR="001041B7" w:rsidRDefault="00286D4D" w:rsidP="001041B7">
      <w:r>
        <w:t>Three</w:t>
      </w:r>
      <w:r w:rsidR="0098063C">
        <w:t xml:space="preserve"> respondents agreed with this proposal without elaborating</w:t>
      </w:r>
      <w:r w:rsidR="003614E9">
        <w:t xml:space="preserve"> on</w:t>
      </w:r>
      <w:r w:rsidR="0098063C">
        <w:t xml:space="preserve"> why they </w:t>
      </w:r>
      <w:r w:rsidR="00BE795E">
        <w:t xml:space="preserve">believed tenancy agreements and </w:t>
      </w:r>
      <w:r w:rsidR="00830BE4">
        <w:t>interest</w:t>
      </w:r>
      <w:r w:rsidR="00BE795E">
        <w:t xml:space="preserve"> in land should be </w:t>
      </w:r>
      <w:r w:rsidR="00830BE4">
        <w:t>excluded. The</w:t>
      </w:r>
      <w:r w:rsidR="00BE795E">
        <w:t xml:space="preserve"> other s</w:t>
      </w:r>
      <w:r w:rsidR="005F45CA">
        <w:t>ix respo</w:t>
      </w:r>
      <w:r w:rsidR="00BE795E">
        <w:t xml:space="preserve">ndents in agreement </w:t>
      </w:r>
      <w:r w:rsidR="0098063C">
        <w:t>stated that there were clear and established rules on subletting arrangements in legislation</w:t>
      </w:r>
      <w:r w:rsidR="00281BE9">
        <w:t xml:space="preserve"> that should not be interfered with</w:t>
      </w:r>
      <w:r w:rsidR="005F45CA">
        <w:t xml:space="preserve">. </w:t>
      </w:r>
      <w:r w:rsidR="00BE795E">
        <w:t>The t</w:t>
      </w:r>
      <w:r w:rsidR="005F45CA">
        <w:t>wo respon</w:t>
      </w:r>
      <w:r w:rsidR="00BE795E">
        <w:t>dents</w:t>
      </w:r>
      <w:r w:rsidR="0098063C">
        <w:t xml:space="preserve"> </w:t>
      </w:r>
      <w:r w:rsidR="00BE795E">
        <w:t xml:space="preserve">in </w:t>
      </w:r>
      <w:r w:rsidR="0098063C">
        <w:t>disagree</w:t>
      </w:r>
      <w:r w:rsidR="00BE795E">
        <w:t>ment</w:t>
      </w:r>
      <w:r w:rsidR="005B63C3">
        <w:t xml:space="preserve"> with the proposal</w:t>
      </w:r>
      <w:r w:rsidR="0098063C">
        <w:t xml:space="preserve"> </w:t>
      </w:r>
      <w:r w:rsidR="00765E62">
        <w:t>thought that a</w:t>
      </w:r>
      <w:r w:rsidR="0098063C">
        <w:t xml:space="preserve"> </w:t>
      </w:r>
      <w:r w:rsidR="00765E62">
        <w:t>landlord</w:t>
      </w:r>
      <w:r w:rsidR="0098063C">
        <w:t xml:space="preserve"> </w:t>
      </w:r>
      <w:r w:rsidR="00765E62">
        <w:t>should be able to</w:t>
      </w:r>
      <w:r w:rsidR="0098063C">
        <w:t xml:space="preserve"> assign their right to receive rental income to a third party</w:t>
      </w:r>
      <w:r w:rsidR="00281BE9">
        <w:t>.</w:t>
      </w:r>
    </w:p>
    <w:p w:rsidR="00A9368B" w:rsidRDefault="00A9368B" w:rsidP="001041B7">
      <w:pPr>
        <w:rPr>
          <w:b/>
        </w:rPr>
      </w:pPr>
    </w:p>
    <w:p w:rsidR="00281BE9" w:rsidRDefault="00281BE9" w:rsidP="001041B7">
      <w:pPr>
        <w:rPr>
          <w:b/>
        </w:rPr>
      </w:pPr>
      <w:r w:rsidRPr="00281BE9">
        <w:rPr>
          <w:b/>
        </w:rPr>
        <w:t>8. Supply Chain Finance</w:t>
      </w:r>
    </w:p>
    <w:p w:rsidR="009B7C80" w:rsidRDefault="002B7EFA">
      <w:pPr>
        <w:pStyle w:val="Default"/>
      </w:pPr>
      <w:r>
        <w:t>O</w:t>
      </w:r>
      <w:r w:rsidR="00823531" w:rsidRPr="00823531">
        <w:t>u</w:t>
      </w:r>
      <w:r>
        <w:t xml:space="preserve">r consultation </w:t>
      </w:r>
      <w:r w:rsidR="00823531" w:rsidRPr="00823531">
        <w:t xml:space="preserve">proposed that </w:t>
      </w:r>
      <w:r w:rsidR="00981440">
        <w:t xml:space="preserve">the nullification of anti-assignment clauses </w:t>
      </w:r>
      <w:r w:rsidR="001A32A2">
        <w:t xml:space="preserve">should </w:t>
      </w:r>
      <w:r w:rsidR="00981440">
        <w:t>not extend to contracts which included exclusivity clauses</w:t>
      </w:r>
      <w:r w:rsidR="003614E9">
        <w:t xml:space="preserve"> for supply chain finance</w:t>
      </w:r>
      <w:r w:rsidR="00981440">
        <w:t xml:space="preserve">. </w:t>
      </w:r>
      <w:r w:rsidR="001A32A2">
        <w:t>Such e</w:t>
      </w:r>
      <w:r w:rsidR="00981440">
        <w:t>xclusivity clauses allow a supplier to only access the creditor’s own supply chain finance scheme and prevent an assignment of an invoice to a third party financier. We</w:t>
      </w:r>
      <w:r w:rsidR="002C348C">
        <w:t xml:space="preserve"> received a range of different </w:t>
      </w:r>
      <w:r w:rsidR="00981440">
        <w:t>views on this exemption.</w:t>
      </w:r>
      <w:r w:rsidR="00CD6B9A">
        <w:t xml:space="preserve"> </w:t>
      </w:r>
      <w:r w:rsidR="00BE795E">
        <w:t xml:space="preserve"> The responses were as follows: </w:t>
      </w:r>
    </w:p>
    <w:p w:rsidR="00A0176B" w:rsidRDefault="00A0176B">
      <w:pPr>
        <w:pStyle w:val="Default"/>
      </w:pPr>
    </w:p>
    <w:p w:rsidR="00823531" w:rsidRPr="00823531" w:rsidRDefault="00981440" w:rsidP="00823531">
      <w:pPr>
        <w:pStyle w:val="ListParagraph"/>
        <w:numPr>
          <w:ilvl w:val="0"/>
          <w:numId w:val="31"/>
        </w:numPr>
      </w:pPr>
      <w:r>
        <w:t xml:space="preserve">7 </w:t>
      </w:r>
      <w:r w:rsidR="002C348C">
        <w:t xml:space="preserve">responses </w:t>
      </w:r>
      <w:r>
        <w:t>a</w:t>
      </w:r>
      <w:r w:rsidR="00823531" w:rsidRPr="00823531">
        <w:t xml:space="preserve">greed </w:t>
      </w:r>
      <w:r w:rsidR="002C348C">
        <w:t xml:space="preserve">that </w:t>
      </w:r>
      <w:r w:rsidR="00464E32">
        <w:t xml:space="preserve">contracts with </w:t>
      </w:r>
      <w:r w:rsidR="002C348C">
        <w:t xml:space="preserve">exclusivity clauses should </w:t>
      </w:r>
      <w:r w:rsidR="00CD6B9A">
        <w:t>be exempt</w:t>
      </w:r>
    </w:p>
    <w:p w:rsidR="00823531" w:rsidRPr="00823531" w:rsidRDefault="00823531" w:rsidP="00823531">
      <w:pPr>
        <w:pStyle w:val="ListParagraph"/>
        <w:numPr>
          <w:ilvl w:val="0"/>
          <w:numId w:val="31"/>
        </w:numPr>
      </w:pPr>
      <w:r w:rsidRPr="00823531">
        <w:t xml:space="preserve">11 </w:t>
      </w:r>
      <w:r w:rsidR="002C348C">
        <w:t xml:space="preserve">responses </w:t>
      </w:r>
      <w:r w:rsidR="00981440">
        <w:t>o</w:t>
      </w:r>
      <w:r w:rsidR="002C348C">
        <w:t>bjected to this</w:t>
      </w:r>
      <w:r w:rsidRPr="00823531">
        <w:t xml:space="preserve"> exemption</w:t>
      </w:r>
    </w:p>
    <w:p w:rsidR="00281BE9" w:rsidRPr="00823531" w:rsidRDefault="00823531" w:rsidP="00823531">
      <w:pPr>
        <w:pStyle w:val="ListParagraph"/>
        <w:numPr>
          <w:ilvl w:val="0"/>
          <w:numId w:val="31"/>
        </w:numPr>
      </w:pPr>
      <w:r w:rsidRPr="00823531">
        <w:t xml:space="preserve">2 </w:t>
      </w:r>
      <w:r w:rsidR="002C348C">
        <w:t>response</w:t>
      </w:r>
      <w:r w:rsidR="00346CA7">
        <w:t>s</w:t>
      </w:r>
      <w:r w:rsidR="002C348C">
        <w:t xml:space="preserve"> </w:t>
      </w:r>
      <w:r w:rsidR="000D7FCB">
        <w:t>did not respond to the question</w:t>
      </w:r>
    </w:p>
    <w:p w:rsidR="006825F3" w:rsidRDefault="00CD6B9A" w:rsidP="001041B7">
      <w:r>
        <w:t>One respondent</w:t>
      </w:r>
      <w:r w:rsidR="00981440">
        <w:t xml:space="preserve"> who agreed to the proposition explained that </w:t>
      </w:r>
      <w:r w:rsidR="001A34AD">
        <w:t>regulations should not interfere with the</w:t>
      </w:r>
      <w:r w:rsidR="0033034E">
        <w:t xml:space="preserve"> free negotiat</w:t>
      </w:r>
      <w:r w:rsidR="001A34AD">
        <w:t>ion of contracts between</w:t>
      </w:r>
      <w:r w:rsidR="0033034E">
        <w:t xml:space="preserve"> parties</w:t>
      </w:r>
      <w:r w:rsidR="003614E9">
        <w:t>.</w:t>
      </w:r>
      <w:r w:rsidR="0033034E">
        <w:t xml:space="preserve"> </w:t>
      </w:r>
      <w:r w:rsidR="003614E9">
        <w:t>T</w:t>
      </w:r>
      <w:r w:rsidR="0033034E">
        <w:t>his view was supported by five other organisations.</w:t>
      </w:r>
      <w:r>
        <w:t xml:space="preserve"> </w:t>
      </w:r>
      <w:r w:rsidR="00ED07CD">
        <w:t>No other views were expressed in support to the proposal.</w:t>
      </w:r>
    </w:p>
    <w:p w:rsidR="001C2503" w:rsidRDefault="00824D43" w:rsidP="001041B7">
      <w:r>
        <w:t>Eight</w:t>
      </w:r>
      <w:r w:rsidR="006825F3">
        <w:t xml:space="preserve"> of the responses which </w:t>
      </w:r>
      <w:r w:rsidR="0033034E" w:rsidRPr="0033034E">
        <w:t>objected</w:t>
      </w:r>
      <w:r w:rsidR="0033034E">
        <w:t xml:space="preserve"> were clear that they viewed </w:t>
      </w:r>
      <w:r w:rsidR="006145C1">
        <w:t>the nullification of anti-assignment clauses</w:t>
      </w:r>
      <w:r w:rsidR="0033034E">
        <w:t xml:space="preserve"> as being unfairly restrictive on a business wishing to assign a debt</w:t>
      </w:r>
      <w:r w:rsidR="006145C1">
        <w:t xml:space="preserve"> which would limit </w:t>
      </w:r>
      <w:r w:rsidR="00346CA7">
        <w:t>the financial options available to SMEs</w:t>
      </w:r>
      <w:r w:rsidR="0033034E">
        <w:t>.</w:t>
      </w:r>
      <w:r w:rsidR="00346CA7">
        <w:t xml:space="preserve"> </w:t>
      </w:r>
      <w:r w:rsidR="003614E9">
        <w:t xml:space="preserve">Invoice financers, who in some cases also provided supply chain finance, </w:t>
      </w:r>
      <w:r w:rsidR="0033034E">
        <w:t xml:space="preserve">thought that </w:t>
      </w:r>
      <w:r w:rsidR="003614E9">
        <w:t>it</w:t>
      </w:r>
      <w:r w:rsidR="0033034E">
        <w:t xml:space="preserve"> would</w:t>
      </w:r>
      <w:r w:rsidR="00E3508B">
        <w:t xml:space="preserve"> not be uneconomical and would</w:t>
      </w:r>
      <w:r w:rsidR="003614E9">
        <w:t xml:space="preserve"> remain</w:t>
      </w:r>
      <w:r w:rsidR="0033034E">
        <w:t xml:space="preserve"> commercially viable without legislation</w:t>
      </w:r>
      <w:r w:rsidR="003614E9">
        <w:t>.</w:t>
      </w:r>
      <w:r w:rsidR="00464E32">
        <w:t xml:space="preserve"> They also voiced concerns that debtors would place exclusivity clauses into contracts for disingenuous reasons</w:t>
      </w:r>
      <w:r w:rsidR="00C22200">
        <w:t xml:space="preserve">. Two responses mentioned that other jurisdictions with laws which nullify anti-assignment clauses do not have provisions which protect the interests of </w:t>
      </w:r>
      <w:r w:rsidR="009B7C80">
        <w:t>supply chain finance</w:t>
      </w:r>
      <w:r w:rsidR="00C22200">
        <w:t xml:space="preserve">.   </w:t>
      </w:r>
    </w:p>
    <w:p w:rsidR="00281BE9" w:rsidRDefault="001C2503" w:rsidP="001041B7">
      <w:r w:rsidRPr="001C2503">
        <w:rPr>
          <w:b/>
        </w:rPr>
        <w:t>9. Commercial Confidentiality</w:t>
      </w:r>
    </w:p>
    <w:p w:rsidR="001C2503" w:rsidRDefault="00801B47" w:rsidP="001041B7">
      <w:r>
        <w:t xml:space="preserve">We also considered the issue of debtors wishing to </w:t>
      </w:r>
      <w:r w:rsidR="00C22200">
        <w:t xml:space="preserve">keep commercially sensitive information </w:t>
      </w:r>
      <w:r w:rsidR="00215B52">
        <w:t>confidential when an</w:t>
      </w:r>
      <w:r>
        <w:t xml:space="preserve"> assignment</w:t>
      </w:r>
      <w:r w:rsidR="006157D0">
        <w:t xml:space="preserve"> of their invoices</w:t>
      </w:r>
      <w:r>
        <w:t xml:space="preserve"> </w:t>
      </w:r>
      <w:r w:rsidR="006157D0">
        <w:t>was</w:t>
      </w:r>
      <w:r>
        <w:t xml:space="preserve"> made. </w:t>
      </w:r>
      <w:r w:rsidR="00215B52">
        <w:t>Our</w:t>
      </w:r>
      <w:r w:rsidR="009B7C80">
        <w:t xml:space="preserve"> consultation</w:t>
      </w:r>
      <w:r w:rsidR="00215B52">
        <w:t xml:space="preserve"> set out to test this assumption.</w:t>
      </w:r>
      <w:r>
        <w:t xml:space="preserve"> </w:t>
      </w:r>
      <w:r w:rsidR="006825F3">
        <w:t>We proposed that debtors wishing to keep their commercially sensitive information private should be able to ban assignment of invoices.</w:t>
      </w:r>
    </w:p>
    <w:p w:rsidR="002C348C" w:rsidRDefault="00801B47" w:rsidP="002C348C">
      <w:pPr>
        <w:pStyle w:val="ListParagraph"/>
        <w:numPr>
          <w:ilvl w:val="0"/>
          <w:numId w:val="32"/>
        </w:numPr>
      </w:pPr>
      <w:r>
        <w:t xml:space="preserve">9 respondents agreed that </w:t>
      </w:r>
      <w:r w:rsidR="00215B52">
        <w:t>protecting commercially sensitive information was grounds to prevent an assignment</w:t>
      </w:r>
    </w:p>
    <w:p w:rsidR="00801B47" w:rsidRDefault="002C348C" w:rsidP="002C348C">
      <w:pPr>
        <w:pStyle w:val="ListParagraph"/>
        <w:numPr>
          <w:ilvl w:val="0"/>
          <w:numId w:val="32"/>
        </w:numPr>
      </w:pPr>
      <w:r>
        <w:t>11 respond</w:t>
      </w:r>
      <w:r w:rsidR="00215B52">
        <w:t>ents objected to this exemption</w:t>
      </w:r>
    </w:p>
    <w:p w:rsidR="00801B47" w:rsidRDefault="00A0176B" w:rsidP="001041B7">
      <w:r>
        <w:t>One response</w:t>
      </w:r>
      <w:r w:rsidR="00195539">
        <w:t xml:space="preserve"> argue</w:t>
      </w:r>
      <w:r>
        <w:t>d</w:t>
      </w:r>
      <w:r w:rsidR="00195539">
        <w:t xml:space="preserve"> in support of this exemption</w:t>
      </w:r>
      <w:r>
        <w:t xml:space="preserve"> and stated</w:t>
      </w:r>
      <w:r w:rsidR="00195539">
        <w:t xml:space="preserve"> </w:t>
      </w:r>
      <w:r>
        <w:t>that</w:t>
      </w:r>
      <w:r w:rsidR="00195539">
        <w:t xml:space="preserve"> contracting parties should be free to negotiate terms</w:t>
      </w:r>
      <w:r>
        <w:t xml:space="preserve">. This response was endorsed by five other organisations. </w:t>
      </w:r>
      <w:r w:rsidR="00950D30">
        <w:t>Similarly,</w:t>
      </w:r>
      <w:r w:rsidR="00195539">
        <w:t xml:space="preserve"> </w:t>
      </w:r>
      <w:r w:rsidR="00950D30">
        <w:t>s</w:t>
      </w:r>
      <w:r>
        <w:t>even responses stated that</w:t>
      </w:r>
      <w:r w:rsidR="00195539">
        <w:t xml:space="preserve"> large companies had a right to protect their commercial confidentiality.</w:t>
      </w:r>
      <w:r w:rsidR="008B7DCC">
        <w:t xml:space="preserve"> The remaining </w:t>
      </w:r>
      <w:r w:rsidR="00DB62E8">
        <w:t>two responses</w:t>
      </w:r>
      <w:r w:rsidR="008B7DCC">
        <w:t xml:space="preserve"> did not elaborate on why they supported this exemption.</w:t>
      </w:r>
      <w:r w:rsidR="00DB62E8">
        <w:t xml:space="preserve"> </w:t>
      </w:r>
      <w:r w:rsidR="00215B52">
        <w:t>None of the responses</w:t>
      </w:r>
      <w:r w:rsidR="00195539">
        <w:t xml:space="preserve"> that a</w:t>
      </w:r>
      <w:r w:rsidR="00215B52">
        <w:t xml:space="preserve">greed with the exemption were </w:t>
      </w:r>
      <w:r w:rsidR="00195539">
        <w:t>able to give examples of where their commercial confidentiality could be impinged by an assignment. One respondent who objected to the exemption thought that there should be a way to protect commercial confidentiality for national security reasons.</w:t>
      </w:r>
    </w:p>
    <w:p w:rsidR="00E079AF" w:rsidRDefault="00824D43" w:rsidP="001041B7">
      <w:r>
        <w:t>Seven responses</w:t>
      </w:r>
      <w:r w:rsidR="00195539">
        <w:t xml:space="preserve"> </w:t>
      </w:r>
      <w:r>
        <w:t>which</w:t>
      </w:r>
      <w:r w:rsidR="00195539">
        <w:t xml:space="preserve"> objected to the exemption expressed similar arguments to the exclusivity clauses</w:t>
      </w:r>
      <w:r w:rsidR="00F372EF">
        <w:t xml:space="preserve"> for supply chain finance</w:t>
      </w:r>
      <w:r w:rsidR="00195539">
        <w:t xml:space="preserve">. </w:t>
      </w:r>
      <w:r w:rsidR="00286D4D">
        <w:t>Invoice financers generally</w:t>
      </w:r>
      <w:r w:rsidR="000F37F3">
        <w:t xml:space="preserve"> thought that commercial confidentiality clauses </w:t>
      </w:r>
      <w:r w:rsidR="00215B52">
        <w:t>c</w:t>
      </w:r>
      <w:r w:rsidR="000F37F3">
        <w:t>ould be used frequently</w:t>
      </w:r>
      <w:r w:rsidR="002A5DEC">
        <w:t xml:space="preserve"> and disingenuously </w:t>
      </w:r>
      <w:r w:rsidR="000F37F3">
        <w:t xml:space="preserve">by debtors to prevent assignments. </w:t>
      </w:r>
      <w:r w:rsidR="00ED07CD">
        <w:t xml:space="preserve">One </w:t>
      </w:r>
      <w:r w:rsidR="000F37F3">
        <w:t>respondent went further and stated that normal invoice information is already</w:t>
      </w:r>
      <w:r w:rsidR="002A5DEC">
        <w:t xml:space="preserve"> exempt from confidentiality for VAT purposes by HMRC and the supplier’s auditors, insolvency practitioners and legal advisers. Other issues cited were that</w:t>
      </w:r>
      <w:r w:rsidR="002A5DEC" w:rsidRPr="002A5DEC">
        <w:t xml:space="preserve"> this would </w:t>
      </w:r>
      <w:r w:rsidR="00E35C69">
        <w:t>not prevent</w:t>
      </w:r>
      <w:r w:rsidR="002A5DEC" w:rsidRPr="002A5DEC">
        <w:t xml:space="preserve"> invoice financers</w:t>
      </w:r>
      <w:r w:rsidR="00E35C69">
        <w:t xml:space="preserve"> from</w:t>
      </w:r>
      <w:r w:rsidR="00E079AF">
        <w:t xml:space="preserve"> seek</w:t>
      </w:r>
      <w:r w:rsidR="00E35C69">
        <w:t>ing</w:t>
      </w:r>
      <w:r w:rsidR="00E079AF">
        <w:t xml:space="preserve"> out </w:t>
      </w:r>
      <w:r w:rsidR="00E35C69">
        <w:t>waivers and work</w:t>
      </w:r>
      <w:r w:rsidR="00E079AF">
        <w:t xml:space="preserve">arounds, therefore </w:t>
      </w:r>
      <w:r w:rsidR="00E35C69">
        <w:t xml:space="preserve">maintaining </w:t>
      </w:r>
      <w:r w:rsidR="00E079AF">
        <w:t>costs</w:t>
      </w:r>
      <w:r w:rsidR="00F372EF">
        <w:t xml:space="preserve">. </w:t>
      </w:r>
      <w:r w:rsidR="00FE1CC4">
        <w:t>One respon</w:t>
      </w:r>
      <w:r w:rsidR="00ED07CD">
        <w:t>dent</w:t>
      </w:r>
      <w:r w:rsidR="00F372EF">
        <w:t xml:space="preserve"> </w:t>
      </w:r>
      <w:r w:rsidR="00ED07CD">
        <w:t>explained</w:t>
      </w:r>
      <w:r w:rsidR="00E079AF">
        <w:t xml:space="preserve"> that</w:t>
      </w:r>
      <w:r w:rsidR="00FE1CC4">
        <w:t xml:space="preserve"> banks are</w:t>
      </w:r>
      <w:r w:rsidR="00E079AF">
        <w:t xml:space="preserve"> bound by a duty of secrecy</w:t>
      </w:r>
      <w:r w:rsidR="00F372EF">
        <w:t xml:space="preserve"> to keep commercial practices confidential</w:t>
      </w:r>
      <w:r w:rsidR="00950D30">
        <w:t>,</w:t>
      </w:r>
      <w:r w:rsidR="00E079AF">
        <w:t xml:space="preserve"> </w:t>
      </w:r>
      <w:r w:rsidR="00950D30">
        <w:t>and that this duty has to date</w:t>
      </w:r>
      <w:r w:rsidR="00E079AF">
        <w:t xml:space="preserve"> </w:t>
      </w:r>
      <w:r w:rsidR="0072710A">
        <w:t>not been significantly breached.</w:t>
      </w:r>
    </w:p>
    <w:p w:rsidR="00C3599A" w:rsidRPr="00C3599A" w:rsidRDefault="00C3599A" w:rsidP="001041B7">
      <w:pPr>
        <w:rPr>
          <w:b/>
        </w:rPr>
      </w:pPr>
      <w:r w:rsidRPr="00C3599A">
        <w:rPr>
          <w:b/>
        </w:rPr>
        <w:t>10</w:t>
      </w:r>
      <w:r w:rsidR="007A5D45">
        <w:rPr>
          <w:b/>
        </w:rPr>
        <w:t>.</w:t>
      </w:r>
      <w:r w:rsidRPr="00C3599A">
        <w:rPr>
          <w:b/>
        </w:rPr>
        <w:t xml:space="preserve"> Linked Contracts</w:t>
      </w:r>
    </w:p>
    <w:p w:rsidR="00B97792" w:rsidRDefault="0072710A" w:rsidP="001041B7">
      <w:r>
        <w:t>Contracting parties often agree a master contract setting the overall terms and conditions for business before issuing an individual cont</w:t>
      </w:r>
      <w:r w:rsidR="008B7DCC">
        <w:t>r</w:t>
      </w:r>
      <w:r>
        <w:t xml:space="preserve">act for batches of goods and services. </w:t>
      </w:r>
      <w:r w:rsidR="00B97792">
        <w:t xml:space="preserve">The anti-assignment clause can be contained in these master contracts rather than </w:t>
      </w:r>
      <w:r w:rsidR="00A21E94">
        <w:t xml:space="preserve">in </w:t>
      </w:r>
      <w:r w:rsidR="00B97792">
        <w:t xml:space="preserve">specific contracts. </w:t>
      </w:r>
      <w:r w:rsidR="00FE1CC4">
        <w:t xml:space="preserve">Our proposal stated </w:t>
      </w:r>
      <w:r w:rsidR="00B97792">
        <w:t xml:space="preserve">that the nullification of anti-assignment clauses should extend to those contracts as well. We received </w:t>
      </w:r>
      <w:r w:rsidR="00ED07CD">
        <w:t>the following responses to this proposal:</w:t>
      </w:r>
    </w:p>
    <w:p w:rsidR="00B97792" w:rsidRDefault="000C64A1" w:rsidP="00B97792">
      <w:pPr>
        <w:pStyle w:val="ListParagraph"/>
        <w:numPr>
          <w:ilvl w:val="0"/>
          <w:numId w:val="34"/>
        </w:numPr>
      </w:pPr>
      <w:r>
        <w:t>15</w:t>
      </w:r>
      <w:r w:rsidR="00B97792">
        <w:t xml:space="preserve"> responses agreed that the nullification should extend to linked contracts</w:t>
      </w:r>
    </w:p>
    <w:p w:rsidR="00B97792" w:rsidRDefault="006B39F8" w:rsidP="00B97792">
      <w:pPr>
        <w:pStyle w:val="ListParagraph"/>
        <w:numPr>
          <w:ilvl w:val="0"/>
          <w:numId w:val="34"/>
        </w:numPr>
      </w:pPr>
      <w:r>
        <w:t>No respondents</w:t>
      </w:r>
      <w:r w:rsidR="00B97792">
        <w:t xml:space="preserve"> disagreed that the nullification should extend to linked contracts</w:t>
      </w:r>
    </w:p>
    <w:p w:rsidR="00B97792" w:rsidRDefault="00B97792" w:rsidP="00B97792">
      <w:pPr>
        <w:pStyle w:val="ListParagraph"/>
        <w:numPr>
          <w:ilvl w:val="0"/>
          <w:numId w:val="34"/>
        </w:numPr>
      </w:pPr>
      <w:r>
        <w:t xml:space="preserve">5 responses </w:t>
      </w:r>
      <w:r w:rsidR="000D7FCB">
        <w:t>did not respond to the question</w:t>
      </w:r>
    </w:p>
    <w:p w:rsidR="00C3599A" w:rsidRDefault="001A34AD" w:rsidP="001041B7">
      <w:r>
        <w:t>Fifteen r</w:t>
      </w:r>
      <w:r w:rsidR="00B97792">
        <w:t xml:space="preserve">esponses </w:t>
      </w:r>
      <w:r w:rsidR="005A7335">
        <w:t xml:space="preserve">from </w:t>
      </w:r>
      <w:r w:rsidR="00B97792">
        <w:t>oth</w:t>
      </w:r>
      <w:r w:rsidR="005A7335">
        <w:t>er organisations agreed with this</w:t>
      </w:r>
      <w:r w:rsidR="00B97792">
        <w:t xml:space="preserve"> principle without elaborating on why they agreed with the proposal</w:t>
      </w:r>
      <w:r w:rsidR="000C64A1">
        <w:t>.</w:t>
      </w:r>
    </w:p>
    <w:p w:rsidR="00565124" w:rsidRPr="008D78D9" w:rsidRDefault="00565124" w:rsidP="00FE1CC4">
      <w:pPr>
        <w:pStyle w:val="Heading3"/>
        <w:spacing w:after="0"/>
      </w:pPr>
      <w:bookmarkStart w:id="15" w:name="_Toc412731193"/>
      <w:r>
        <w:t>Effects on the Market (questions 11-15)</w:t>
      </w:r>
      <w:bookmarkEnd w:id="15"/>
    </w:p>
    <w:p w:rsidR="00565124" w:rsidRDefault="00565124" w:rsidP="00FE1CC4">
      <w:pPr>
        <w:spacing w:after="0"/>
      </w:pPr>
    </w:p>
    <w:p w:rsidR="00D876A1" w:rsidRDefault="00D876A1" w:rsidP="001041B7">
      <w:pPr>
        <w:rPr>
          <w:b/>
        </w:rPr>
      </w:pPr>
      <w:r w:rsidRPr="00F709D3">
        <w:rPr>
          <w:b/>
        </w:rPr>
        <w:t>11</w:t>
      </w:r>
      <w:r w:rsidR="007A5D45">
        <w:rPr>
          <w:b/>
        </w:rPr>
        <w:t>.</w:t>
      </w:r>
      <w:r w:rsidRPr="00F709D3">
        <w:rPr>
          <w:b/>
        </w:rPr>
        <w:t xml:space="preserve"> </w:t>
      </w:r>
      <w:r w:rsidR="00F709D3" w:rsidRPr="00F709D3">
        <w:rPr>
          <w:b/>
        </w:rPr>
        <w:t>Invoice Finance Beneficiaries</w:t>
      </w:r>
    </w:p>
    <w:p w:rsidR="00F709D3" w:rsidRPr="00F709D3" w:rsidRDefault="002070F3" w:rsidP="001041B7">
      <w:r>
        <w:t>T</w:t>
      </w:r>
      <w:r w:rsidR="005A7335">
        <w:t>he Small Business, Employment and Enterprise Bill</w:t>
      </w:r>
      <w:r>
        <w:t xml:space="preserve"> </w:t>
      </w:r>
      <w:r w:rsidR="00A0579D">
        <w:t xml:space="preserve">allows </w:t>
      </w:r>
      <w:r w:rsidR="005A7335">
        <w:t>the Government</w:t>
      </w:r>
      <w:r w:rsidR="00F709D3">
        <w:t xml:space="preserve"> </w:t>
      </w:r>
      <w:r>
        <w:t>to cho</w:t>
      </w:r>
      <w:r w:rsidR="00A0579D">
        <w:t>o</w:t>
      </w:r>
      <w:r>
        <w:t>se to p</w:t>
      </w:r>
      <w:r w:rsidR="00F709D3">
        <w:t>rohibit assignment of invoices</w:t>
      </w:r>
      <w:r w:rsidR="006B39F8">
        <w:t>, for example,</w:t>
      </w:r>
      <w:r w:rsidR="00F709D3">
        <w:t xml:space="preserve"> to </w:t>
      </w:r>
      <w:r w:rsidR="00220B27">
        <w:t xml:space="preserve">any organisation other than </w:t>
      </w:r>
      <w:r w:rsidR="005A7335">
        <w:t>dedicated invoice financers</w:t>
      </w:r>
      <w:r w:rsidR="00C802BA">
        <w:t>. The consultation</w:t>
      </w:r>
      <w:r>
        <w:t xml:space="preserve"> instead</w:t>
      </w:r>
      <w:r w:rsidR="00C802BA">
        <w:t xml:space="preserve"> </w:t>
      </w:r>
      <w:r w:rsidR="005A7335">
        <w:t>proposed</w:t>
      </w:r>
      <w:r w:rsidR="00C802BA">
        <w:t xml:space="preserve"> that </w:t>
      </w:r>
      <w:r w:rsidR="006B39F8">
        <w:t>the regulations should not prescribe</w:t>
      </w:r>
      <w:r w:rsidR="00C802BA">
        <w:t xml:space="preserve"> who an</w:t>
      </w:r>
      <w:r w:rsidR="006B39F8">
        <w:t xml:space="preserve"> invoice could be </w:t>
      </w:r>
      <w:r w:rsidR="00C802BA">
        <w:t>assigne</w:t>
      </w:r>
      <w:r w:rsidR="006B39F8">
        <w:t>d to</w:t>
      </w:r>
      <w:r w:rsidR="00C802BA">
        <w:t xml:space="preserve">. </w:t>
      </w:r>
      <w:r w:rsidR="008B7DCC">
        <w:t>The responses were as follows:</w:t>
      </w:r>
    </w:p>
    <w:p w:rsidR="00C833F3" w:rsidRDefault="00C833F3" w:rsidP="00C833F3">
      <w:pPr>
        <w:pStyle w:val="ListParagraph"/>
        <w:numPr>
          <w:ilvl w:val="0"/>
          <w:numId w:val="35"/>
        </w:numPr>
      </w:pPr>
      <w:r>
        <w:t>15 responses agreed with th</w:t>
      </w:r>
      <w:r w:rsidR="008B7DCC">
        <w:t xml:space="preserve">e proposal not to </w:t>
      </w:r>
      <w:r>
        <w:t>prescribe who should benefit from assignment</w:t>
      </w:r>
    </w:p>
    <w:p w:rsidR="00E41E6E" w:rsidRPr="00C3599A" w:rsidRDefault="00E41E6E" w:rsidP="00C833F3">
      <w:pPr>
        <w:pStyle w:val="ListParagraph"/>
        <w:numPr>
          <w:ilvl w:val="0"/>
          <w:numId w:val="35"/>
        </w:numPr>
      </w:pPr>
      <w:r>
        <w:t>No respondents disagreed with the proposal not to prescribe who should benefit from assignment</w:t>
      </w:r>
    </w:p>
    <w:p w:rsidR="00F709D3" w:rsidRDefault="00F709D3" w:rsidP="00F709D3">
      <w:pPr>
        <w:pStyle w:val="ListParagraph"/>
        <w:numPr>
          <w:ilvl w:val="0"/>
          <w:numId w:val="35"/>
        </w:numPr>
      </w:pPr>
      <w:r>
        <w:t xml:space="preserve">5 </w:t>
      </w:r>
      <w:r w:rsidR="00C833F3">
        <w:t xml:space="preserve">responses </w:t>
      </w:r>
      <w:r w:rsidR="00314CFD">
        <w:t>did not respond to the question</w:t>
      </w:r>
    </w:p>
    <w:p w:rsidR="00C802BA" w:rsidRDefault="00E12896" w:rsidP="001041B7">
      <w:r>
        <w:t xml:space="preserve">Three of the invoice financer responses </w:t>
      </w:r>
      <w:r w:rsidR="00E41E6E">
        <w:t>argued</w:t>
      </w:r>
      <w:r w:rsidR="00C802BA">
        <w:t xml:space="preserve"> </w:t>
      </w:r>
      <w:r w:rsidR="005A7335">
        <w:t xml:space="preserve">that invoice finance was not recognised </w:t>
      </w:r>
      <w:r w:rsidR="00314CFD">
        <w:t>in</w:t>
      </w:r>
      <w:r w:rsidR="00C802BA">
        <w:t xml:space="preserve"> law, therefore making it difficult to enact </w:t>
      </w:r>
      <w:r w:rsidR="006B39F8">
        <w:t xml:space="preserve">this proposal </w:t>
      </w:r>
      <w:r w:rsidR="00C802BA">
        <w:t xml:space="preserve">without considerable </w:t>
      </w:r>
      <w:r w:rsidR="00220B27">
        <w:t>legislative amendments</w:t>
      </w:r>
      <w:r w:rsidR="00C802BA">
        <w:t xml:space="preserve">. </w:t>
      </w:r>
      <w:r>
        <w:t>Two responses</w:t>
      </w:r>
      <w:r w:rsidR="007A5D45">
        <w:t xml:space="preserve"> </w:t>
      </w:r>
      <w:r w:rsidR="002070F3">
        <w:t>similarly</w:t>
      </w:r>
      <w:r w:rsidR="007A5D45">
        <w:t xml:space="preserve"> </w:t>
      </w:r>
      <w:r w:rsidR="0091561D">
        <w:t>thought</w:t>
      </w:r>
      <w:r w:rsidR="007A5D45">
        <w:t xml:space="preserve"> that </w:t>
      </w:r>
      <w:r w:rsidR="002070F3">
        <w:t>not enacting this proposal</w:t>
      </w:r>
      <w:r w:rsidR="007A5D45">
        <w:t xml:space="preserve"> would enable finance providers to compete on a level playing field and allow new businesses to enter the market.</w:t>
      </w:r>
      <w:r w:rsidR="00BA1B74">
        <w:t xml:space="preserve"> </w:t>
      </w:r>
    </w:p>
    <w:p w:rsidR="007A5D45" w:rsidRPr="007A5D45" w:rsidRDefault="007A5D45" w:rsidP="001041B7">
      <w:pPr>
        <w:rPr>
          <w:b/>
        </w:rPr>
      </w:pPr>
      <w:r w:rsidRPr="007A5D45">
        <w:rPr>
          <w:b/>
        </w:rPr>
        <w:t>12</w:t>
      </w:r>
      <w:r>
        <w:rPr>
          <w:b/>
        </w:rPr>
        <w:t>.</w:t>
      </w:r>
      <w:r w:rsidR="00E12896">
        <w:rPr>
          <w:b/>
        </w:rPr>
        <w:t xml:space="preserve"> Damages to Debtors</w:t>
      </w:r>
    </w:p>
    <w:p w:rsidR="007A5D45" w:rsidRDefault="0049656A" w:rsidP="001041B7">
      <w:r>
        <w:t xml:space="preserve">Our consultation asked </w:t>
      </w:r>
      <w:r w:rsidR="006B39F8">
        <w:t>whether the</w:t>
      </w:r>
      <w:r w:rsidR="00E12896">
        <w:t xml:space="preserve"> secondary legislation </w:t>
      </w:r>
      <w:r w:rsidR="006B39F8">
        <w:t xml:space="preserve">should include provisions to </w:t>
      </w:r>
      <w:r>
        <w:t xml:space="preserve">protect the debtor from damages </w:t>
      </w:r>
      <w:r w:rsidR="006B39F8">
        <w:t>where an invoice is</w:t>
      </w:r>
      <w:r>
        <w:t xml:space="preserve"> assign</w:t>
      </w:r>
      <w:r w:rsidR="006B39F8">
        <w:t>ed</w:t>
      </w:r>
      <w:r>
        <w:t xml:space="preserve"> to a third party.</w:t>
      </w:r>
      <w:r w:rsidR="00C833F3">
        <w:t xml:space="preserve"> </w:t>
      </w:r>
      <w:r w:rsidR="006B39F8">
        <w:t>The responses were as follows:</w:t>
      </w:r>
    </w:p>
    <w:p w:rsidR="00C833F3" w:rsidRDefault="00C833F3" w:rsidP="00C833F3">
      <w:pPr>
        <w:pStyle w:val="ListParagraph"/>
        <w:numPr>
          <w:ilvl w:val="0"/>
          <w:numId w:val="36"/>
        </w:numPr>
      </w:pPr>
      <w:r>
        <w:t xml:space="preserve">7 responses agreed that no further provisions needed to be created in order to protect debtors </w:t>
      </w:r>
    </w:p>
    <w:p w:rsidR="00C833F3" w:rsidRDefault="00173E2B" w:rsidP="00C833F3">
      <w:pPr>
        <w:pStyle w:val="ListParagraph"/>
        <w:numPr>
          <w:ilvl w:val="0"/>
          <w:numId w:val="36"/>
        </w:numPr>
      </w:pPr>
      <w:r>
        <w:t>6 responses disagreed and thought that terms needed to be in place to protect debtors</w:t>
      </w:r>
    </w:p>
    <w:p w:rsidR="007A5D45" w:rsidRDefault="00C833F3" w:rsidP="00C833F3">
      <w:pPr>
        <w:pStyle w:val="ListParagraph"/>
        <w:numPr>
          <w:ilvl w:val="0"/>
          <w:numId w:val="36"/>
        </w:numPr>
      </w:pPr>
      <w:r>
        <w:t xml:space="preserve">7 responses </w:t>
      </w:r>
      <w:r w:rsidR="000D7FCB">
        <w:t>did not respond to the question</w:t>
      </w:r>
    </w:p>
    <w:p w:rsidR="00173E2B" w:rsidRPr="00C802BA" w:rsidRDefault="00286D4D" w:rsidP="00173E2B">
      <w:r>
        <w:t>Four</w:t>
      </w:r>
      <w:r w:rsidR="00173E2B">
        <w:t xml:space="preserve"> of the responses which agreed with the </w:t>
      </w:r>
      <w:r w:rsidR="00F87F17">
        <w:t>proposal</w:t>
      </w:r>
      <w:r w:rsidR="00173E2B">
        <w:t xml:space="preserve"> in the consultation document believed that adding additional terms </w:t>
      </w:r>
      <w:r w:rsidR="0091561D">
        <w:t xml:space="preserve">to protect debtors </w:t>
      </w:r>
      <w:r w:rsidR="00173E2B">
        <w:t>woul</w:t>
      </w:r>
      <w:r w:rsidR="00272379">
        <w:t xml:space="preserve">d add unnecessary complexity. All invoice finance </w:t>
      </w:r>
      <w:r w:rsidR="00173E2B">
        <w:t xml:space="preserve">respondents were concerned that large debtors would use terms to prevent assignment of invoices for disingenuous reasons. </w:t>
      </w:r>
    </w:p>
    <w:p w:rsidR="00173E2B" w:rsidRDefault="006B39F8" w:rsidP="001041B7">
      <w:r>
        <w:t xml:space="preserve">One </w:t>
      </w:r>
      <w:r w:rsidR="0027051F">
        <w:t xml:space="preserve">respondent who disagreed with the question raised a concern that a debtor may need to pay an invoice financier more than they had initially agreed with their supplier. </w:t>
      </w:r>
      <w:r w:rsidR="000D7FCB">
        <w:t>One respondent raised</w:t>
      </w:r>
      <w:r w:rsidR="0027051F">
        <w:t xml:space="preserve"> concerns </w:t>
      </w:r>
      <w:r w:rsidR="00E41E6E">
        <w:t>that a nullification of invoice assignment would prevent efforts to tackle</w:t>
      </w:r>
      <w:r w:rsidR="0027051F">
        <w:t xml:space="preserve"> money laundering, sanction laws or regulations. These concerns were supported by five other organisations who wrote in support of th</w:t>
      </w:r>
      <w:r w:rsidR="00220B27">
        <w:t>is</w:t>
      </w:r>
      <w:r w:rsidR="0027051F">
        <w:t xml:space="preserve"> </w:t>
      </w:r>
      <w:r w:rsidR="00E3132E">
        <w:t>response</w:t>
      </w:r>
      <w:r w:rsidR="0027051F">
        <w:t>.</w:t>
      </w:r>
    </w:p>
    <w:p w:rsidR="0027051F" w:rsidRPr="00E700C5" w:rsidRDefault="0027051F" w:rsidP="001041B7">
      <w:pPr>
        <w:rPr>
          <w:b/>
        </w:rPr>
      </w:pPr>
      <w:r w:rsidRPr="00E700C5">
        <w:rPr>
          <w:b/>
        </w:rPr>
        <w:t xml:space="preserve">13. </w:t>
      </w:r>
      <w:r w:rsidR="00F87F17">
        <w:rPr>
          <w:b/>
        </w:rPr>
        <w:t>C</w:t>
      </w:r>
      <w:r w:rsidR="00E700C5" w:rsidRPr="00E700C5">
        <w:rPr>
          <w:b/>
        </w:rPr>
        <w:t xml:space="preserve">ontractual </w:t>
      </w:r>
      <w:r w:rsidR="00F87F17">
        <w:rPr>
          <w:b/>
        </w:rPr>
        <w:t>D</w:t>
      </w:r>
      <w:r w:rsidR="00E700C5" w:rsidRPr="00E700C5">
        <w:rPr>
          <w:b/>
        </w:rPr>
        <w:t>isputes</w:t>
      </w:r>
    </w:p>
    <w:p w:rsidR="00E700C5" w:rsidRDefault="00E41E6E" w:rsidP="001041B7">
      <w:r>
        <w:t>We consulted on whether</w:t>
      </w:r>
      <w:r w:rsidR="00E700C5">
        <w:t xml:space="preserve"> invoice financer</w:t>
      </w:r>
      <w:r>
        <w:t>s</w:t>
      </w:r>
      <w:r w:rsidR="00E700C5">
        <w:t xml:space="preserve"> </w:t>
      </w:r>
      <w:r w:rsidR="00F87F17">
        <w:t>should</w:t>
      </w:r>
      <w:r w:rsidR="00E700C5">
        <w:t xml:space="preserve"> raise disputed invoices with the supplier of the goods or services. </w:t>
      </w:r>
      <w:r w:rsidR="000C65B1">
        <w:t xml:space="preserve">We received </w:t>
      </w:r>
      <w:r w:rsidR="00A5278B">
        <w:t xml:space="preserve">the following </w:t>
      </w:r>
      <w:r w:rsidR="000C65B1">
        <w:t>view</w:t>
      </w:r>
      <w:r w:rsidR="00A5278B">
        <w:t>s:</w:t>
      </w:r>
    </w:p>
    <w:p w:rsidR="00E700C5" w:rsidRDefault="00E700C5" w:rsidP="00E700C5">
      <w:pPr>
        <w:pStyle w:val="ListParagraph"/>
        <w:numPr>
          <w:ilvl w:val="0"/>
          <w:numId w:val="37"/>
        </w:numPr>
      </w:pPr>
      <w:r>
        <w:t>4 responses agreed with our statement on contractual disputes</w:t>
      </w:r>
    </w:p>
    <w:p w:rsidR="00E700C5" w:rsidRDefault="00E700C5" w:rsidP="00E700C5">
      <w:pPr>
        <w:pStyle w:val="ListParagraph"/>
        <w:numPr>
          <w:ilvl w:val="0"/>
          <w:numId w:val="37"/>
        </w:numPr>
      </w:pPr>
      <w:r>
        <w:t>10 responses disagreed with our statement on status quo of contractual disputes</w:t>
      </w:r>
    </w:p>
    <w:p w:rsidR="00E700C5" w:rsidRDefault="00E700C5" w:rsidP="00314CFD">
      <w:pPr>
        <w:pStyle w:val="ListParagraph"/>
        <w:numPr>
          <w:ilvl w:val="0"/>
          <w:numId w:val="37"/>
        </w:numPr>
      </w:pPr>
      <w:r>
        <w:t xml:space="preserve">6 responses </w:t>
      </w:r>
      <w:r w:rsidR="00314CFD" w:rsidRPr="00314CFD">
        <w:t>did not respond to the question</w:t>
      </w:r>
    </w:p>
    <w:p w:rsidR="007A1C2D" w:rsidRDefault="00E700C5" w:rsidP="00E700C5">
      <w:r>
        <w:t xml:space="preserve">We were told by </w:t>
      </w:r>
      <w:r w:rsidR="000D7FCB">
        <w:t>three</w:t>
      </w:r>
      <w:r>
        <w:t xml:space="preserve"> invoice financers that</w:t>
      </w:r>
      <w:r w:rsidR="008A3D4D">
        <w:t xml:space="preserve"> they raised</w:t>
      </w:r>
      <w:r>
        <w:t xml:space="preserve"> disputes </w:t>
      </w:r>
      <w:r w:rsidR="008A3D4D">
        <w:t>with the debtor party, in</w:t>
      </w:r>
      <w:r>
        <w:t xml:space="preserve"> consultation from suppliers. </w:t>
      </w:r>
      <w:r w:rsidR="00286D4D">
        <w:t xml:space="preserve">One of the law practitioners </w:t>
      </w:r>
      <w:r>
        <w:t>believed that any dispute</w:t>
      </w:r>
      <w:r w:rsidR="000C65B1">
        <w:t xml:space="preserve"> between debtors and suppliers</w:t>
      </w:r>
      <w:r>
        <w:t xml:space="preserve"> would have to be resolved between </w:t>
      </w:r>
      <w:r w:rsidR="000C65B1">
        <w:t>them</w:t>
      </w:r>
      <w:r>
        <w:t xml:space="preserve"> and</w:t>
      </w:r>
      <w:r w:rsidR="000C65B1">
        <w:t xml:space="preserve"> should</w:t>
      </w:r>
      <w:r>
        <w:t xml:space="preserve"> not involve </w:t>
      </w:r>
      <w:r w:rsidR="000C65B1">
        <w:t>an</w:t>
      </w:r>
      <w:r>
        <w:t xml:space="preserve"> invoice financer</w:t>
      </w:r>
      <w:r w:rsidR="000C65B1">
        <w:t xml:space="preserve"> as a party to the dispute</w:t>
      </w:r>
      <w:r>
        <w:t xml:space="preserve"> at all. They reiterated that ban on assignment clauses may be put in place deliberately </w:t>
      </w:r>
      <w:r w:rsidR="007A1C2D">
        <w:t>so that the relevant parties could resolve complicated contractual disputes.</w:t>
      </w:r>
      <w:r w:rsidR="00286D4D">
        <w:t xml:space="preserve"> This particular response was endorsed by five other organisations.</w:t>
      </w:r>
    </w:p>
    <w:p w:rsidR="007A1C2D" w:rsidRDefault="007A1C2D" w:rsidP="00E700C5">
      <w:pPr>
        <w:rPr>
          <w:b/>
        </w:rPr>
      </w:pPr>
      <w:r w:rsidRPr="007A1C2D">
        <w:rPr>
          <w:b/>
        </w:rPr>
        <w:t>14. The Right to Set-Off</w:t>
      </w:r>
    </w:p>
    <w:p w:rsidR="004A4E7F" w:rsidRDefault="008A3D4D" w:rsidP="00E700C5">
      <w:r>
        <w:t>S</w:t>
      </w:r>
      <w:r w:rsidR="00495576">
        <w:t xml:space="preserve">et-off is a legal right for a debtor to settle the cost of an invoice against costs incurred to the debtor of a previous invoice. Set-off is dependent on the </w:t>
      </w:r>
      <w:r w:rsidR="004A4E7F">
        <w:t xml:space="preserve">principle of mutuality. </w:t>
      </w:r>
      <w:r>
        <w:t>Our proposal was</w:t>
      </w:r>
      <w:r w:rsidR="004A4E7F">
        <w:t xml:space="preserve"> that mutuality is not affected when an invoice is assigned. We received comments which both supported </w:t>
      </w:r>
      <w:r w:rsidR="000C65B1">
        <w:t xml:space="preserve">and did not support </w:t>
      </w:r>
      <w:r w:rsidR="004A4E7F">
        <w:t xml:space="preserve">this </w:t>
      </w:r>
      <w:r w:rsidR="000C65B1">
        <w:t>interpretation</w:t>
      </w:r>
      <w:r w:rsidR="00F646C9">
        <w:t>:</w:t>
      </w:r>
    </w:p>
    <w:p w:rsidR="004A4E7F" w:rsidRDefault="004A4E7F" w:rsidP="004A4E7F">
      <w:pPr>
        <w:pStyle w:val="ListParagraph"/>
        <w:numPr>
          <w:ilvl w:val="0"/>
          <w:numId w:val="38"/>
        </w:numPr>
      </w:pPr>
      <w:r>
        <w:t xml:space="preserve">7 responses supported </w:t>
      </w:r>
      <w:r w:rsidR="00F646C9">
        <w:t>our proposal on</w:t>
      </w:r>
      <w:r>
        <w:t xml:space="preserve"> set-off</w:t>
      </w:r>
    </w:p>
    <w:p w:rsidR="00E700C5" w:rsidRPr="004A4E7F" w:rsidRDefault="004A4E7F" w:rsidP="004A4E7F">
      <w:pPr>
        <w:pStyle w:val="ListParagraph"/>
        <w:numPr>
          <w:ilvl w:val="0"/>
          <w:numId w:val="38"/>
        </w:numPr>
        <w:rPr>
          <w:b/>
        </w:rPr>
      </w:pPr>
      <w:r>
        <w:t xml:space="preserve">10 responses did not support our </w:t>
      </w:r>
      <w:r w:rsidR="00F646C9">
        <w:t>proposal on</w:t>
      </w:r>
      <w:r>
        <w:t xml:space="preserve"> set -off</w:t>
      </w:r>
      <w:r w:rsidR="00E700C5" w:rsidRPr="004A4E7F">
        <w:rPr>
          <w:b/>
        </w:rPr>
        <w:t xml:space="preserve"> </w:t>
      </w:r>
    </w:p>
    <w:p w:rsidR="004A4E7F" w:rsidRDefault="004A4E7F" w:rsidP="00314CFD">
      <w:pPr>
        <w:pStyle w:val="ListParagraph"/>
        <w:numPr>
          <w:ilvl w:val="0"/>
          <w:numId w:val="38"/>
        </w:numPr>
      </w:pPr>
      <w:r>
        <w:t xml:space="preserve">3 responses did not </w:t>
      </w:r>
      <w:r w:rsidR="00314CFD" w:rsidRPr="00314CFD">
        <w:t>respond to the question</w:t>
      </w:r>
    </w:p>
    <w:p w:rsidR="004A4E7F" w:rsidRDefault="00272379" w:rsidP="004A4E7F">
      <w:r>
        <w:t>Two</w:t>
      </w:r>
      <w:r w:rsidR="00C900A5">
        <w:t xml:space="preserve"> response</w:t>
      </w:r>
      <w:r w:rsidR="000C65B1">
        <w:t>s from invoice financers</w:t>
      </w:r>
      <w:r w:rsidR="00C900A5">
        <w:t xml:space="preserve"> w</w:t>
      </w:r>
      <w:r w:rsidR="000C65B1">
        <w:t>ere</w:t>
      </w:r>
      <w:r w:rsidR="00C900A5">
        <w:t xml:space="preserve"> clear that mutuality was not affected by </w:t>
      </w:r>
      <w:r w:rsidR="000C65B1">
        <w:t>assignment.</w:t>
      </w:r>
      <w:r w:rsidR="00C900A5">
        <w:t xml:space="preserve"> </w:t>
      </w:r>
      <w:r w:rsidR="000C65B1">
        <w:t>T</w:t>
      </w:r>
      <w:r w:rsidR="00C900A5">
        <w:t xml:space="preserve">hey </w:t>
      </w:r>
      <w:r w:rsidR="000C65B1">
        <w:t xml:space="preserve">also </w:t>
      </w:r>
      <w:r w:rsidR="009F4F00">
        <w:t xml:space="preserve">considered </w:t>
      </w:r>
      <w:r w:rsidR="00C900A5">
        <w:t xml:space="preserve">that the law was clear that a debtor cannot be </w:t>
      </w:r>
      <w:r w:rsidR="002070F3">
        <w:t>placed</w:t>
      </w:r>
      <w:r w:rsidR="00C900A5">
        <w:t xml:space="preserve"> in a worse position by an assignment.</w:t>
      </w:r>
      <w:r w:rsidR="002070F3">
        <w:t xml:space="preserve"> Conversely,</w:t>
      </w:r>
      <w:r w:rsidR="00C900A5">
        <w:t xml:space="preserve"> </w:t>
      </w:r>
      <w:r w:rsidR="002070F3">
        <w:t>o</w:t>
      </w:r>
      <w:r w:rsidR="000C65B1" w:rsidRPr="008651BB">
        <w:t>ne response also</w:t>
      </w:r>
      <w:r w:rsidR="00C900A5" w:rsidRPr="008651BB">
        <w:t xml:space="preserve"> explained</w:t>
      </w:r>
      <w:r w:rsidR="008651BB" w:rsidRPr="008651BB">
        <w:t xml:space="preserve"> that</w:t>
      </w:r>
      <w:r w:rsidR="00C900A5" w:rsidRPr="008651BB">
        <w:t xml:space="preserve"> </w:t>
      </w:r>
      <w:r w:rsidR="008A3D4D" w:rsidRPr="008A3D4D">
        <w:t xml:space="preserve">debts up to and including the last assignment could be set-off against each other. </w:t>
      </w:r>
      <w:r w:rsidR="0091561D">
        <w:t>N</w:t>
      </w:r>
      <w:r w:rsidR="008A3D4D" w:rsidRPr="0091561D">
        <w:t>ew debts post notification</w:t>
      </w:r>
      <w:r w:rsidR="008A3D4D" w:rsidRPr="008A3D4D">
        <w:t xml:space="preserve"> c</w:t>
      </w:r>
      <w:r w:rsidR="00354266">
        <w:t>ould</w:t>
      </w:r>
      <w:r w:rsidR="008A3D4D" w:rsidRPr="008A3D4D">
        <w:t xml:space="preserve"> be regarded as part of a separate contract and thus </w:t>
      </w:r>
      <w:r w:rsidR="009F4F00">
        <w:t>could not</w:t>
      </w:r>
      <w:r w:rsidR="009F4F00" w:rsidRPr="008A3D4D">
        <w:t xml:space="preserve"> </w:t>
      </w:r>
      <w:r w:rsidR="008A3D4D" w:rsidRPr="008A3D4D">
        <w:t>be set off against debts payable under a previous contract.</w:t>
      </w:r>
      <w:r w:rsidR="00354266">
        <w:t xml:space="preserve"> It was explained that this scenario rarely occurred.</w:t>
      </w:r>
    </w:p>
    <w:p w:rsidR="00565124" w:rsidRDefault="008E0D76" w:rsidP="004A4E7F">
      <w:r>
        <w:t xml:space="preserve">One response disagreed with the </w:t>
      </w:r>
      <w:r w:rsidR="00F646C9">
        <w:t>proposal</w:t>
      </w:r>
      <w:r>
        <w:t xml:space="preserve"> in the consultation. They </w:t>
      </w:r>
      <w:r w:rsidR="008A3D4D">
        <w:t>stated</w:t>
      </w:r>
      <w:r>
        <w:t xml:space="preserve"> that a debtor should have all the rights to set-off that an assignment would prohibit</w:t>
      </w:r>
      <w:r w:rsidR="00F646C9">
        <w:t>,</w:t>
      </w:r>
      <w:r w:rsidR="008A3D4D">
        <w:t xml:space="preserve"> and</w:t>
      </w:r>
      <w:r>
        <w:t xml:space="preserve"> explained that this was the position adopted under general law</w:t>
      </w:r>
      <w:r w:rsidR="008A3D4D">
        <w:t>.</w:t>
      </w:r>
      <w:r>
        <w:t xml:space="preserve"> This </w:t>
      </w:r>
      <w:r w:rsidR="008A3D4D">
        <w:t>particular response</w:t>
      </w:r>
      <w:r>
        <w:t xml:space="preserve"> was endorsed by five other organisations. </w:t>
      </w:r>
      <w:r w:rsidR="008A3D4D" w:rsidRPr="008A3D4D">
        <w:t>One respondent asked us to consider the implications of supplier insolvency in relation to set-off.</w:t>
      </w:r>
    </w:p>
    <w:p w:rsidR="008E0D76" w:rsidRDefault="008E0D76" w:rsidP="004A4E7F">
      <w:pPr>
        <w:rPr>
          <w:b/>
        </w:rPr>
      </w:pPr>
      <w:r w:rsidRPr="008E0D76">
        <w:rPr>
          <w:b/>
        </w:rPr>
        <w:t>15. Other issue</w:t>
      </w:r>
      <w:r w:rsidR="00F646C9">
        <w:rPr>
          <w:b/>
        </w:rPr>
        <w:t>s</w:t>
      </w:r>
      <w:r w:rsidRPr="008E0D76">
        <w:rPr>
          <w:b/>
        </w:rPr>
        <w:t xml:space="preserve"> to consider</w:t>
      </w:r>
    </w:p>
    <w:p w:rsidR="001D73E3" w:rsidRDefault="00F019F0" w:rsidP="001041B7">
      <w:r>
        <w:t xml:space="preserve">Respondents raised a </w:t>
      </w:r>
      <w:r w:rsidR="00427205">
        <w:t xml:space="preserve">few </w:t>
      </w:r>
      <w:r w:rsidR="00F646C9">
        <w:t>additional points</w:t>
      </w:r>
      <w:r>
        <w:t xml:space="preserve"> for consideration</w:t>
      </w:r>
      <w:r w:rsidR="00F646C9">
        <w:t>.</w:t>
      </w:r>
      <w:r w:rsidR="000D7FCB">
        <w:t xml:space="preserve"> </w:t>
      </w:r>
      <w:r>
        <w:t>Invoice financers ask</w:t>
      </w:r>
      <w:r w:rsidR="00354266">
        <w:t>ed</w:t>
      </w:r>
      <w:r>
        <w:t xml:space="preserve"> if we could consider the issue of applying the nullification of anti-assignment clauses to contracts retrospectively rather than from commencement. </w:t>
      </w:r>
    </w:p>
    <w:p w:rsidR="001D73E3" w:rsidRDefault="00F019F0" w:rsidP="001041B7">
      <w:r>
        <w:t>A</w:t>
      </w:r>
      <w:r w:rsidR="001D73E3">
        <w:t>nother</w:t>
      </w:r>
      <w:r>
        <w:t xml:space="preserve"> respondent requested that we consider a communications plan to support the </w:t>
      </w:r>
      <w:r w:rsidR="005807BA">
        <w:t>launch of the policy</w:t>
      </w:r>
      <w:r w:rsidR="008A3D4D">
        <w:t xml:space="preserve"> and </w:t>
      </w:r>
      <w:r w:rsidR="00354266">
        <w:t xml:space="preserve">offered </w:t>
      </w:r>
      <w:r w:rsidR="008A3D4D" w:rsidRPr="008A3D4D">
        <w:t>guidance</w:t>
      </w:r>
      <w:r w:rsidR="00354266">
        <w:t xml:space="preserve"> to businesses</w:t>
      </w:r>
      <w:r w:rsidR="008A3D4D" w:rsidRPr="008A3D4D">
        <w:t xml:space="preserve"> </w:t>
      </w:r>
      <w:r w:rsidR="00354266">
        <w:t>on potential changes,</w:t>
      </w:r>
      <w:r w:rsidR="008A3D4D" w:rsidRPr="008A3D4D">
        <w:t xml:space="preserve"> in order to provide clarity</w:t>
      </w:r>
      <w:r w:rsidR="008A3D4D">
        <w:t>.</w:t>
      </w:r>
      <w:r w:rsidR="008A3D4D" w:rsidRPr="008A3D4D">
        <w:t xml:space="preserve"> </w:t>
      </w:r>
    </w:p>
    <w:p w:rsidR="005807BA" w:rsidRDefault="001D73E3" w:rsidP="001041B7">
      <w:r>
        <w:t>One response</w:t>
      </w:r>
      <w:r w:rsidR="00427205">
        <w:t xml:space="preserve"> </w:t>
      </w:r>
      <w:r w:rsidR="00F646C9">
        <w:t>agreed</w:t>
      </w:r>
      <w:r w:rsidR="005807BA">
        <w:t xml:space="preserve"> that the nullification of anti-assignment clauses should apply in legislation to Government contracts.</w:t>
      </w:r>
    </w:p>
    <w:p w:rsidR="00656BBD" w:rsidRDefault="00656BBD" w:rsidP="001041B7">
      <w:r>
        <w:t>O</w:t>
      </w:r>
      <w:r w:rsidR="009061A7">
        <w:t>ne respondent expressed concerns about the territorial extent of the regulations. They argued that the effect of the regulation would affect international contracts</w:t>
      </w:r>
      <w:r w:rsidR="001D73E3">
        <w:t xml:space="preserve"> agreed under</w:t>
      </w:r>
      <w:r w:rsidR="008651BB">
        <w:t xml:space="preserve"> the law of England and Wales </w:t>
      </w:r>
      <w:r w:rsidR="001D73E3">
        <w:t>where there was</w:t>
      </w:r>
      <w:r w:rsidR="009061A7">
        <w:t xml:space="preserve"> no UK business involved in assignment. We were asked to clarify this issue and </w:t>
      </w:r>
      <w:r w:rsidR="00A67C1B">
        <w:t xml:space="preserve">state in the regulations whether we intended to apply the measure to contracts only governed by the law of England and Wales. </w:t>
      </w:r>
      <w:r w:rsidR="001D73E3">
        <w:t>Five further responses were written to endorse this point.</w:t>
      </w:r>
    </w:p>
    <w:p w:rsidR="00565124" w:rsidRPr="008D78D9" w:rsidRDefault="00565124" w:rsidP="00FE1CC4">
      <w:pPr>
        <w:pStyle w:val="Heading3"/>
        <w:spacing w:after="0"/>
      </w:pPr>
      <w:bookmarkStart w:id="16" w:name="_Toc412731194"/>
      <w:r>
        <w:t>Changes to legislation and Enforcement (questions 16-17)</w:t>
      </w:r>
      <w:bookmarkEnd w:id="16"/>
    </w:p>
    <w:p w:rsidR="00E56E81" w:rsidRDefault="00E56E81" w:rsidP="00FE1CC4">
      <w:pPr>
        <w:spacing w:after="0"/>
        <w:rPr>
          <w:b/>
        </w:rPr>
      </w:pPr>
    </w:p>
    <w:p w:rsidR="00F019F0" w:rsidRDefault="005807BA" w:rsidP="00FE1CC4">
      <w:pPr>
        <w:spacing w:after="0"/>
        <w:rPr>
          <w:b/>
        </w:rPr>
      </w:pPr>
      <w:r w:rsidRPr="00427205">
        <w:rPr>
          <w:b/>
        </w:rPr>
        <w:t xml:space="preserve">16. Changes to existing law </w:t>
      </w:r>
    </w:p>
    <w:p w:rsidR="00656BBD" w:rsidRDefault="00427205" w:rsidP="001041B7">
      <w:r>
        <w:t xml:space="preserve">We asked for views on whether existing legislation should be amended in order for us to change the law. We received one </w:t>
      </w:r>
      <w:r w:rsidR="00656BBD">
        <w:t xml:space="preserve">request to review a piece of legislation </w:t>
      </w:r>
      <w:r w:rsidR="004C5CE1">
        <w:t>-</w:t>
      </w:r>
      <w:r w:rsidR="00656BBD">
        <w:t xml:space="preserve"> the Law of Property Act 1925.</w:t>
      </w:r>
    </w:p>
    <w:p w:rsidR="00427205" w:rsidRDefault="00656BBD" w:rsidP="001041B7">
      <w:pPr>
        <w:rPr>
          <w:b/>
        </w:rPr>
      </w:pPr>
      <w:r w:rsidRPr="00E56E81">
        <w:rPr>
          <w:b/>
        </w:rPr>
        <w:t xml:space="preserve">17. Government enforcement </w:t>
      </w:r>
    </w:p>
    <w:p w:rsidR="00E56E81" w:rsidRDefault="002070F3" w:rsidP="001041B7">
      <w:r>
        <w:t>We consulted on the</w:t>
      </w:r>
      <w:r w:rsidR="002F5CA9">
        <w:t xml:space="preserve"> proposal that Government should not have a role in enforcing </w:t>
      </w:r>
      <w:r>
        <w:t>the nullification</w:t>
      </w:r>
      <w:r w:rsidR="002F5CA9">
        <w:t xml:space="preserve">. </w:t>
      </w:r>
      <w:r w:rsidR="001E3E81">
        <w:t>There were no diss</w:t>
      </w:r>
      <w:r w:rsidR="002F5CA9">
        <w:t xml:space="preserve">enting opinions to this </w:t>
      </w:r>
      <w:r>
        <w:t>propos</w:t>
      </w:r>
      <w:r w:rsidR="002F5CA9">
        <w:t>a</w:t>
      </w:r>
      <w:r>
        <w:t>l</w:t>
      </w:r>
      <w:r w:rsidR="002F5CA9">
        <w:t>. W</w:t>
      </w:r>
      <w:r w:rsidR="001E3E81">
        <w:t>e noted arguments t</w:t>
      </w:r>
      <w:r w:rsidR="002F5CA9">
        <w:t xml:space="preserve">hat future regulations may </w:t>
      </w:r>
      <w:r w:rsidR="001E3E81">
        <w:t>be</w:t>
      </w:r>
      <w:r w:rsidR="002F5CA9">
        <w:t xml:space="preserve"> needed</w:t>
      </w:r>
      <w:r w:rsidR="001E3E81">
        <w:t xml:space="preserve"> if unintended consequ</w:t>
      </w:r>
      <w:r w:rsidR="001D73E3">
        <w:t>ences to business were to occur</w:t>
      </w:r>
      <w:r w:rsidR="001E3E81">
        <w:t>.</w:t>
      </w:r>
      <w:r w:rsidR="00E56E81">
        <w:t xml:space="preserve">  </w:t>
      </w:r>
    </w:p>
    <w:p w:rsidR="00E56E81" w:rsidRDefault="00E56E81" w:rsidP="001E3E81">
      <w:pPr>
        <w:pStyle w:val="ListParagraph"/>
        <w:numPr>
          <w:ilvl w:val="0"/>
          <w:numId w:val="39"/>
        </w:numPr>
      </w:pPr>
      <w:r>
        <w:t xml:space="preserve">9 </w:t>
      </w:r>
      <w:r w:rsidR="00272379">
        <w:t>responses a</w:t>
      </w:r>
      <w:r>
        <w:t>greed</w:t>
      </w:r>
    </w:p>
    <w:p w:rsidR="001E3E81" w:rsidRDefault="00E56E81" w:rsidP="001E3E81">
      <w:pPr>
        <w:pStyle w:val="ListParagraph"/>
        <w:numPr>
          <w:ilvl w:val="0"/>
          <w:numId w:val="39"/>
        </w:numPr>
      </w:pPr>
      <w:r>
        <w:t>11</w:t>
      </w:r>
      <w:r w:rsidR="00272379">
        <w:t xml:space="preserve"> responses did not respond to the question</w:t>
      </w:r>
    </w:p>
    <w:p w:rsidR="00A9368B" w:rsidRDefault="00A9368B" w:rsidP="00FE1CC4">
      <w:pPr>
        <w:pStyle w:val="Heading3"/>
        <w:spacing w:after="0"/>
      </w:pPr>
    </w:p>
    <w:p w:rsidR="00A9368B" w:rsidRDefault="00A9368B" w:rsidP="00FE1CC4">
      <w:pPr>
        <w:pStyle w:val="Heading3"/>
        <w:spacing w:after="0"/>
      </w:pPr>
    </w:p>
    <w:p w:rsidR="00A9368B" w:rsidRDefault="00A9368B" w:rsidP="00FE1CC4">
      <w:pPr>
        <w:pStyle w:val="Heading3"/>
        <w:spacing w:after="0"/>
      </w:pPr>
    </w:p>
    <w:p w:rsidR="00565124" w:rsidRPr="008D78D9" w:rsidRDefault="00565124" w:rsidP="00FE1CC4">
      <w:pPr>
        <w:pStyle w:val="Heading3"/>
        <w:spacing w:after="0"/>
      </w:pPr>
      <w:bookmarkStart w:id="17" w:name="_Toc412731195"/>
      <w:r>
        <w:t>Costs to the Market (questions 18-19)</w:t>
      </w:r>
      <w:bookmarkEnd w:id="17"/>
    </w:p>
    <w:p w:rsidR="008D77AD" w:rsidRDefault="008D77AD" w:rsidP="00FE1CC4">
      <w:pPr>
        <w:spacing w:after="0"/>
        <w:rPr>
          <w:b/>
        </w:rPr>
      </w:pPr>
    </w:p>
    <w:p w:rsidR="001E3E81" w:rsidRDefault="001E3E81" w:rsidP="00FE1CC4">
      <w:pPr>
        <w:spacing w:after="0"/>
        <w:rPr>
          <w:b/>
        </w:rPr>
      </w:pPr>
      <w:r w:rsidRPr="001E3E81">
        <w:rPr>
          <w:b/>
        </w:rPr>
        <w:t>18. Costs of Workaround</w:t>
      </w:r>
      <w:r w:rsidR="008523BC">
        <w:rPr>
          <w:b/>
        </w:rPr>
        <w:t>s</w:t>
      </w:r>
      <w:r w:rsidRPr="001E3E81">
        <w:rPr>
          <w:b/>
        </w:rPr>
        <w:t xml:space="preserve"> and waivers</w:t>
      </w:r>
    </w:p>
    <w:p w:rsidR="001D7170" w:rsidRDefault="001E3E81" w:rsidP="001E3E81">
      <w:r>
        <w:t xml:space="preserve">Our consultation asked if the nullification of anti-assignment clauses would negate the cost of waivers and workarounds and therefore </w:t>
      </w:r>
      <w:r w:rsidR="001D7170">
        <w:t>benefit the overall invoice finance market</w:t>
      </w:r>
      <w:r>
        <w:t>.</w:t>
      </w:r>
      <w:r w:rsidR="001D7170">
        <w:t xml:space="preserve"> We received views which </w:t>
      </w:r>
      <w:r w:rsidR="00272379">
        <w:t>agreed and disagreed with this assumption</w:t>
      </w:r>
      <w:r w:rsidR="002F5CA9">
        <w:t>:</w:t>
      </w:r>
    </w:p>
    <w:p w:rsidR="008523BC" w:rsidRDefault="008523BC" w:rsidP="008523BC">
      <w:pPr>
        <w:pStyle w:val="ListParagraph"/>
        <w:numPr>
          <w:ilvl w:val="0"/>
          <w:numId w:val="40"/>
        </w:numPr>
      </w:pPr>
      <w:r>
        <w:t xml:space="preserve">5 </w:t>
      </w:r>
      <w:r w:rsidR="00272379">
        <w:t xml:space="preserve">responses </w:t>
      </w:r>
      <w:r>
        <w:t>agreed</w:t>
      </w:r>
      <w:r w:rsidR="00272379">
        <w:t xml:space="preserve"> that the costs of waivers and workarounds would be negated</w:t>
      </w:r>
    </w:p>
    <w:p w:rsidR="008523BC" w:rsidRDefault="008523BC" w:rsidP="008523BC">
      <w:pPr>
        <w:pStyle w:val="ListParagraph"/>
        <w:numPr>
          <w:ilvl w:val="0"/>
          <w:numId w:val="40"/>
        </w:numPr>
      </w:pPr>
      <w:r>
        <w:t xml:space="preserve">8 </w:t>
      </w:r>
      <w:r w:rsidR="00272379">
        <w:t xml:space="preserve">responses </w:t>
      </w:r>
      <w:r>
        <w:t>disagreed</w:t>
      </w:r>
    </w:p>
    <w:p w:rsidR="008523BC" w:rsidRDefault="008523BC" w:rsidP="008523BC">
      <w:pPr>
        <w:pStyle w:val="ListParagraph"/>
        <w:numPr>
          <w:ilvl w:val="0"/>
          <w:numId w:val="40"/>
        </w:numPr>
      </w:pPr>
      <w:r>
        <w:t xml:space="preserve">7 </w:t>
      </w:r>
      <w:r w:rsidR="00272379">
        <w:t>responses did not respond to the question</w:t>
      </w:r>
    </w:p>
    <w:p w:rsidR="00DB6803" w:rsidRDefault="008523BC" w:rsidP="001E3E81">
      <w:r>
        <w:t xml:space="preserve">The respondents who agreed </w:t>
      </w:r>
      <w:r w:rsidR="00D75E14">
        <w:t xml:space="preserve">with our conclusion </w:t>
      </w:r>
      <w:r>
        <w:t xml:space="preserve">thought </w:t>
      </w:r>
      <w:r w:rsidR="00272379">
        <w:t xml:space="preserve">that the nullification would </w:t>
      </w:r>
      <w:r w:rsidR="00DB6803">
        <w:t xml:space="preserve">simplify access to </w:t>
      </w:r>
      <w:r w:rsidR="00272379">
        <w:t>invoice</w:t>
      </w:r>
      <w:r w:rsidR="00DB6803">
        <w:t xml:space="preserve"> finance</w:t>
      </w:r>
      <w:r>
        <w:t xml:space="preserve">. </w:t>
      </w:r>
      <w:r w:rsidR="00DB6803">
        <w:t xml:space="preserve"> </w:t>
      </w:r>
      <w:r w:rsidR="002F5CA9">
        <w:t>I</w:t>
      </w:r>
      <w:r w:rsidR="00DB6803">
        <w:t>nvoice financers</w:t>
      </w:r>
      <w:r w:rsidR="002F5CA9">
        <w:t xml:space="preserve"> disagreed, however, arguing</w:t>
      </w:r>
      <w:r w:rsidR="00DB6803">
        <w:t xml:space="preserve"> that </w:t>
      </w:r>
      <w:r w:rsidR="00D75E14">
        <w:t>e</w:t>
      </w:r>
      <w:r w:rsidR="00DB6803">
        <w:t xml:space="preserve">xemptions on supply chain finance and commercial confidentiality would </w:t>
      </w:r>
      <w:r w:rsidR="00D75E14">
        <w:t xml:space="preserve">maintain their </w:t>
      </w:r>
      <w:r w:rsidR="00DB6803">
        <w:t xml:space="preserve">need </w:t>
      </w:r>
      <w:r w:rsidR="00D75E14">
        <w:t>to conduct</w:t>
      </w:r>
      <w:r w:rsidR="00DB6803">
        <w:t xml:space="preserve"> due diligence checks.</w:t>
      </w:r>
    </w:p>
    <w:p w:rsidR="001E3E81" w:rsidRPr="001E3E81" w:rsidRDefault="00DB6803" w:rsidP="001E3E81">
      <w:r>
        <w:t>One respondent raised the possibility that debtors will work to find loopholes to the regulations and</w:t>
      </w:r>
      <w:r w:rsidR="00507FE0">
        <w:t xml:space="preserve"> costs associated with the</w:t>
      </w:r>
      <w:r>
        <w:t xml:space="preserve"> use of these loopholes w</w:t>
      </w:r>
      <w:r w:rsidR="00507FE0">
        <w:t>ould be transferred to suppliers</w:t>
      </w:r>
      <w:r>
        <w:t>. They also believed that the loss of the right to set-off would damage suppliers further.</w:t>
      </w:r>
      <w:r w:rsidR="003C2623">
        <w:t xml:space="preserve"> This view was supported by five other organisations.</w:t>
      </w:r>
      <w:r>
        <w:t xml:space="preserve">   </w:t>
      </w:r>
    </w:p>
    <w:p w:rsidR="00E079AF" w:rsidRDefault="00C3599A" w:rsidP="001041B7">
      <w:pPr>
        <w:rPr>
          <w:b/>
        </w:rPr>
      </w:pPr>
      <w:r>
        <w:rPr>
          <w:b/>
        </w:rPr>
        <w:t>19</w:t>
      </w:r>
      <w:r w:rsidR="007A5D45">
        <w:rPr>
          <w:b/>
        </w:rPr>
        <w:t>.</w:t>
      </w:r>
      <w:r w:rsidR="006260EC" w:rsidRPr="006260EC">
        <w:rPr>
          <w:b/>
        </w:rPr>
        <w:t xml:space="preserve"> </w:t>
      </w:r>
      <w:r w:rsidR="00297AC5">
        <w:rPr>
          <w:b/>
        </w:rPr>
        <w:t xml:space="preserve">Costs </w:t>
      </w:r>
      <w:r w:rsidR="001E3E81">
        <w:rPr>
          <w:b/>
        </w:rPr>
        <w:t xml:space="preserve">of </w:t>
      </w:r>
      <w:r w:rsidR="00297AC5">
        <w:rPr>
          <w:b/>
        </w:rPr>
        <w:t>an assignment</w:t>
      </w:r>
      <w:r w:rsidR="001E3E81">
        <w:rPr>
          <w:b/>
        </w:rPr>
        <w:t xml:space="preserve"> to business</w:t>
      </w:r>
    </w:p>
    <w:p w:rsidR="00297AC5" w:rsidRPr="00297AC5" w:rsidRDefault="00297AC5" w:rsidP="001041B7">
      <w:r>
        <w:t>We outlined our reasons for a</w:t>
      </w:r>
      <w:r w:rsidR="009C584A">
        <w:t>ssuming</w:t>
      </w:r>
      <w:r>
        <w:t xml:space="preserve"> low cost</w:t>
      </w:r>
      <w:r w:rsidR="009C584A">
        <w:t>s</w:t>
      </w:r>
      <w:r>
        <w:t xml:space="preserve"> for implementing the nullification of anti-assignment clauses. Debtors would not need to </w:t>
      </w:r>
      <w:r w:rsidR="002F5CA9">
        <w:t>retrospectively amend contracts. T</w:t>
      </w:r>
      <w:r>
        <w:t xml:space="preserve">he only cost we </w:t>
      </w:r>
      <w:r w:rsidR="002C1944">
        <w:t xml:space="preserve">believed would be incurred would be to invoice financers who would have to familiarise themselves with this policy. </w:t>
      </w:r>
    </w:p>
    <w:p w:rsidR="00297AC5" w:rsidRDefault="00297AC5" w:rsidP="00297AC5">
      <w:pPr>
        <w:pStyle w:val="ListParagraph"/>
        <w:numPr>
          <w:ilvl w:val="0"/>
          <w:numId w:val="33"/>
        </w:numPr>
      </w:pPr>
      <w:r>
        <w:t xml:space="preserve">3 </w:t>
      </w:r>
      <w:r w:rsidR="002C1944">
        <w:t>responses a</w:t>
      </w:r>
      <w:r>
        <w:t>gree</w:t>
      </w:r>
      <w:r w:rsidR="002C1944">
        <w:t>d with our calculations</w:t>
      </w:r>
    </w:p>
    <w:p w:rsidR="006260EC" w:rsidRDefault="00297AC5" w:rsidP="00297AC5">
      <w:pPr>
        <w:pStyle w:val="ListParagraph"/>
        <w:numPr>
          <w:ilvl w:val="0"/>
          <w:numId w:val="33"/>
        </w:numPr>
      </w:pPr>
      <w:r>
        <w:t xml:space="preserve">9 </w:t>
      </w:r>
      <w:r w:rsidR="002C1944">
        <w:t>responses disagreed with our calculations</w:t>
      </w:r>
      <w:r>
        <w:t xml:space="preserve"> </w:t>
      </w:r>
    </w:p>
    <w:p w:rsidR="00195539" w:rsidRDefault="00297AC5" w:rsidP="001041B7">
      <w:pPr>
        <w:pStyle w:val="ListParagraph"/>
        <w:numPr>
          <w:ilvl w:val="0"/>
          <w:numId w:val="33"/>
        </w:numPr>
      </w:pPr>
      <w:r>
        <w:t xml:space="preserve">8 </w:t>
      </w:r>
      <w:r w:rsidR="002C1944">
        <w:t xml:space="preserve">responses offered </w:t>
      </w:r>
      <w:r>
        <w:t>no opinion</w:t>
      </w:r>
      <w:r w:rsidR="002C1944">
        <w:t xml:space="preserve"> on the subject.</w:t>
      </w:r>
    </w:p>
    <w:p w:rsidR="002C1944" w:rsidRDefault="002C1944" w:rsidP="002C1944">
      <w:r>
        <w:t xml:space="preserve">Arguments for envisaging costs were varied. </w:t>
      </w:r>
      <w:r w:rsidR="002F5CA9">
        <w:t>I</w:t>
      </w:r>
      <w:r>
        <w:t>nvoice financers a</w:t>
      </w:r>
      <w:r w:rsidR="002F5CA9">
        <w:t>r</w:t>
      </w:r>
      <w:r>
        <w:t>g</w:t>
      </w:r>
      <w:r w:rsidR="002F5CA9">
        <w:t>ue</w:t>
      </w:r>
      <w:r>
        <w:t xml:space="preserve">d that if the exemptions of supply chain finance and commercial confidentiality were left </w:t>
      </w:r>
      <w:r w:rsidR="002C7EB8">
        <w:t>in the regulations</w:t>
      </w:r>
      <w:r>
        <w:t>, the invoice finance market would be weakened with debtors seeking to</w:t>
      </w:r>
      <w:r w:rsidR="00D75E14">
        <w:t xml:space="preserve"> include frequent</w:t>
      </w:r>
      <w:r>
        <w:t xml:space="preserve"> and disingenuous exemptions, therefore </w:t>
      </w:r>
      <w:r w:rsidR="00D75E14">
        <w:t>preventing an assignment</w:t>
      </w:r>
      <w:r>
        <w:t>.</w:t>
      </w:r>
      <w:r w:rsidR="002F5CA9">
        <w:t xml:space="preserve"> More broadly,</w:t>
      </w:r>
      <w:r>
        <w:t xml:space="preserve"> </w:t>
      </w:r>
      <w:r w:rsidR="002F5CA9">
        <w:t>o</w:t>
      </w:r>
      <w:r w:rsidR="002510D8">
        <w:t>ne</w:t>
      </w:r>
      <w:r w:rsidR="00C3599A">
        <w:t xml:space="preserve"> respondent felt that changing an important principle of contract law would damage the economic interests of the UK.</w:t>
      </w:r>
      <w:r w:rsidR="002510D8">
        <w:t xml:space="preserve"> This particular response was supported by five other organisations.</w:t>
      </w:r>
      <w:r w:rsidR="00C3599A">
        <w:t xml:space="preserve"> </w:t>
      </w:r>
    </w:p>
    <w:p w:rsidR="00C3599A" w:rsidRDefault="00C3599A" w:rsidP="002C1944">
      <w:r>
        <w:t>Those responses that agreed with our cost assumption believed in the case that was stated in the consultation and did not offer any other explanations to agree with the consultations points.</w:t>
      </w:r>
    </w:p>
    <w:p w:rsidR="006813F2" w:rsidRPr="008D78D9" w:rsidRDefault="006813F2" w:rsidP="008D78D9">
      <w:pPr>
        <w:pStyle w:val="Heading2"/>
      </w:pPr>
      <w:bookmarkStart w:id="18" w:name="_Toc412731196"/>
      <w:r w:rsidRPr="008D78D9">
        <w:t>Next steps</w:t>
      </w:r>
      <w:bookmarkEnd w:id="18"/>
    </w:p>
    <w:p w:rsidR="004A1F19" w:rsidRDefault="002510D8" w:rsidP="001D7197">
      <w:r>
        <w:t xml:space="preserve">We will use the findings from the consultation to </w:t>
      </w:r>
      <w:r w:rsidR="00D4360A">
        <w:t>prepare a Government Response, which we will publish in due course.</w:t>
      </w:r>
      <w:r>
        <w:t xml:space="preserve"> </w:t>
      </w:r>
    </w:p>
    <w:p w:rsidR="00546FD5" w:rsidRPr="00841959" w:rsidRDefault="00546FD5" w:rsidP="001A34AD">
      <w:pPr>
        <w:pStyle w:val="Heading2"/>
      </w:pPr>
      <w:bookmarkStart w:id="19" w:name="_Toc412731197"/>
      <w:r w:rsidRPr="00841959">
        <w:t>Annex A</w:t>
      </w:r>
      <w:r w:rsidR="00D4360A">
        <w:t xml:space="preserve"> – Reponses Received</w:t>
      </w:r>
      <w:bookmarkEnd w:id="19"/>
    </w:p>
    <w:p w:rsidR="00546FD5" w:rsidRDefault="00546FD5" w:rsidP="00FC508A">
      <w:r>
        <w:t>Asset Based Finance Association</w:t>
      </w:r>
    </w:p>
    <w:p w:rsidR="00546FD5" w:rsidRDefault="00546FD5" w:rsidP="00FC508A">
      <w:r>
        <w:t>Allen &amp; Overy LLP</w:t>
      </w:r>
    </w:p>
    <w:p w:rsidR="00546FD5" w:rsidRDefault="00546FD5" w:rsidP="00FC508A">
      <w:r>
        <w:t>The Association of Professional Staffing Companies</w:t>
      </w:r>
    </w:p>
    <w:p w:rsidR="00546FD5" w:rsidRDefault="00546FD5" w:rsidP="00FC508A">
      <w:r>
        <w:t>Carillion PLC</w:t>
      </w:r>
    </w:p>
    <w:p w:rsidR="00546FD5" w:rsidRDefault="00546FD5" w:rsidP="00FC508A">
      <w:r>
        <w:t>Chartered Institute of Credit Management</w:t>
      </w:r>
    </w:p>
    <w:p w:rsidR="00546FD5" w:rsidRDefault="00F21C55" w:rsidP="00FC508A">
      <w:r>
        <w:t>City of London Law Society (Financial Law Committee)</w:t>
      </w:r>
    </w:p>
    <w:p w:rsidR="00F21C55" w:rsidRDefault="00F21C55" w:rsidP="00FC508A">
      <w:r>
        <w:t>City of London Law Society (Litigation Committee)</w:t>
      </w:r>
    </w:p>
    <w:p w:rsidR="00F21C55" w:rsidRDefault="00F21C55" w:rsidP="00FC508A">
      <w:r>
        <w:t>Clifford Chance LLP</w:t>
      </w:r>
    </w:p>
    <w:p w:rsidR="00F21C55" w:rsidRDefault="00F21C55" w:rsidP="00FC508A">
      <w:r>
        <w:t>Federation of Small Businesses</w:t>
      </w:r>
    </w:p>
    <w:p w:rsidR="00F21C55" w:rsidRDefault="00F21C55" w:rsidP="00FC508A">
      <w:r>
        <w:t>Fujitsu Ltd</w:t>
      </w:r>
    </w:p>
    <w:p w:rsidR="00F21C55" w:rsidRDefault="00F21C55" w:rsidP="00FC508A">
      <w:r>
        <w:t>GLI Finance Ltd</w:t>
      </w:r>
    </w:p>
    <w:p w:rsidR="00F21C55" w:rsidRDefault="00F21C55" w:rsidP="00FC508A">
      <w:r>
        <w:t>Herbert Smith Freehills LLP</w:t>
      </w:r>
    </w:p>
    <w:p w:rsidR="00F21C55" w:rsidRDefault="001D32FA" w:rsidP="00FC508A">
      <w:r>
        <w:t>HSBC</w:t>
      </w:r>
    </w:p>
    <w:p w:rsidR="001D32FA" w:rsidRPr="001D32FA" w:rsidRDefault="001D32FA" w:rsidP="00FC508A">
      <w:pPr>
        <w:rPr>
          <w:b/>
        </w:rPr>
      </w:pPr>
      <w:r w:rsidRPr="001D32FA">
        <w:rPr>
          <w:rStyle w:val="st1"/>
          <w:rFonts w:cs="Arial"/>
        </w:rPr>
        <w:t>The</w:t>
      </w:r>
      <w:r w:rsidRPr="001D32FA">
        <w:rPr>
          <w:rStyle w:val="st1"/>
          <w:rFonts w:cs="Arial"/>
          <w:b/>
        </w:rPr>
        <w:t xml:space="preserve"> </w:t>
      </w:r>
      <w:r w:rsidRPr="001D32FA">
        <w:rPr>
          <w:rStyle w:val="Emphasis"/>
          <w:rFonts w:cs="Arial"/>
          <w:b w:val="0"/>
        </w:rPr>
        <w:t>Institute of Chartered Accountants in England and Wales</w:t>
      </w:r>
    </w:p>
    <w:p w:rsidR="00546FD5" w:rsidRDefault="001D32FA" w:rsidP="00FC508A">
      <w:r>
        <w:t>Professor of Commercial Law, Louise Gulliver</w:t>
      </w:r>
      <w:r w:rsidR="002C7EB8">
        <w:t xml:space="preserve"> (responding on behalf of Professor Hugh Beale and Assistant Professor Sarah Paterson</w:t>
      </w:r>
    </w:p>
    <w:p w:rsidR="001D32FA" w:rsidRDefault="001D32FA" w:rsidP="00FC508A">
      <w:r>
        <w:t xml:space="preserve">Lloyds Bank Commercial Finance Limited </w:t>
      </w:r>
    </w:p>
    <w:p w:rsidR="001D32FA" w:rsidRDefault="001D32FA" w:rsidP="00FC508A">
      <w:r>
        <w:t>MarketInvoice Limited</w:t>
      </w:r>
    </w:p>
    <w:p w:rsidR="001D32FA" w:rsidRDefault="001D32FA" w:rsidP="00FC508A">
      <w:r>
        <w:t>Peter Graham</w:t>
      </w:r>
    </w:p>
    <w:p w:rsidR="001D32FA" w:rsidRDefault="007F014C" w:rsidP="00FC508A">
      <w:r>
        <w:t>John Davies</w:t>
      </w:r>
    </w:p>
    <w:p w:rsidR="001D32FA" w:rsidRDefault="001D32FA" w:rsidP="00FC508A">
      <w:r>
        <w:t>Travers Smith LLP</w:t>
      </w:r>
    </w:p>
    <w:p w:rsidR="001D32FA" w:rsidRPr="008D78D9" w:rsidRDefault="001D32FA" w:rsidP="00FC508A">
      <w:pPr>
        <w:sectPr w:rsidR="001D32FA" w:rsidRPr="008D78D9" w:rsidSect="00B5752E">
          <w:headerReference w:type="default" r:id="rId12"/>
          <w:type w:val="continuous"/>
          <w:pgSz w:w="11906" w:h="16838" w:code="9"/>
          <w:pgMar w:top="1701" w:right="1134" w:bottom="1134" w:left="1134" w:header="437" w:footer="266" w:gutter="0"/>
          <w:cols w:space="720"/>
          <w:titlePg/>
        </w:sectPr>
      </w:pPr>
    </w:p>
    <w:p w:rsidR="00C56DD0" w:rsidRPr="008D78D9" w:rsidRDefault="00467B49" w:rsidP="00DB3212">
      <w:pPr>
        <w:pStyle w:val="EndpageText"/>
        <w:spacing w:line="240" w:lineRule="auto"/>
        <w:rPr>
          <w:szCs w:val="20"/>
        </w:rPr>
      </w:pPr>
      <w:r w:rsidRPr="008D78D9">
        <w:rPr>
          <w:noProof/>
          <w:szCs w:val="20"/>
          <w:lang w:eastAsia="en-GB"/>
        </w:rPr>
        <w:drawing>
          <wp:anchor distT="0" distB="0" distL="114300" distR="114300" simplePos="0" relativeHeight="251659264" behindDoc="0" locked="0" layoutInCell="1" allowOverlap="1" wp14:anchorId="33F6E385" wp14:editId="21832322">
            <wp:simplePos x="0" y="0"/>
            <wp:positionH relativeFrom="column">
              <wp:posOffset>-6985</wp:posOffset>
            </wp:positionH>
            <wp:positionV relativeFrom="paragraph">
              <wp:posOffset>-465455</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00C56DD0" w:rsidRPr="008D78D9">
        <w:rPr>
          <w:szCs w:val="20"/>
        </w:rPr>
        <w:t>© Crown copyright 201</w:t>
      </w:r>
      <w:r w:rsidR="00DA453C" w:rsidRPr="008D78D9">
        <w:rPr>
          <w:szCs w:val="20"/>
        </w:rPr>
        <w:t>5</w:t>
      </w:r>
    </w:p>
    <w:p w:rsidR="00DB3212" w:rsidRPr="008D78D9" w:rsidRDefault="00DB3212" w:rsidP="00DB3212">
      <w:pPr>
        <w:spacing w:after="0"/>
        <w:rPr>
          <w:sz w:val="20"/>
          <w:szCs w:val="20"/>
        </w:rPr>
      </w:pPr>
    </w:p>
    <w:p w:rsidR="0031038D" w:rsidRPr="008D78D9" w:rsidRDefault="0031038D" w:rsidP="0031038D">
      <w:pPr>
        <w:spacing w:after="0"/>
        <w:rPr>
          <w:sz w:val="20"/>
          <w:szCs w:val="20"/>
        </w:rPr>
      </w:pPr>
      <w:r w:rsidRPr="008D78D9">
        <w:rPr>
          <w:sz w:val="20"/>
          <w:szCs w:val="20"/>
        </w:rPr>
        <w:t>This publication is licensed under the terms of the Open Government Licence v3.0 except where otherwise stated. To view this licence, visit </w:t>
      </w:r>
      <w:hyperlink r:id="rId14" w:history="1">
        <w:r w:rsidRPr="008D78D9">
          <w:rPr>
            <w:rStyle w:val="Hyperlink"/>
            <w:sz w:val="20"/>
            <w:szCs w:val="20"/>
          </w:rPr>
          <w:t>nationalarchives.gov.uk/doc/open-government-licence/version/3</w:t>
        </w:r>
      </w:hyperlink>
      <w:r w:rsidRPr="008D78D9">
        <w:rPr>
          <w:sz w:val="20"/>
          <w:szCs w:val="20"/>
        </w:rPr>
        <w:t> or write to the Information Policy Team, The National Archives, Kew, London TW9 4DU, or email: </w:t>
      </w:r>
      <w:hyperlink r:id="rId15" w:history="1">
        <w:r w:rsidRPr="008D78D9">
          <w:rPr>
            <w:rStyle w:val="Hyperlink"/>
            <w:sz w:val="20"/>
            <w:szCs w:val="20"/>
          </w:rPr>
          <w:t>psi@nationalarchives.gsi.gov.uk</w:t>
        </w:r>
      </w:hyperlink>
      <w:r w:rsidRPr="008D78D9">
        <w:rPr>
          <w:sz w:val="20"/>
          <w:szCs w:val="20"/>
        </w:rPr>
        <w:t>.</w:t>
      </w:r>
    </w:p>
    <w:p w:rsidR="0031038D" w:rsidRPr="008D78D9" w:rsidRDefault="0031038D" w:rsidP="0031038D">
      <w:pPr>
        <w:spacing w:after="0"/>
        <w:rPr>
          <w:sz w:val="20"/>
          <w:szCs w:val="20"/>
        </w:rPr>
      </w:pPr>
    </w:p>
    <w:p w:rsidR="0031038D" w:rsidRPr="008D78D9" w:rsidRDefault="0031038D" w:rsidP="0031038D">
      <w:pPr>
        <w:spacing w:after="0"/>
        <w:rPr>
          <w:sz w:val="20"/>
          <w:szCs w:val="20"/>
        </w:rPr>
      </w:pPr>
      <w:r w:rsidRPr="008D78D9">
        <w:rPr>
          <w:sz w:val="20"/>
          <w:szCs w:val="20"/>
        </w:rPr>
        <w:t>Where we have identified any third party copyright information you will need to obtain permission from the copyright holders concerned.</w:t>
      </w:r>
    </w:p>
    <w:p w:rsidR="00DB3212" w:rsidRPr="008D78D9" w:rsidRDefault="00DB3212" w:rsidP="00DB3212">
      <w:pPr>
        <w:spacing w:after="0"/>
        <w:rPr>
          <w:sz w:val="20"/>
          <w:szCs w:val="20"/>
        </w:rPr>
      </w:pPr>
    </w:p>
    <w:p w:rsidR="00C56DD0" w:rsidRPr="008D78D9" w:rsidRDefault="00C56DD0" w:rsidP="00DB3212">
      <w:pPr>
        <w:spacing w:after="0"/>
        <w:rPr>
          <w:sz w:val="20"/>
          <w:szCs w:val="20"/>
        </w:rPr>
      </w:pPr>
      <w:r w:rsidRPr="008D78D9">
        <w:rPr>
          <w:sz w:val="20"/>
          <w:szCs w:val="20"/>
        </w:rPr>
        <w:t xml:space="preserve">This publication available from </w:t>
      </w:r>
      <w:hyperlink r:id="rId16" w:history="1">
        <w:r w:rsidRPr="008D78D9">
          <w:rPr>
            <w:rStyle w:val="Hyperlink"/>
            <w:sz w:val="20"/>
            <w:szCs w:val="20"/>
          </w:rPr>
          <w:t>www.gov.uk/bis</w:t>
        </w:r>
      </w:hyperlink>
      <w:r w:rsidRPr="008D78D9">
        <w:rPr>
          <w:sz w:val="20"/>
          <w:szCs w:val="20"/>
        </w:rPr>
        <w:t xml:space="preserve"> </w:t>
      </w:r>
    </w:p>
    <w:p w:rsidR="00DB3212" w:rsidRPr="008D78D9" w:rsidRDefault="00DB3212" w:rsidP="00DB3212">
      <w:pPr>
        <w:pStyle w:val="EndpageText"/>
        <w:spacing w:line="240" w:lineRule="auto"/>
        <w:rPr>
          <w:szCs w:val="20"/>
        </w:rPr>
      </w:pPr>
    </w:p>
    <w:p w:rsidR="00DB3212" w:rsidRPr="008D78D9" w:rsidRDefault="00DB3212" w:rsidP="00DB3212">
      <w:pPr>
        <w:pStyle w:val="EndpageText"/>
        <w:spacing w:line="240" w:lineRule="auto"/>
        <w:rPr>
          <w:szCs w:val="20"/>
        </w:rPr>
      </w:pPr>
      <w:r w:rsidRPr="008D78D9">
        <w:rPr>
          <w:szCs w:val="20"/>
        </w:rPr>
        <w:t>Contacts us if you have any enquiries about this publication, including requests for alternative formats</w:t>
      </w:r>
      <w:r w:rsidR="00685868" w:rsidRPr="008D78D9">
        <w:rPr>
          <w:szCs w:val="20"/>
        </w:rPr>
        <w:t>,</w:t>
      </w:r>
      <w:r w:rsidRPr="008D78D9">
        <w:rPr>
          <w:szCs w:val="20"/>
        </w:rPr>
        <w:t xml:space="preserve"> at:</w:t>
      </w:r>
    </w:p>
    <w:p w:rsidR="00DB3212" w:rsidRPr="008D78D9" w:rsidRDefault="00DB3212" w:rsidP="00DB3212">
      <w:pPr>
        <w:pStyle w:val="EndpageText"/>
        <w:spacing w:line="240" w:lineRule="auto"/>
        <w:rPr>
          <w:szCs w:val="20"/>
        </w:rPr>
      </w:pPr>
    </w:p>
    <w:p w:rsidR="00DB3212" w:rsidRPr="008D78D9" w:rsidRDefault="00DB3212" w:rsidP="00DB3212">
      <w:pPr>
        <w:pStyle w:val="EndpageText"/>
        <w:spacing w:line="240" w:lineRule="auto"/>
        <w:rPr>
          <w:szCs w:val="20"/>
        </w:rPr>
      </w:pPr>
      <w:r w:rsidRPr="008D78D9">
        <w:rPr>
          <w:szCs w:val="20"/>
        </w:rPr>
        <w:t>Department for Business, Innovation and Skills</w:t>
      </w:r>
    </w:p>
    <w:p w:rsidR="00DB3212" w:rsidRPr="008D78D9" w:rsidRDefault="00DB3212" w:rsidP="00DB3212">
      <w:pPr>
        <w:pStyle w:val="EndpageText"/>
        <w:spacing w:line="240" w:lineRule="auto"/>
        <w:rPr>
          <w:szCs w:val="20"/>
        </w:rPr>
      </w:pPr>
      <w:r w:rsidRPr="008D78D9">
        <w:rPr>
          <w:szCs w:val="20"/>
        </w:rPr>
        <w:t>1 Victoria Street</w:t>
      </w:r>
    </w:p>
    <w:p w:rsidR="00DB3212" w:rsidRPr="008D78D9" w:rsidRDefault="00DB3212" w:rsidP="00DB3212">
      <w:pPr>
        <w:pStyle w:val="EndpageText"/>
        <w:spacing w:line="240" w:lineRule="auto"/>
        <w:rPr>
          <w:szCs w:val="20"/>
        </w:rPr>
      </w:pPr>
      <w:r w:rsidRPr="008D78D9">
        <w:rPr>
          <w:szCs w:val="20"/>
        </w:rPr>
        <w:t>London SW1H 0ET</w:t>
      </w:r>
    </w:p>
    <w:p w:rsidR="00DB3212" w:rsidRPr="008D78D9" w:rsidRDefault="00DB3212" w:rsidP="00DB3212">
      <w:pPr>
        <w:pStyle w:val="EndpageText"/>
        <w:spacing w:line="240" w:lineRule="auto"/>
        <w:rPr>
          <w:szCs w:val="20"/>
        </w:rPr>
      </w:pPr>
      <w:r w:rsidRPr="008D78D9">
        <w:rPr>
          <w:szCs w:val="20"/>
        </w:rPr>
        <w:t>Tel: 020 7215 5000</w:t>
      </w:r>
    </w:p>
    <w:p w:rsidR="00DB3212" w:rsidRPr="008D78D9" w:rsidRDefault="00DB3212" w:rsidP="00DB3212">
      <w:pPr>
        <w:pStyle w:val="EndpageText"/>
        <w:spacing w:line="240" w:lineRule="auto"/>
        <w:rPr>
          <w:szCs w:val="20"/>
        </w:rPr>
      </w:pPr>
      <w:r w:rsidRPr="008D78D9">
        <w:rPr>
          <w:szCs w:val="20"/>
        </w:rPr>
        <w:t xml:space="preserve">Email: </w:t>
      </w:r>
      <w:hyperlink r:id="rId17" w:history="1">
        <w:r w:rsidRPr="008D78D9">
          <w:rPr>
            <w:rStyle w:val="Hyperlink"/>
            <w:sz w:val="20"/>
            <w:szCs w:val="20"/>
          </w:rPr>
          <w:t>enquiries@bis.gsi.gov.uk</w:t>
        </w:r>
      </w:hyperlink>
    </w:p>
    <w:p w:rsidR="00DB3212" w:rsidRPr="008D78D9" w:rsidRDefault="00DB3212" w:rsidP="00DB3212">
      <w:pPr>
        <w:pStyle w:val="EndpageText"/>
        <w:spacing w:line="240" w:lineRule="auto"/>
        <w:rPr>
          <w:b/>
          <w:szCs w:val="20"/>
        </w:rPr>
      </w:pPr>
    </w:p>
    <w:p w:rsidR="00C56DD0" w:rsidRPr="008D78D9" w:rsidRDefault="00C56DD0" w:rsidP="00DB3212">
      <w:pPr>
        <w:pStyle w:val="EndpageText"/>
        <w:spacing w:line="240" w:lineRule="auto"/>
        <w:rPr>
          <w:b/>
          <w:bCs/>
          <w:szCs w:val="20"/>
        </w:rPr>
      </w:pPr>
      <w:r w:rsidRPr="008D78D9">
        <w:rPr>
          <w:b/>
          <w:szCs w:val="20"/>
        </w:rPr>
        <w:t>BIS/1</w:t>
      </w:r>
      <w:r w:rsidR="00DA453C" w:rsidRPr="008D78D9">
        <w:rPr>
          <w:b/>
          <w:szCs w:val="20"/>
        </w:rPr>
        <w:t>5</w:t>
      </w:r>
      <w:r w:rsidRPr="008D78D9">
        <w:rPr>
          <w:b/>
          <w:szCs w:val="20"/>
        </w:rPr>
        <w:t>/</w:t>
      </w:r>
      <w:r w:rsidR="006C71A8">
        <w:rPr>
          <w:b/>
          <w:szCs w:val="20"/>
        </w:rPr>
        <w:t>165</w:t>
      </w:r>
    </w:p>
    <w:sectPr w:rsidR="00C56DD0" w:rsidRPr="008D78D9" w:rsidSect="0031038D">
      <w:headerReference w:type="first" r:id="rId18"/>
      <w:footerReference w:type="first" r:id="rId19"/>
      <w:pgSz w:w="11906" w:h="16838" w:code="9"/>
      <w:pgMar w:top="11340"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19" w:rsidRDefault="004A1F19">
      <w:r>
        <w:separator/>
      </w:r>
    </w:p>
  </w:endnote>
  <w:endnote w:type="continuationSeparator" w:id="0">
    <w:p w:rsidR="004A1F19" w:rsidRDefault="004A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19" w:rsidRDefault="004A1F19" w:rsidP="006645DC">
    <w:pPr>
      <w:pStyle w:val="EvenPageNumber"/>
      <w:jc w:val="right"/>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6</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19" w:rsidRPr="004D6DE1" w:rsidRDefault="004A1F19" w:rsidP="006645DC">
    <w:pPr>
      <w:jc w:val="right"/>
    </w:pPr>
    <w:r>
      <w:fldChar w:fldCharType="begin"/>
    </w:r>
    <w:r>
      <w:instrText xml:space="preserve">PAGE  </w:instrText>
    </w:r>
    <w:r>
      <w:fldChar w:fldCharType="separate"/>
    </w:r>
    <w:r w:rsidR="00DA46C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19" w:rsidRPr="00FC3779" w:rsidRDefault="004A1F19"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19" w:rsidRDefault="004A1F19">
      <w:r>
        <w:separator/>
      </w:r>
    </w:p>
  </w:footnote>
  <w:footnote w:type="continuationSeparator" w:id="0">
    <w:p w:rsidR="004A1F19" w:rsidRDefault="004A1F19">
      <w:r>
        <w:continuationSeparator/>
      </w:r>
    </w:p>
  </w:footnote>
  <w:footnote w:id="1">
    <w:p w:rsidR="004A1F19" w:rsidRDefault="004A1F19">
      <w:pPr>
        <w:pStyle w:val="FootnoteText"/>
      </w:pPr>
      <w:r>
        <w:rPr>
          <w:rStyle w:val="FootnoteReference"/>
        </w:rPr>
        <w:footnoteRef/>
      </w:r>
      <w:r>
        <w:t xml:space="preserve"> Quote from ABFA, data available from </w:t>
      </w:r>
      <w:hyperlink r:id="rId1" w:history="1">
        <w:r w:rsidRPr="004852A6">
          <w:rPr>
            <w:rStyle w:val="Hyperlink"/>
            <w:sz w:val="20"/>
          </w:rPr>
          <w:t>http://www.abfa.org.uk/members/statistics.asp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19" w:rsidRPr="00D90412" w:rsidRDefault="004A1F19" w:rsidP="00D90412">
    <w:r>
      <w:rPr>
        <w:noProof/>
        <w:lang w:eastAsia="en-GB"/>
      </w:rPr>
      <mc:AlternateContent>
        <mc:Choice Requires="wps">
          <w:drawing>
            <wp:anchor distT="0" distB="0" distL="114300" distR="114300" simplePos="0" relativeHeight="251656192" behindDoc="0" locked="0" layoutInCell="1" allowOverlap="1" wp14:anchorId="5E4FFF34" wp14:editId="3DFE55D1">
              <wp:simplePos x="0" y="0"/>
              <wp:positionH relativeFrom="column">
                <wp:posOffset>-33655</wp:posOffset>
              </wp:positionH>
              <wp:positionV relativeFrom="paragraph">
                <wp:posOffset>167640</wp:posOffset>
              </wp:positionV>
              <wp:extent cx="6559550" cy="0"/>
              <wp:effectExtent l="0" t="0" r="0" b="0"/>
              <wp:wrapTight wrapText="bothSides">
                <wp:wrapPolygon edited="0">
                  <wp:start x="0" y="-2147483648"/>
                  <wp:lineTo x="690" y="-2147483648"/>
                  <wp:lineTo x="690" y="-2147483648"/>
                  <wp:lineTo x="0" y="-2147483648"/>
                  <wp:lineTo x="0" y="-2147483648"/>
                </wp:wrapPolygon>
              </wp:wrapTigh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BA20"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5hFQIAACkEAAAOAAAAZHJzL2Uyb0RvYy54bWysU8uu2yAQ3VfqPyD2ie3U8U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" strokecolor="#06c" strokeweight="1pt">
              <w10:wrap type="tight"/>
            </v:line>
          </w:pict>
        </mc:Fallback>
      </mc:AlternateContent>
    </w:r>
    <w:r w:rsidRPr="00D90412">
      <w:t>DECC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19" w:rsidRDefault="004A1F19">
    <w:pPr>
      <w:pStyle w:val="Header"/>
    </w:pPr>
    <w:r>
      <w:rPr>
        <w:noProof/>
        <w:lang w:eastAsia="en-GB"/>
      </w:rPr>
      <w:drawing>
        <wp:anchor distT="0" distB="0" distL="114300" distR="114300" simplePos="0" relativeHeight="251659264" behindDoc="1" locked="0" layoutInCell="1" allowOverlap="1" wp14:anchorId="612F0A4A" wp14:editId="64AAB124">
          <wp:simplePos x="0" y="0"/>
          <wp:positionH relativeFrom="column">
            <wp:posOffset>-781050</wp:posOffset>
          </wp:positionH>
          <wp:positionV relativeFrom="paragraph">
            <wp:posOffset>-454660</wp:posOffset>
          </wp:positionV>
          <wp:extent cx="7604125" cy="10744200"/>
          <wp:effectExtent l="0" t="0" r="0" b="0"/>
          <wp:wrapNone/>
          <wp:docPr id="3" name="Picture 2" descr="Department for Business, Innovation and Skills" title="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Business, Innovation and Sk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19" w:rsidRDefault="004A1F19" w:rsidP="00A95640">
    <w:pPr>
      <w:pStyle w:val="BISOddHeader"/>
    </w:pPr>
    <w:r>
      <w:rPr>
        <w:noProof/>
        <w:lang w:eastAsia="en-GB"/>
      </w:rPr>
      <mc:AlternateContent>
        <mc:Choice Requires="wps">
          <w:drawing>
            <wp:anchor distT="0" distB="0" distL="114300" distR="114300" simplePos="0" relativeHeight="251657216" behindDoc="0" locked="0" layoutInCell="1" allowOverlap="1" wp14:anchorId="746BF962" wp14:editId="6D4B1272">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42DA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G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CkSId&#10;SPQsFEf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Lt5&#10;4wY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Duty to report: summary of responses</w:t>
    </w:r>
  </w:p>
  <w:p w:rsidR="004A1F19" w:rsidRPr="00D90412" w:rsidRDefault="004A1F19" w:rsidP="00A95640">
    <w:pPr>
      <w:pStyle w:val="BISOdd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19" w:rsidRPr="00015C4E" w:rsidRDefault="004A1F19" w:rsidP="00015C4E">
    <w:r>
      <w:rPr>
        <w:noProof/>
        <w:lang w:eastAsia="en-GB"/>
      </w:rPr>
      <mc:AlternateContent>
        <mc:Choice Requires="wps">
          <w:drawing>
            <wp:anchor distT="0" distB="0" distL="114300" distR="114300" simplePos="0" relativeHeight="251658240" behindDoc="1" locked="0" layoutInCell="1" allowOverlap="1" wp14:anchorId="6AC87B88" wp14:editId="2837F9C2">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5F50"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49845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80D6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A20C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4205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FE5A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D810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2B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AE1B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07F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C28B70"/>
    <w:lvl w:ilvl="0">
      <w:start w:val="1"/>
      <w:numFmt w:val="bullet"/>
      <w:lvlText w:val=""/>
      <w:lvlJc w:val="left"/>
      <w:pPr>
        <w:tabs>
          <w:tab w:val="num" w:pos="360"/>
        </w:tabs>
        <w:ind w:left="360" w:hanging="360"/>
      </w:pPr>
      <w:rPr>
        <w:rFonts w:ascii="Symbol" w:hAnsi="Symbol" w:hint="default"/>
      </w:rPr>
    </w:lvl>
  </w:abstractNum>
  <w:abstractNum w:abstractNumId="10">
    <w:nsid w:val="05204762"/>
    <w:multiLevelType w:val="hybridMultilevel"/>
    <w:tmpl w:val="5C12746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09006835"/>
    <w:multiLevelType w:val="hybridMultilevel"/>
    <w:tmpl w:val="062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111D4335"/>
    <w:multiLevelType w:val="hybridMultilevel"/>
    <w:tmpl w:val="1B20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5">
    <w:nsid w:val="11E776F1"/>
    <w:multiLevelType w:val="hybridMultilevel"/>
    <w:tmpl w:val="A124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65A2F"/>
    <w:multiLevelType w:val="hybridMultilevel"/>
    <w:tmpl w:val="0470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981786"/>
    <w:multiLevelType w:val="hybridMultilevel"/>
    <w:tmpl w:val="1D9E8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D3017B"/>
    <w:multiLevelType w:val="hybridMultilevel"/>
    <w:tmpl w:val="EC6A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DD212A"/>
    <w:multiLevelType w:val="hybridMultilevel"/>
    <w:tmpl w:val="DD1A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083243"/>
    <w:multiLevelType w:val="hybridMultilevel"/>
    <w:tmpl w:val="F158591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1">
    <w:nsid w:val="24BE52BF"/>
    <w:multiLevelType w:val="hybridMultilevel"/>
    <w:tmpl w:val="3F9C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8A1086"/>
    <w:multiLevelType w:val="hybridMultilevel"/>
    <w:tmpl w:val="3BC8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4">
    <w:nsid w:val="2FDE1754"/>
    <w:multiLevelType w:val="hybridMultilevel"/>
    <w:tmpl w:val="2E26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007F20"/>
    <w:multiLevelType w:val="hybridMultilevel"/>
    <w:tmpl w:val="730A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5F1469"/>
    <w:multiLevelType w:val="hybridMultilevel"/>
    <w:tmpl w:val="5EBE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160BFF"/>
    <w:multiLevelType w:val="hybridMultilevel"/>
    <w:tmpl w:val="097AF580"/>
    <w:lvl w:ilvl="0" w:tplc="7982F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1F1C89"/>
    <w:multiLevelType w:val="hybridMultilevel"/>
    <w:tmpl w:val="DC8E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91452F"/>
    <w:multiLevelType w:val="hybridMultilevel"/>
    <w:tmpl w:val="D4F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F12A3F"/>
    <w:multiLevelType w:val="hybridMultilevel"/>
    <w:tmpl w:val="83725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36">
    <w:nsid w:val="7EFE2C3A"/>
    <w:multiLevelType w:val="hybridMultilevel"/>
    <w:tmpl w:val="2D626F02"/>
    <w:lvl w:ilvl="0" w:tplc="85FC7C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181057"/>
    <w:multiLevelType w:val="hybridMultilevel"/>
    <w:tmpl w:val="24B4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4"/>
  </w:num>
  <w:num w:numId="4">
    <w:abstractNumId w:val="23"/>
  </w:num>
  <w:num w:numId="5">
    <w:abstractNumId w:val="35"/>
  </w:num>
  <w:num w:numId="6">
    <w:abstractNumId w:val="32"/>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33"/>
  </w:num>
  <w:num w:numId="19">
    <w:abstractNumId w:val="36"/>
  </w:num>
  <w:num w:numId="20">
    <w:abstractNumId w:val="27"/>
  </w:num>
  <w:num w:numId="21">
    <w:abstractNumId w:val="14"/>
  </w:num>
  <w:num w:numId="22">
    <w:abstractNumId w:val="14"/>
  </w:num>
  <w:num w:numId="23">
    <w:abstractNumId w:val="14"/>
  </w:num>
  <w:num w:numId="24">
    <w:abstractNumId w:val="14"/>
  </w:num>
  <w:num w:numId="25">
    <w:abstractNumId w:val="14"/>
  </w:num>
  <w:num w:numId="26">
    <w:abstractNumId w:val="10"/>
  </w:num>
  <w:num w:numId="27">
    <w:abstractNumId w:val="20"/>
  </w:num>
  <w:num w:numId="28">
    <w:abstractNumId w:val="37"/>
  </w:num>
  <w:num w:numId="29">
    <w:abstractNumId w:val="21"/>
  </w:num>
  <w:num w:numId="30">
    <w:abstractNumId w:val="29"/>
  </w:num>
  <w:num w:numId="31">
    <w:abstractNumId w:val="11"/>
  </w:num>
  <w:num w:numId="32">
    <w:abstractNumId w:val="24"/>
  </w:num>
  <w:num w:numId="33">
    <w:abstractNumId w:val="25"/>
  </w:num>
  <w:num w:numId="34">
    <w:abstractNumId w:val="15"/>
  </w:num>
  <w:num w:numId="35">
    <w:abstractNumId w:val="13"/>
  </w:num>
  <w:num w:numId="36">
    <w:abstractNumId w:val="19"/>
  </w:num>
  <w:num w:numId="37">
    <w:abstractNumId w:val="30"/>
  </w:num>
  <w:num w:numId="38">
    <w:abstractNumId w:val="26"/>
  </w:num>
  <w:num w:numId="39">
    <w:abstractNumId w:val="16"/>
  </w:num>
  <w:num w:numId="40">
    <w:abstractNumId w:val="22"/>
  </w:num>
  <w:num w:numId="41">
    <w:abstractNumId w:val="17"/>
  </w:num>
  <w:num w:numId="42">
    <w:abstractNumId w:val="31"/>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6159"/>
    <w:rsid w:val="00015C4E"/>
    <w:rsid w:val="0001717D"/>
    <w:rsid w:val="00032498"/>
    <w:rsid w:val="00034384"/>
    <w:rsid w:val="0005286F"/>
    <w:rsid w:val="00053C78"/>
    <w:rsid w:val="000604AF"/>
    <w:rsid w:val="000649CF"/>
    <w:rsid w:val="00072613"/>
    <w:rsid w:val="000747AF"/>
    <w:rsid w:val="00086288"/>
    <w:rsid w:val="00091DE9"/>
    <w:rsid w:val="00096FAD"/>
    <w:rsid w:val="000A1E8A"/>
    <w:rsid w:val="000A2FB4"/>
    <w:rsid w:val="000A4AD3"/>
    <w:rsid w:val="000B6352"/>
    <w:rsid w:val="000B7B04"/>
    <w:rsid w:val="000C26E1"/>
    <w:rsid w:val="000C2C1D"/>
    <w:rsid w:val="000C4AF1"/>
    <w:rsid w:val="000C62EA"/>
    <w:rsid w:val="000C64A1"/>
    <w:rsid w:val="000C65B1"/>
    <w:rsid w:val="000D42C5"/>
    <w:rsid w:val="000D5E29"/>
    <w:rsid w:val="000D7FCB"/>
    <w:rsid w:val="000E1F17"/>
    <w:rsid w:val="000E41D0"/>
    <w:rsid w:val="000E50CC"/>
    <w:rsid w:val="000F37F3"/>
    <w:rsid w:val="000F5F3C"/>
    <w:rsid w:val="00103F41"/>
    <w:rsid w:val="001041B7"/>
    <w:rsid w:val="0010466E"/>
    <w:rsid w:val="001100D6"/>
    <w:rsid w:val="001140A7"/>
    <w:rsid w:val="0012173E"/>
    <w:rsid w:val="00122993"/>
    <w:rsid w:val="00142743"/>
    <w:rsid w:val="0014731E"/>
    <w:rsid w:val="00155A9C"/>
    <w:rsid w:val="001634C8"/>
    <w:rsid w:val="001674A6"/>
    <w:rsid w:val="001705EB"/>
    <w:rsid w:val="001726DF"/>
    <w:rsid w:val="0017322B"/>
    <w:rsid w:val="00173E2B"/>
    <w:rsid w:val="00182933"/>
    <w:rsid w:val="0018767B"/>
    <w:rsid w:val="00191B54"/>
    <w:rsid w:val="001928AC"/>
    <w:rsid w:val="00193033"/>
    <w:rsid w:val="00195539"/>
    <w:rsid w:val="001A32A2"/>
    <w:rsid w:val="001A34AD"/>
    <w:rsid w:val="001A3ADE"/>
    <w:rsid w:val="001A3FE6"/>
    <w:rsid w:val="001B4094"/>
    <w:rsid w:val="001C021A"/>
    <w:rsid w:val="001C1FE5"/>
    <w:rsid w:val="001C2503"/>
    <w:rsid w:val="001C2D05"/>
    <w:rsid w:val="001C78F8"/>
    <w:rsid w:val="001D32FA"/>
    <w:rsid w:val="001D3D3A"/>
    <w:rsid w:val="001D6D05"/>
    <w:rsid w:val="001D7170"/>
    <w:rsid w:val="001D7197"/>
    <w:rsid w:val="001D73E3"/>
    <w:rsid w:val="001E3E81"/>
    <w:rsid w:val="001E554A"/>
    <w:rsid w:val="001E79E8"/>
    <w:rsid w:val="001F0581"/>
    <w:rsid w:val="001F2C2F"/>
    <w:rsid w:val="001F6C8C"/>
    <w:rsid w:val="00201B9C"/>
    <w:rsid w:val="00203A87"/>
    <w:rsid w:val="002070F3"/>
    <w:rsid w:val="00215B52"/>
    <w:rsid w:val="00220B27"/>
    <w:rsid w:val="00224C7F"/>
    <w:rsid w:val="0022504C"/>
    <w:rsid w:val="00226F71"/>
    <w:rsid w:val="00232B67"/>
    <w:rsid w:val="0023304D"/>
    <w:rsid w:val="00244FC1"/>
    <w:rsid w:val="002451F0"/>
    <w:rsid w:val="00246F54"/>
    <w:rsid w:val="002510D8"/>
    <w:rsid w:val="0025397C"/>
    <w:rsid w:val="002670F6"/>
    <w:rsid w:val="00267DDC"/>
    <w:rsid w:val="0027051F"/>
    <w:rsid w:val="00271E99"/>
    <w:rsid w:val="00272379"/>
    <w:rsid w:val="00272572"/>
    <w:rsid w:val="00273593"/>
    <w:rsid w:val="0027372E"/>
    <w:rsid w:val="00281BE9"/>
    <w:rsid w:val="00283476"/>
    <w:rsid w:val="00286D4D"/>
    <w:rsid w:val="0028755F"/>
    <w:rsid w:val="00294784"/>
    <w:rsid w:val="00297AC5"/>
    <w:rsid w:val="002A5DEC"/>
    <w:rsid w:val="002B01CE"/>
    <w:rsid w:val="002B7EFA"/>
    <w:rsid w:val="002C14CA"/>
    <w:rsid w:val="002C1944"/>
    <w:rsid w:val="002C348C"/>
    <w:rsid w:val="002C3AFC"/>
    <w:rsid w:val="002C7EB8"/>
    <w:rsid w:val="002D12B5"/>
    <w:rsid w:val="002D4F57"/>
    <w:rsid w:val="002D7C4C"/>
    <w:rsid w:val="002E0E2E"/>
    <w:rsid w:val="002E70DB"/>
    <w:rsid w:val="002F1CC6"/>
    <w:rsid w:val="002F1FF4"/>
    <w:rsid w:val="002F5CA9"/>
    <w:rsid w:val="002F70C3"/>
    <w:rsid w:val="00300710"/>
    <w:rsid w:val="00307095"/>
    <w:rsid w:val="0031038D"/>
    <w:rsid w:val="00314CFD"/>
    <w:rsid w:val="003213B0"/>
    <w:rsid w:val="00324D1E"/>
    <w:rsid w:val="0033034E"/>
    <w:rsid w:val="003318CE"/>
    <w:rsid w:val="00331FF7"/>
    <w:rsid w:val="00336FC1"/>
    <w:rsid w:val="003421FF"/>
    <w:rsid w:val="00345BCB"/>
    <w:rsid w:val="00346CA7"/>
    <w:rsid w:val="00352686"/>
    <w:rsid w:val="00354266"/>
    <w:rsid w:val="00361180"/>
    <w:rsid w:val="003614E9"/>
    <w:rsid w:val="003654E6"/>
    <w:rsid w:val="00371895"/>
    <w:rsid w:val="00373222"/>
    <w:rsid w:val="00375D85"/>
    <w:rsid w:val="00377603"/>
    <w:rsid w:val="003863DC"/>
    <w:rsid w:val="00390385"/>
    <w:rsid w:val="003921D2"/>
    <w:rsid w:val="003955D6"/>
    <w:rsid w:val="00396504"/>
    <w:rsid w:val="003966DE"/>
    <w:rsid w:val="00397140"/>
    <w:rsid w:val="003B15CC"/>
    <w:rsid w:val="003B321A"/>
    <w:rsid w:val="003C1F4B"/>
    <w:rsid w:val="003C2623"/>
    <w:rsid w:val="003C2743"/>
    <w:rsid w:val="003C5298"/>
    <w:rsid w:val="003D57B6"/>
    <w:rsid w:val="003D6950"/>
    <w:rsid w:val="003E26A0"/>
    <w:rsid w:val="003E6E7C"/>
    <w:rsid w:val="003F35D6"/>
    <w:rsid w:val="003F6FD2"/>
    <w:rsid w:val="00400763"/>
    <w:rsid w:val="00401C13"/>
    <w:rsid w:val="00404759"/>
    <w:rsid w:val="00427205"/>
    <w:rsid w:val="004304A6"/>
    <w:rsid w:val="0043287E"/>
    <w:rsid w:val="004367F6"/>
    <w:rsid w:val="00436F01"/>
    <w:rsid w:val="00442169"/>
    <w:rsid w:val="0044797C"/>
    <w:rsid w:val="00452858"/>
    <w:rsid w:val="004609A9"/>
    <w:rsid w:val="00464CB3"/>
    <w:rsid w:val="00464DF3"/>
    <w:rsid w:val="00464E32"/>
    <w:rsid w:val="00467B49"/>
    <w:rsid w:val="00472AF2"/>
    <w:rsid w:val="004805D2"/>
    <w:rsid w:val="00484140"/>
    <w:rsid w:val="00484B18"/>
    <w:rsid w:val="00484D06"/>
    <w:rsid w:val="00495576"/>
    <w:rsid w:val="00495CAA"/>
    <w:rsid w:val="0049656A"/>
    <w:rsid w:val="004A1F19"/>
    <w:rsid w:val="004A4E7F"/>
    <w:rsid w:val="004A6EDA"/>
    <w:rsid w:val="004A7500"/>
    <w:rsid w:val="004B10B7"/>
    <w:rsid w:val="004B6817"/>
    <w:rsid w:val="004B68DA"/>
    <w:rsid w:val="004C051C"/>
    <w:rsid w:val="004C5CE1"/>
    <w:rsid w:val="004D0520"/>
    <w:rsid w:val="004D6DE1"/>
    <w:rsid w:val="004E13AC"/>
    <w:rsid w:val="004E6E64"/>
    <w:rsid w:val="004F1A03"/>
    <w:rsid w:val="004F2A57"/>
    <w:rsid w:val="004F4F6E"/>
    <w:rsid w:val="004F5C6B"/>
    <w:rsid w:val="00507FE0"/>
    <w:rsid w:val="00515ECE"/>
    <w:rsid w:val="00523821"/>
    <w:rsid w:val="00533C58"/>
    <w:rsid w:val="0053548E"/>
    <w:rsid w:val="00545FB2"/>
    <w:rsid w:val="00546612"/>
    <w:rsid w:val="00546FD5"/>
    <w:rsid w:val="00556A20"/>
    <w:rsid w:val="00560A88"/>
    <w:rsid w:val="00563AC5"/>
    <w:rsid w:val="00565124"/>
    <w:rsid w:val="005729C4"/>
    <w:rsid w:val="00576565"/>
    <w:rsid w:val="005807BA"/>
    <w:rsid w:val="005917D7"/>
    <w:rsid w:val="005937E6"/>
    <w:rsid w:val="00595F47"/>
    <w:rsid w:val="005A169D"/>
    <w:rsid w:val="005A5354"/>
    <w:rsid w:val="005A6936"/>
    <w:rsid w:val="005A6EC3"/>
    <w:rsid w:val="005A7335"/>
    <w:rsid w:val="005B402C"/>
    <w:rsid w:val="005B5AF7"/>
    <w:rsid w:val="005B5EA4"/>
    <w:rsid w:val="005B63C3"/>
    <w:rsid w:val="005C11C2"/>
    <w:rsid w:val="005C5577"/>
    <w:rsid w:val="005D1574"/>
    <w:rsid w:val="005D361A"/>
    <w:rsid w:val="005D58CC"/>
    <w:rsid w:val="005D6326"/>
    <w:rsid w:val="005D7205"/>
    <w:rsid w:val="005D7CA8"/>
    <w:rsid w:val="005E3265"/>
    <w:rsid w:val="005E3CC4"/>
    <w:rsid w:val="005F064A"/>
    <w:rsid w:val="005F45CA"/>
    <w:rsid w:val="005F505F"/>
    <w:rsid w:val="005F5779"/>
    <w:rsid w:val="006145C1"/>
    <w:rsid w:val="00615012"/>
    <w:rsid w:val="006157D0"/>
    <w:rsid w:val="00616B8D"/>
    <w:rsid w:val="00623D8F"/>
    <w:rsid w:val="00624791"/>
    <w:rsid w:val="006260EC"/>
    <w:rsid w:val="00627DE3"/>
    <w:rsid w:val="006304BD"/>
    <w:rsid w:val="00632844"/>
    <w:rsid w:val="00632B1E"/>
    <w:rsid w:val="006365E9"/>
    <w:rsid w:val="00646608"/>
    <w:rsid w:val="00646737"/>
    <w:rsid w:val="0065357B"/>
    <w:rsid w:val="00656BBD"/>
    <w:rsid w:val="00660C9A"/>
    <w:rsid w:val="00660CB9"/>
    <w:rsid w:val="00661A05"/>
    <w:rsid w:val="006645DC"/>
    <w:rsid w:val="006658AD"/>
    <w:rsid w:val="0068134A"/>
    <w:rsid w:val="006813F2"/>
    <w:rsid w:val="006825F3"/>
    <w:rsid w:val="00685868"/>
    <w:rsid w:val="00687B05"/>
    <w:rsid w:val="00687DE2"/>
    <w:rsid w:val="00690621"/>
    <w:rsid w:val="0069261E"/>
    <w:rsid w:val="006A1178"/>
    <w:rsid w:val="006A640A"/>
    <w:rsid w:val="006B39F8"/>
    <w:rsid w:val="006B425D"/>
    <w:rsid w:val="006C1D60"/>
    <w:rsid w:val="006C1E05"/>
    <w:rsid w:val="006C2034"/>
    <w:rsid w:val="006C71A8"/>
    <w:rsid w:val="006D02FD"/>
    <w:rsid w:val="006D5937"/>
    <w:rsid w:val="006D7AAD"/>
    <w:rsid w:val="006E06AF"/>
    <w:rsid w:val="006E2DEB"/>
    <w:rsid w:val="006F6BC4"/>
    <w:rsid w:val="007073CE"/>
    <w:rsid w:val="00711F68"/>
    <w:rsid w:val="00724BD4"/>
    <w:rsid w:val="007263F1"/>
    <w:rsid w:val="0072710A"/>
    <w:rsid w:val="00736E4E"/>
    <w:rsid w:val="00742E83"/>
    <w:rsid w:val="007464B0"/>
    <w:rsid w:val="00753C94"/>
    <w:rsid w:val="0075472A"/>
    <w:rsid w:val="007559C1"/>
    <w:rsid w:val="007633BF"/>
    <w:rsid w:val="00765E62"/>
    <w:rsid w:val="007771C1"/>
    <w:rsid w:val="00783CA3"/>
    <w:rsid w:val="007A03BE"/>
    <w:rsid w:val="007A1C2D"/>
    <w:rsid w:val="007A5D45"/>
    <w:rsid w:val="007B0EE6"/>
    <w:rsid w:val="007C3A0F"/>
    <w:rsid w:val="007D0048"/>
    <w:rsid w:val="007D28BA"/>
    <w:rsid w:val="007F014C"/>
    <w:rsid w:val="00801B47"/>
    <w:rsid w:val="0082011F"/>
    <w:rsid w:val="00823531"/>
    <w:rsid w:val="00824D43"/>
    <w:rsid w:val="00830BE4"/>
    <w:rsid w:val="00834D3E"/>
    <w:rsid w:val="00841623"/>
    <w:rsid w:val="00841959"/>
    <w:rsid w:val="008427E1"/>
    <w:rsid w:val="008523BC"/>
    <w:rsid w:val="008571A1"/>
    <w:rsid w:val="008637EB"/>
    <w:rsid w:val="008651BB"/>
    <w:rsid w:val="00867CDB"/>
    <w:rsid w:val="0087154A"/>
    <w:rsid w:val="008724AD"/>
    <w:rsid w:val="00885FD3"/>
    <w:rsid w:val="00887C02"/>
    <w:rsid w:val="008A0703"/>
    <w:rsid w:val="008A3D4D"/>
    <w:rsid w:val="008A7BD8"/>
    <w:rsid w:val="008B49B1"/>
    <w:rsid w:val="008B723C"/>
    <w:rsid w:val="008B7DCC"/>
    <w:rsid w:val="008C6170"/>
    <w:rsid w:val="008C74E1"/>
    <w:rsid w:val="008D77AD"/>
    <w:rsid w:val="008D78D9"/>
    <w:rsid w:val="008E0D76"/>
    <w:rsid w:val="008E2B56"/>
    <w:rsid w:val="008E38E7"/>
    <w:rsid w:val="008E6C2D"/>
    <w:rsid w:val="008F5ED4"/>
    <w:rsid w:val="008F5F95"/>
    <w:rsid w:val="00900791"/>
    <w:rsid w:val="00902FB0"/>
    <w:rsid w:val="009061A7"/>
    <w:rsid w:val="0091120E"/>
    <w:rsid w:val="00913BC7"/>
    <w:rsid w:val="0091561D"/>
    <w:rsid w:val="00921734"/>
    <w:rsid w:val="00923859"/>
    <w:rsid w:val="009259CF"/>
    <w:rsid w:val="00925A95"/>
    <w:rsid w:val="009455BE"/>
    <w:rsid w:val="00950A73"/>
    <w:rsid w:val="00950D30"/>
    <w:rsid w:val="00954CE8"/>
    <w:rsid w:val="0095568B"/>
    <w:rsid w:val="00955D2A"/>
    <w:rsid w:val="009637E7"/>
    <w:rsid w:val="009654EF"/>
    <w:rsid w:val="00965A03"/>
    <w:rsid w:val="00972CE4"/>
    <w:rsid w:val="00973E65"/>
    <w:rsid w:val="0098063C"/>
    <w:rsid w:val="00981440"/>
    <w:rsid w:val="00984AFF"/>
    <w:rsid w:val="009946FA"/>
    <w:rsid w:val="00994AA4"/>
    <w:rsid w:val="00995D11"/>
    <w:rsid w:val="009B7C80"/>
    <w:rsid w:val="009C1373"/>
    <w:rsid w:val="009C1F4A"/>
    <w:rsid w:val="009C584A"/>
    <w:rsid w:val="009C7346"/>
    <w:rsid w:val="009E06E1"/>
    <w:rsid w:val="009E3DEE"/>
    <w:rsid w:val="009E46D2"/>
    <w:rsid w:val="009E4A52"/>
    <w:rsid w:val="009E4C3C"/>
    <w:rsid w:val="009E6F74"/>
    <w:rsid w:val="009F34E9"/>
    <w:rsid w:val="009F4F00"/>
    <w:rsid w:val="00A0176B"/>
    <w:rsid w:val="00A0579D"/>
    <w:rsid w:val="00A14146"/>
    <w:rsid w:val="00A148A4"/>
    <w:rsid w:val="00A15456"/>
    <w:rsid w:val="00A21E94"/>
    <w:rsid w:val="00A229D9"/>
    <w:rsid w:val="00A31C9E"/>
    <w:rsid w:val="00A330EC"/>
    <w:rsid w:val="00A43404"/>
    <w:rsid w:val="00A44650"/>
    <w:rsid w:val="00A512AA"/>
    <w:rsid w:val="00A5278B"/>
    <w:rsid w:val="00A60F98"/>
    <w:rsid w:val="00A67C1B"/>
    <w:rsid w:val="00A73619"/>
    <w:rsid w:val="00A74691"/>
    <w:rsid w:val="00A7638C"/>
    <w:rsid w:val="00A769B9"/>
    <w:rsid w:val="00A77434"/>
    <w:rsid w:val="00A85D49"/>
    <w:rsid w:val="00A91CB7"/>
    <w:rsid w:val="00A925F6"/>
    <w:rsid w:val="00A9368B"/>
    <w:rsid w:val="00A954B2"/>
    <w:rsid w:val="00A95640"/>
    <w:rsid w:val="00A95C77"/>
    <w:rsid w:val="00AA4BE3"/>
    <w:rsid w:val="00AA4C61"/>
    <w:rsid w:val="00AA6748"/>
    <w:rsid w:val="00AA7649"/>
    <w:rsid w:val="00AB3869"/>
    <w:rsid w:val="00AD1AFC"/>
    <w:rsid w:val="00B0484A"/>
    <w:rsid w:val="00B161E4"/>
    <w:rsid w:val="00B26885"/>
    <w:rsid w:val="00B328AD"/>
    <w:rsid w:val="00B4442F"/>
    <w:rsid w:val="00B468B7"/>
    <w:rsid w:val="00B5752E"/>
    <w:rsid w:val="00B60C67"/>
    <w:rsid w:val="00B70DA2"/>
    <w:rsid w:val="00B7595E"/>
    <w:rsid w:val="00B80A46"/>
    <w:rsid w:val="00B80BC9"/>
    <w:rsid w:val="00B83FBD"/>
    <w:rsid w:val="00B932AD"/>
    <w:rsid w:val="00B97792"/>
    <w:rsid w:val="00BA14C9"/>
    <w:rsid w:val="00BA1B74"/>
    <w:rsid w:val="00BA49F0"/>
    <w:rsid w:val="00BA54CC"/>
    <w:rsid w:val="00BA758C"/>
    <w:rsid w:val="00BB18FE"/>
    <w:rsid w:val="00BB2795"/>
    <w:rsid w:val="00BC1F9D"/>
    <w:rsid w:val="00BC5059"/>
    <w:rsid w:val="00BE2560"/>
    <w:rsid w:val="00BE4DA9"/>
    <w:rsid w:val="00BE71F8"/>
    <w:rsid w:val="00BE795E"/>
    <w:rsid w:val="00BF20CB"/>
    <w:rsid w:val="00BF7695"/>
    <w:rsid w:val="00BF7CC3"/>
    <w:rsid w:val="00C041B2"/>
    <w:rsid w:val="00C1267E"/>
    <w:rsid w:val="00C20F5A"/>
    <w:rsid w:val="00C22200"/>
    <w:rsid w:val="00C34058"/>
    <w:rsid w:val="00C3599A"/>
    <w:rsid w:val="00C378B1"/>
    <w:rsid w:val="00C44D18"/>
    <w:rsid w:val="00C454B7"/>
    <w:rsid w:val="00C50E53"/>
    <w:rsid w:val="00C56DD0"/>
    <w:rsid w:val="00C620FA"/>
    <w:rsid w:val="00C66B9A"/>
    <w:rsid w:val="00C74967"/>
    <w:rsid w:val="00C802BA"/>
    <w:rsid w:val="00C81B52"/>
    <w:rsid w:val="00C833F3"/>
    <w:rsid w:val="00C900A5"/>
    <w:rsid w:val="00C913EC"/>
    <w:rsid w:val="00CB261F"/>
    <w:rsid w:val="00CC03CD"/>
    <w:rsid w:val="00CC08BD"/>
    <w:rsid w:val="00CC2842"/>
    <w:rsid w:val="00CD3BAA"/>
    <w:rsid w:val="00CD5818"/>
    <w:rsid w:val="00CD6B9A"/>
    <w:rsid w:val="00CE0625"/>
    <w:rsid w:val="00CE50B7"/>
    <w:rsid w:val="00CF24D9"/>
    <w:rsid w:val="00CF6874"/>
    <w:rsid w:val="00CF692C"/>
    <w:rsid w:val="00CF6A23"/>
    <w:rsid w:val="00D0009D"/>
    <w:rsid w:val="00D01A0B"/>
    <w:rsid w:val="00D07B38"/>
    <w:rsid w:val="00D112A6"/>
    <w:rsid w:val="00D15B10"/>
    <w:rsid w:val="00D16544"/>
    <w:rsid w:val="00D23089"/>
    <w:rsid w:val="00D3374C"/>
    <w:rsid w:val="00D35060"/>
    <w:rsid w:val="00D377D0"/>
    <w:rsid w:val="00D41359"/>
    <w:rsid w:val="00D4360A"/>
    <w:rsid w:val="00D44A1B"/>
    <w:rsid w:val="00D5710C"/>
    <w:rsid w:val="00D62329"/>
    <w:rsid w:val="00D6439B"/>
    <w:rsid w:val="00D75E14"/>
    <w:rsid w:val="00D876A1"/>
    <w:rsid w:val="00D90412"/>
    <w:rsid w:val="00D93310"/>
    <w:rsid w:val="00D971BD"/>
    <w:rsid w:val="00D97EB6"/>
    <w:rsid w:val="00DA453C"/>
    <w:rsid w:val="00DA46C0"/>
    <w:rsid w:val="00DB280E"/>
    <w:rsid w:val="00DB2B45"/>
    <w:rsid w:val="00DB3212"/>
    <w:rsid w:val="00DB52ED"/>
    <w:rsid w:val="00DB5BD0"/>
    <w:rsid w:val="00DB62E8"/>
    <w:rsid w:val="00DB6803"/>
    <w:rsid w:val="00DC3198"/>
    <w:rsid w:val="00DC39D5"/>
    <w:rsid w:val="00DD2CEF"/>
    <w:rsid w:val="00DD5199"/>
    <w:rsid w:val="00DE1E27"/>
    <w:rsid w:val="00E05591"/>
    <w:rsid w:val="00E07842"/>
    <w:rsid w:val="00E079AF"/>
    <w:rsid w:val="00E11257"/>
    <w:rsid w:val="00E12896"/>
    <w:rsid w:val="00E17803"/>
    <w:rsid w:val="00E20530"/>
    <w:rsid w:val="00E230AB"/>
    <w:rsid w:val="00E30C7E"/>
    <w:rsid w:val="00E3132E"/>
    <w:rsid w:val="00E32ED5"/>
    <w:rsid w:val="00E3508B"/>
    <w:rsid w:val="00E35C69"/>
    <w:rsid w:val="00E41E6E"/>
    <w:rsid w:val="00E56420"/>
    <w:rsid w:val="00E56E81"/>
    <w:rsid w:val="00E66320"/>
    <w:rsid w:val="00E700C5"/>
    <w:rsid w:val="00E73FEF"/>
    <w:rsid w:val="00E84B66"/>
    <w:rsid w:val="00E86B6E"/>
    <w:rsid w:val="00E949FD"/>
    <w:rsid w:val="00EA0149"/>
    <w:rsid w:val="00EA0CF0"/>
    <w:rsid w:val="00EA7FED"/>
    <w:rsid w:val="00EB0AA8"/>
    <w:rsid w:val="00EB6CFD"/>
    <w:rsid w:val="00EC44C5"/>
    <w:rsid w:val="00ED07CD"/>
    <w:rsid w:val="00ED47D3"/>
    <w:rsid w:val="00EE2C68"/>
    <w:rsid w:val="00EF3780"/>
    <w:rsid w:val="00F019F0"/>
    <w:rsid w:val="00F01C55"/>
    <w:rsid w:val="00F03601"/>
    <w:rsid w:val="00F0612D"/>
    <w:rsid w:val="00F1019D"/>
    <w:rsid w:val="00F14400"/>
    <w:rsid w:val="00F170B6"/>
    <w:rsid w:val="00F21C55"/>
    <w:rsid w:val="00F23570"/>
    <w:rsid w:val="00F25ED1"/>
    <w:rsid w:val="00F26A9A"/>
    <w:rsid w:val="00F31909"/>
    <w:rsid w:val="00F32A90"/>
    <w:rsid w:val="00F332F9"/>
    <w:rsid w:val="00F33FD1"/>
    <w:rsid w:val="00F372EF"/>
    <w:rsid w:val="00F45DC0"/>
    <w:rsid w:val="00F47950"/>
    <w:rsid w:val="00F51A8E"/>
    <w:rsid w:val="00F54110"/>
    <w:rsid w:val="00F646C9"/>
    <w:rsid w:val="00F659E8"/>
    <w:rsid w:val="00F709D3"/>
    <w:rsid w:val="00F731A9"/>
    <w:rsid w:val="00F86663"/>
    <w:rsid w:val="00F87F17"/>
    <w:rsid w:val="00F90485"/>
    <w:rsid w:val="00F90D09"/>
    <w:rsid w:val="00F93625"/>
    <w:rsid w:val="00F93AA4"/>
    <w:rsid w:val="00F93ECE"/>
    <w:rsid w:val="00F947B1"/>
    <w:rsid w:val="00F9543B"/>
    <w:rsid w:val="00F96BAB"/>
    <w:rsid w:val="00F978F6"/>
    <w:rsid w:val="00FA0901"/>
    <w:rsid w:val="00FA0EE3"/>
    <w:rsid w:val="00FA43A2"/>
    <w:rsid w:val="00FA4471"/>
    <w:rsid w:val="00FB1EB0"/>
    <w:rsid w:val="00FB2ED2"/>
    <w:rsid w:val="00FB3AFE"/>
    <w:rsid w:val="00FB4904"/>
    <w:rsid w:val="00FB4A82"/>
    <w:rsid w:val="00FB6BF4"/>
    <w:rsid w:val="00FB71C3"/>
    <w:rsid w:val="00FB7739"/>
    <w:rsid w:val="00FC00D3"/>
    <w:rsid w:val="00FC3779"/>
    <w:rsid w:val="00FC3FB2"/>
    <w:rsid w:val="00FC508A"/>
    <w:rsid w:val="00FD16B7"/>
    <w:rsid w:val="00FD19FD"/>
    <w:rsid w:val="00FD2006"/>
    <w:rsid w:val="00FE1CC4"/>
    <w:rsid w:val="00FE1D1C"/>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8A0ECAE"/>
  <w15:docId w15:val="{2BF21A51-3585-440C-99A2-9E304E75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D3374C"/>
    <w:pPr>
      <w:spacing w:after="324"/>
      <w:outlineLvl w:val="0"/>
    </w:pPr>
    <w:rPr>
      <w:b/>
      <w:bCs/>
      <w:color w:val="003478"/>
      <w:kern w:val="32"/>
      <w:sz w:val="56"/>
      <w:szCs w:val="32"/>
    </w:rPr>
  </w:style>
  <w:style w:type="paragraph" w:styleId="Heading2">
    <w:name w:val="heading 2"/>
    <w:basedOn w:val="Normal"/>
    <w:next w:val="Normal"/>
    <w:link w:val="Heading2Char1"/>
    <w:uiPriority w:val="99"/>
    <w:qFormat/>
    <w:rsid w:val="0068134A"/>
    <w:pPr>
      <w:spacing w:before="120" w:after="240"/>
      <w:outlineLvl w:val="1"/>
    </w:pPr>
    <w:rPr>
      <w:b/>
      <w:bCs/>
      <w:iCs/>
      <w:color w:val="003478"/>
      <w:sz w:val="32"/>
      <w:szCs w:val="28"/>
    </w:rPr>
  </w:style>
  <w:style w:type="paragraph" w:styleId="Heading3">
    <w:name w:val="heading 3"/>
    <w:basedOn w:val="Normal"/>
    <w:next w:val="Normal"/>
    <w:link w:val="Heading3Char1"/>
    <w:uiPriority w:val="99"/>
    <w:qFormat/>
    <w:rsid w:val="00D3374C"/>
    <w:pPr>
      <w:spacing w:after="120"/>
      <w:outlineLvl w:val="2"/>
    </w:pPr>
    <w:rPr>
      <w:b/>
      <w:bCs/>
      <w:color w:val="009BBB"/>
      <w:sz w:val="26"/>
      <w:szCs w:val="26"/>
    </w:rPr>
  </w:style>
  <w:style w:type="paragraph" w:styleId="Heading4">
    <w:name w:val="heading 4"/>
    <w:basedOn w:val="Normal"/>
    <w:next w:val="Normal"/>
    <w:link w:val="Heading4Char1"/>
    <w:uiPriority w:val="99"/>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0C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05286F"/>
    <w:pPr>
      <w:spacing w:line="240" w:lineRule="atLeast"/>
      <w:ind w:left="142"/>
    </w:pPr>
    <w:rPr>
      <w:b/>
      <w:noProof/>
      <w:color w:val="FFFFFF"/>
      <w:sz w:val="28"/>
      <w:szCs w:val="28"/>
      <w:lang w:val="en"/>
    </w:rPr>
  </w:style>
  <w:style w:type="paragraph" w:customStyle="1" w:styleId="BISCovertext">
    <w:name w:val="BIS Cover text"/>
    <w:basedOn w:val="BISTitle"/>
    <w:autoRedefine/>
    <w:uiPriority w:val="99"/>
    <w:rsid w:val="00D90412"/>
    <w:rPr>
      <w:b w:val="0"/>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39"/>
    <w:pPr>
      <w:spacing w:line="280" w:lineRule="exact"/>
      <w:ind w:left="482"/>
    </w:pPr>
    <w:rPr>
      <w:sz w:val="22"/>
    </w:rPr>
  </w:style>
  <w:style w:type="paragraph" w:styleId="Header">
    <w:name w:val="header"/>
    <w:basedOn w:val="Normal"/>
    <w:link w:val="HeaderChar1"/>
    <w:uiPriority w:val="99"/>
    <w:rsid w:val="00D5710C"/>
    <w:pPr>
      <w:tabs>
        <w:tab w:val="center" w:pos="4513"/>
        <w:tab w:val="right" w:pos="9026"/>
      </w:tabs>
    </w:pPr>
  </w:style>
  <w:style w:type="character" w:customStyle="1" w:styleId="HeaderChar">
    <w:name w:val="Header Char"/>
    <w:basedOn w:val="DefaultParagraphFont"/>
    <w:uiPriority w:val="99"/>
    <w:semiHidden/>
    <w:rsid w:val="004800CB"/>
    <w:rPr>
      <w:rFonts w:ascii="Arial" w:hAnsi="Arial"/>
      <w:sz w:val="24"/>
      <w:szCs w:val="24"/>
      <w:lang w:eastAsia="en-US"/>
    </w:rPr>
  </w:style>
  <w:style w:type="paragraph" w:customStyle="1" w:styleId="BISInsidebullets">
    <w:name w:val="BIS Inside bullets"/>
    <w:basedOn w:val="Normal"/>
    <w:autoRedefine/>
    <w:uiPriority w:val="99"/>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RomanWhite">
    <w:name w:val="Table Title Roman White"/>
    <w:basedOn w:val="TableTitle"/>
    <w:uiPriority w:val="99"/>
    <w:rsid w:val="00C913EC"/>
    <w:rPr>
      <w:b/>
      <w:color w:val="FFFFFF"/>
    </w:rPr>
  </w:style>
  <w:style w:type="paragraph" w:customStyle="1" w:styleId="BISOddHeader">
    <w:name w:val="BIS Odd Header"/>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955D2A"/>
    <w:pPr>
      <w:keepNext/>
      <w:spacing w:before="120" w:after="360"/>
      <w:outlineLvl w:val="0"/>
    </w:pPr>
    <w:rPr>
      <w:b/>
      <w:bCs/>
      <w:noProof/>
      <w:kern w:val="32"/>
      <w:sz w:val="28"/>
      <w:szCs w:val="56"/>
    </w:rPr>
  </w:style>
  <w:style w:type="paragraph" w:customStyle="1" w:styleId="TintBox">
    <w:name w:val="Tint Box"/>
    <w:basedOn w:val="Normal"/>
    <w:next w:val="Normal"/>
    <w:uiPriority w:val="99"/>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BISnumberingBold">
    <w:name w:val="BIS numbering Bold"/>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rsid w:val="000D42C5"/>
    <w:rPr>
      <w:rFonts w:cs="Times New Roman"/>
      <w:b/>
      <w:bCs/>
      <w:color w:val="003478"/>
    </w:rPr>
  </w:style>
  <w:style w:type="character" w:customStyle="1" w:styleId="Page1White">
    <w:name w:val="Page 1 White"/>
    <w:basedOn w:val="DefaultParagraphFont"/>
    <w:uiPriority w:val="99"/>
    <w:rsid w:val="00FC508A"/>
    <w:rPr>
      <w:rFonts w:ascii="Arial" w:hAnsi="Arial" w:cs="Times New Roman"/>
      <w:color w:val="FFFFFF"/>
      <w:sz w:val="24"/>
    </w:rPr>
  </w:style>
  <w:style w:type="paragraph" w:customStyle="1" w:styleId="EvenPageNumber">
    <w:name w:val="Even Page Number"/>
    <w:basedOn w:val="Normal"/>
    <w:uiPriority w:val="99"/>
    <w:rsid w:val="009946FA"/>
    <w:rPr>
      <w:color w:val="003478"/>
    </w:rPr>
  </w:style>
  <w:style w:type="paragraph" w:customStyle="1" w:styleId="BISEvenHeader">
    <w:name w:val="BIS Even Header"/>
    <w:basedOn w:val="BISOddHeader"/>
    <w:uiPriority w:val="99"/>
    <w:rsid w:val="00A95640"/>
    <w:pPr>
      <w:jc w:val="left"/>
    </w:pPr>
  </w:style>
  <w:style w:type="character" w:customStyle="1" w:styleId="StylePantone144Bold">
    <w:name w:val="Style Pantone 144 + Bold"/>
    <w:basedOn w:val="Pantone144"/>
    <w:uiPriority w:val="99"/>
    <w:rsid w:val="001E554A"/>
    <w:rPr>
      <w:rFonts w:cs="Times New Roman"/>
      <w:b/>
      <w:bCs/>
      <w:color w:val="FFCC11"/>
    </w:rPr>
  </w:style>
  <w:style w:type="paragraph" w:customStyle="1" w:styleId="BoxText">
    <w:name w:val="Box Text"/>
    <w:basedOn w:val="Normal"/>
    <w:uiPriority w:val="99"/>
    <w:rsid w:val="00442169"/>
    <w:pPr>
      <w:spacing w:line="288" w:lineRule="exact"/>
      <w:jc w:val="center"/>
    </w:pPr>
    <w:rPr>
      <w:rFonts w:ascii="Arial Bold" w:hAnsi="Arial Bold"/>
      <w:b/>
      <w:color w:val="FFFFFF"/>
    </w:rPr>
  </w:style>
  <w:style w:type="table" w:styleId="TableGrid">
    <w:name w:val="Table Grid"/>
    <w:basedOn w:val="TableNormal"/>
    <w:uiPriority w:val="99"/>
    <w:rsid w:val="00015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FC508A"/>
    <w:pPr>
      <w:spacing w:after="80"/>
      <w:ind w:left="113" w:right="113"/>
    </w:pPr>
    <w:rPr>
      <w:b/>
    </w:rPr>
  </w:style>
  <w:style w:type="paragraph" w:customStyle="1" w:styleId="TableTitle">
    <w:name w:val="Table Title"/>
    <w:basedOn w:val="TableText"/>
    <w:uiPriority w:val="99"/>
    <w:rsid w:val="00533C58"/>
    <w:pPr>
      <w:spacing w:after="0"/>
    </w:pPr>
    <w:rPr>
      <w:b w:val="0"/>
    </w:rPr>
  </w:style>
  <w:style w:type="character" w:customStyle="1" w:styleId="PantoneCyan">
    <w:name w:val="Pantone Cyan"/>
    <w:basedOn w:val="DefaultParagraphFont"/>
    <w:uiPriority w:val="99"/>
    <w:rsid w:val="00533C58"/>
    <w:rPr>
      <w:rFonts w:cs="Times New Roman"/>
      <w:color w:val="009EE3"/>
    </w:rPr>
  </w:style>
  <w:style w:type="character" w:customStyle="1" w:styleId="Pantone144">
    <w:name w:val="Pantone 144"/>
    <w:basedOn w:val="DefaultParagraphFont"/>
    <w:uiPriority w:val="99"/>
    <w:rsid w:val="001E554A"/>
    <w:rPr>
      <w:rFonts w:cs="Times New Roman"/>
      <w:color w:val="FFCC11"/>
    </w:rPr>
  </w:style>
  <w:style w:type="character" w:customStyle="1" w:styleId="Pantone187">
    <w:name w:val="Pantone 187"/>
    <w:basedOn w:val="DefaultParagraphFont"/>
    <w:uiPriority w:val="99"/>
    <w:rsid w:val="001E554A"/>
    <w:rPr>
      <w:rFonts w:cs="Times New Roman"/>
      <w:color w:val="CC0033"/>
    </w:rPr>
  </w:style>
  <w:style w:type="character" w:customStyle="1" w:styleId="Pantone2593">
    <w:name w:val="Pantone 2593"/>
    <w:basedOn w:val="DefaultParagraphFont"/>
    <w:uiPriority w:val="99"/>
    <w:rsid w:val="00533C58"/>
    <w:rPr>
      <w:rFonts w:cs="Times New Roman"/>
      <w:color w:val="742F89"/>
    </w:rPr>
  </w:style>
  <w:style w:type="character" w:customStyle="1" w:styleId="PantoneWhite">
    <w:name w:val="Pantone White"/>
    <w:basedOn w:val="Pantone2593"/>
    <w:uiPriority w:val="99"/>
    <w:rsid w:val="003F35D6"/>
    <w:rPr>
      <w:rFonts w:cs="Times New Roman"/>
      <w:color w:val="FFFFFF"/>
    </w:rPr>
  </w:style>
  <w:style w:type="paragraph" w:styleId="ListBullet">
    <w:name w:val="List Bullet"/>
    <w:basedOn w:val="Normal"/>
    <w:uiPriority w:val="99"/>
    <w:rsid w:val="00F90D09"/>
    <w:pPr>
      <w:numPr>
        <w:numId w:val="3"/>
      </w:numPr>
      <w:spacing w:line="288" w:lineRule="exact"/>
    </w:pPr>
  </w:style>
  <w:style w:type="paragraph" w:customStyle="1" w:styleId="Dateonfirstpage">
    <w:name w:val="Date on first page"/>
    <w:basedOn w:val="Normal"/>
    <w:uiPriority w:val="99"/>
    <w:rsid w:val="00CF24D9"/>
    <w:pPr>
      <w:spacing w:line="360" w:lineRule="exact"/>
      <w:ind w:right="28"/>
      <w:jc w:val="right"/>
    </w:pPr>
    <w:rPr>
      <w:color w:val="FFFFFF"/>
      <w:sz w:val="30"/>
    </w:rPr>
  </w:style>
  <w:style w:type="paragraph" w:customStyle="1" w:styleId="ZeroLead">
    <w:name w:val="Zero Lead"/>
    <w:basedOn w:val="BISCovertext"/>
    <w:uiPriority w:val="99"/>
    <w:rsid w:val="00624791"/>
    <w:pPr>
      <w:spacing w:after="0" w:line="20" w:lineRule="exact"/>
    </w:pPr>
  </w:style>
  <w:style w:type="paragraph" w:customStyle="1" w:styleId="EndpageText">
    <w:name w:val="End page Text"/>
    <w:basedOn w:val="Normal"/>
    <w:uiPriority w:val="99"/>
    <w:rsid w:val="001E554A"/>
    <w:pPr>
      <w:spacing w:after="0" w:line="260" w:lineRule="exact"/>
    </w:pPr>
    <w:rPr>
      <w:sz w:val="20"/>
    </w:rPr>
  </w:style>
  <w:style w:type="paragraph" w:customStyle="1" w:styleId="Tabletitle-ConsulatationQuestionWhite">
    <w:name w:val="Table title - Consulatation Question White"/>
    <w:basedOn w:val="TableTitle"/>
    <w:uiPriority w:val="99"/>
    <w:rsid w:val="008571A1"/>
    <w:rPr>
      <w:rFonts w:ascii="Arial Bold" w:hAnsi="Arial Bold"/>
      <w:b/>
      <w:color w:val="FFFFFF"/>
    </w:rPr>
  </w:style>
  <w:style w:type="paragraph" w:styleId="DocumentMap">
    <w:name w:val="Document Map"/>
    <w:basedOn w:val="Normal"/>
    <w:link w:val="DocumentMapChar"/>
    <w:uiPriority w:val="99"/>
    <w:semiHidden/>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rsid w:val="00ED47D3"/>
    <w:pPr>
      <w:spacing w:after="0" w:line="240" w:lineRule="atLeast"/>
    </w:pPr>
    <w:rPr>
      <w:b/>
      <w:caps/>
    </w:rPr>
  </w:style>
  <w:style w:type="paragraph" w:customStyle="1" w:styleId="Secondarytitle">
    <w:name w:val="Secondary 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68134A"/>
    <w:rPr>
      <w:rFonts w:ascii="Arial" w:hAnsi="Arial" w:cs="Times New Roman"/>
      <w:b/>
      <w:bCs/>
      <w:iCs/>
      <w:color w:val="003478"/>
      <w:sz w:val="28"/>
      <w:szCs w:val="28"/>
      <w:lang w:val="en-GB" w:eastAsia="en-US" w:bidi="ar-SA"/>
    </w:rPr>
  </w:style>
  <w:style w:type="character" w:customStyle="1" w:styleId="Heading3Char1">
    <w:name w:val="Heading 3 Char1"/>
    <w:basedOn w:val="DefaultParagraphFont"/>
    <w:link w:val="Heading3"/>
    <w:uiPriority w:val="99"/>
    <w:locked/>
    <w:rsid w:val="00D3374C"/>
    <w:rPr>
      <w:rFonts w:ascii="Arial" w:hAnsi="Arial" w:cs="Times New Roman"/>
      <w:b/>
      <w:bCs/>
      <w:color w:val="009BBB"/>
      <w:sz w:val="26"/>
      <w:szCs w:val="26"/>
      <w:lang w:val="en-GB" w:eastAsia="en-US" w:bidi="ar-SA"/>
    </w:rPr>
  </w:style>
  <w:style w:type="character" w:customStyle="1" w:styleId="Heading4Char1">
    <w:name w:val="Heading 4 Char1"/>
    <w:basedOn w:val="DefaultParagraphFont"/>
    <w:link w:val="Heading4"/>
    <w:uiPriority w:val="99"/>
    <w:locked/>
    <w:rsid w:val="0068134A"/>
    <w:rPr>
      <w:rFonts w:ascii="Arial" w:hAnsi="Arial" w:cs="Times New Roman"/>
      <w:b/>
      <w:sz w:val="24"/>
      <w:szCs w:val="24"/>
      <w:lang w:val="en-GB" w:eastAsia="en-US" w:bidi="ar-SA"/>
    </w:rPr>
  </w:style>
  <w:style w:type="paragraph" w:customStyle="1" w:styleId="Tabletextnon-bold">
    <w:name w:val="Table text non-bold"/>
    <w:basedOn w:val="TableText"/>
    <w:uiPriority w:val="99"/>
    <w:rsid w:val="00484B18"/>
    <w:rPr>
      <w:b w:val="0"/>
    </w:rPr>
  </w:style>
  <w:style w:type="paragraph" w:styleId="Caption">
    <w:name w:val="caption"/>
    <w:basedOn w:val="Normal"/>
    <w:next w:val="Normal"/>
    <w:uiPriority w:val="99"/>
    <w:qFormat/>
    <w:rsid w:val="00FC508A"/>
    <w:rPr>
      <w:b/>
    </w:rPr>
  </w:style>
  <w:style w:type="paragraph" w:customStyle="1" w:styleId="Supplementarytitle">
    <w:name w:val="Supplementary title"/>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rsid w:val="001E554A"/>
    <w:rPr>
      <w:rFonts w:cs="Times New Roman"/>
      <w:b/>
      <w:bCs/>
      <w:color w:val="CC0033"/>
    </w:rPr>
  </w:style>
  <w:style w:type="paragraph" w:styleId="BalloonText">
    <w:name w:val="Balloon Text"/>
    <w:basedOn w:val="Normal"/>
    <w:link w:val="BalloonTextChar"/>
    <w:uiPriority w:val="99"/>
    <w:semiHidden/>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6645DC"/>
    <w:rPr>
      <w:rFonts w:cs="Times New Roman"/>
    </w:rPr>
  </w:style>
  <w:style w:type="numbering" w:customStyle="1" w:styleId="StyleOutlinenumberedLeft089cmHanging063cm">
    <w:name w:val="Style Outline numbered Left:  0.89 cm Hanging:  0.63 cm"/>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paragraph" w:styleId="ListParagraph">
    <w:name w:val="List Paragraph"/>
    <w:basedOn w:val="Normal"/>
    <w:uiPriority w:val="34"/>
    <w:qFormat/>
    <w:rsid w:val="006813F2"/>
    <w:pPr>
      <w:ind w:left="720"/>
      <w:contextualSpacing/>
    </w:pPr>
  </w:style>
  <w:style w:type="paragraph" w:customStyle="1" w:styleId="Default">
    <w:name w:val="Default"/>
    <w:rsid w:val="006813F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AD3"/>
    <w:rPr>
      <w:sz w:val="16"/>
      <w:szCs w:val="16"/>
    </w:rPr>
  </w:style>
  <w:style w:type="paragraph" w:styleId="CommentText">
    <w:name w:val="annotation text"/>
    <w:basedOn w:val="Normal"/>
    <w:link w:val="CommentTextChar"/>
    <w:uiPriority w:val="99"/>
    <w:semiHidden/>
    <w:unhideWhenUsed/>
    <w:rsid w:val="000A4AD3"/>
    <w:rPr>
      <w:sz w:val="20"/>
      <w:szCs w:val="20"/>
    </w:rPr>
  </w:style>
  <w:style w:type="character" w:customStyle="1" w:styleId="CommentTextChar">
    <w:name w:val="Comment Text Char"/>
    <w:basedOn w:val="DefaultParagraphFont"/>
    <w:link w:val="CommentText"/>
    <w:uiPriority w:val="99"/>
    <w:semiHidden/>
    <w:rsid w:val="000A4AD3"/>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0A4AD3"/>
    <w:rPr>
      <w:b/>
      <w:bCs/>
    </w:rPr>
  </w:style>
  <w:style w:type="character" w:customStyle="1" w:styleId="CommentSubjectChar">
    <w:name w:val="Comment Subject Char"/>
    <w:basedOn w:val="CommentTextChar"/>
    <w:link w:val="CommentSubject"/>
    <w:uiPriority w:val="99"/>
    <w:semiHidden/>
    <w:rsid w:val="000A4AD3"/>
    <w:rPr>
      <w:rFonts w:ascii="Arial" w:hAnsi="Arial"/>
      <w:b/>
      <w:bCs/>
      <w:sz w:val="20"/>
      <w:szCs w:val="20"/>
      <w:lang w:eastAsia="en-US"/>
    </w:rPr>
  </w:style>
  <w:style w:type="paragraph" w:styleId="FootnoteText">
    <w:name w:val="footnote text"/>
    <w:basedOn w:val="Normal"/>
    <w:link w:val="FootnoteTextChar"/>
    <w:uiPriority w:val="99"/>
    <w:semiHidden/>
    <w:unhideWhenUsed/>
    <w:rsid w:val="006B425D"/>
    <w:pPr>
      <w:spacing w:after="0"/>
    </w:pPr>
    <w:rPr>
      <w:sz w:val="20"/>
      <w:szCs w:val="20"/>
    </w:rPr>
  </w:style>
  <w:style w:type="character" w:customStyle="1" w:styleId="FootnoteTextChar">
    <w:name w:val="Footnote Text Char"/>
    <w:basedOn w:val="DefaultParagraphFont"/>
    <w:link w:val="FootnoteText"/>
    <w:uiPriority w:val="99"/>
    <w:semiHidden/>
    <w:rsid w:val="006B425D"/>
    <w:rPr>
      <w:rFonts w:ascii="Arial" w:hAnsi="Arial"/>
      <w:sz w:val="20"/>
      <w:szCs w:val="20"/>
      <w:lang w:eastAsia="en-US"/>
    </w:rPr>
  </w:style>
  <w:style w:type="character" w:styleId="FootnoteReference">
    <w:name w:val="footnote reference"/>
    <w:basedOn w:val="DefaultParagraphFont"/>
    <w:uiPriority w:val="99"/>
    <w:semiHidden/>
    <w:unhideWhenUsed/>
    <w:rsid w:val="006B425D"/>
    <w:rPr>
      <w:vertAlign w:val="superscript"/>
    </w:rPr>
  </w:style>
  <w:style w:type="character" w:styleId="Emphasis">
    <w:name w:val="Emphasis"/>
    <w:basedOn w:val="DefaultParagraphFont"/>
    <w:uiPriority w:val="20"/>
    <w:qFormat/>
    <w:rsid w:val="001D32FA"/>
    <w:rPr>
      <w:b/>
      <w:bCs/>
      <w:i w:val="0"/>
      <w:iCs w:val="0"/>
    </w:rPr>
  </w:style>
  <w:style w:type="character" w:customStyle="1" w:styleId="st1">
    <w:name w:val="st1"/>
    <w:basedOn w:val="DefaultParagraphFont"/>
    <w:rsid w:val="001D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03685">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nquiries@bis.gsi.gov.uk" TargetMode="External"/><Relationship Id="rId2" Type="http://schemas.openxmlformats.org/officeDocument/2006/relationships/numbering" Target="numbering.xml"/><Relationship Id="rId16" Type="http://schemas.openxmlformats.org/officeDocument/2006/relationships/hyperlink" Target="https://www.gov.uk/government/organisations/department-for-business-innovation-skil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si@nationalarchives.gsi.gov.u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tionalarchives.gov.uk/doc/open-government-licence/version/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bfa.org.uk/members/statistic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79B0-0844-4983-BDF1-5BEB375B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template.dot</Template>
  <TotalTime>0</TotalTime>
  <Pages>13</Pages>
  <Words>3909</Words>
  <Characters>22284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26141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Department for Business, Innovation and Skills</dc:creator>
  <cp:lastModifiedBy>CATHERALL, Claire</cp:lastModifiedBy>
  <cp:revision>2</cp:revision>
  <cp:lastPrinted>2015-02-23T09:01:00Z</cp:lastPrinted>
  <dcterms:created xsi:type="dcterms:W3CDTF">2015-03-03T09:27:00Z</dcterms:created>
  <dcterms:modified xsi:type="dcterms:W3CDTF">2015-03-03T09:27:00Z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