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D0" w:rsidRPr="008D78D9" w:rsidRDefault="00C56DD0" w:rsidP="005A5354">
      <w:pPr>
        <w:ind w:left="-142"/>
      </w:pPr>
      <w:bookmarkStart w:id="0" w:name="_GoBack"/>
      <w:bookmarkEnd w:id="0"/>
    </w:p>
    <w:p w:rsidR="00C56DD0" w:rsidRPr="008D78D9" w:rsidRDefault="00C56DD0" w:rsidP="005A5354">
      <w:pPr>
        <w:ind w:left="-142"/>
      </w:pPr>
    </w:p>
    <w:p w:rsidR="00C56DD0" w:rsidRPr="008D78D9" w:rsidRDefault="00C56DD0" w:rsidP="005A5354">
      <w:pPr>
        <w:ind w:left="-142"/>
      </w:pPr>
    </w:p>
    <w:p w:rsidR="00C56DD0" w:rsidRPr="008D78D9" w:rsidRDefault="00C56DD0" w:rsidP="005A5354">
      <w:pPr>
        <w:ind w:left="-142"/>
      </w:pPr>
    </w:p>
    <w:tbl>
      <w:tblPr>
        <w:tblW w:w="4536" w:type="dxa"/>
        <w:tblInd w:w="5273" w:type="dxa"/>
        <w:tblBorders>
          <w:insideH w:val="single" w:sz="8" w:space="0" w:color="FFFFFF"/>
          <w:insideV w:val="single" w:sz="12" w:space="0" w:color="FFFFFF"/>
        </w:tblBorders>
        <w:tblCellMar>
          <w:left w:w="170" w:type="dxa"/>
          <w:right w:w="0" w:type="dxa"/>
        </w:tblCellMar>
        <w:tblLook w:val="01E0" w:firstRow="1" w:lastRow="1" w:firstColumn="1" w:lastColumn="1" w:noHBand="0" w:noVBand="0"/>
      </w:tblPr>
      <w:tblGrid>
        <w:gridCol w:w="4536"/>
      </w:tblGrid>
      <w:tr w:rsidR="00C56DD0" w:rsidRPr="008D78D9" w:rsidTr="00E949FD">
        <w:trPr>
          <w:trHeight w:hRule="exact" w:val="1134"/>
          <w:tblHeader/>
        </w:trPr>
        <w:tc>
          <w:tcPr>
            <w:tcW w:w="4536" w:type="dxa"/>
            <w:tcBorders>
              <w:top w:val="nil"/>
            </w:tcBorders>
            <w:shd w:val="clear" w:color="auto" w:fill="21488A"/>
            <w:vAlign w:val="center"/>
          </w:tcPr>
          <w:p w:rsidR="00C56DD0" w:rsidRPr="008D78D9" w:rsidRDefault="00E11257" w:rsidP="00E11257">
            <w:pPr>
              <w:pStyle w:val="BISTitle"/>
              <w:spacing w:after="0"/>
              <w:rPr>
                <w:lang w:val="en-GB"/>
              </w:rPr>
            </w:pPr>
            <w:bookmarkStart w:id="1" w:name="_Toc412532981"/>
            <w:r w:rsidRPr="00E11257">
              <w:rPr>
                <w:lang w:val="en-GB"/>
              </w:rPr>
              <w:t>Duty to Report on Payment Practices and Policies</w:t>
            </w:r>
            <w:bookmarkEnd w:id="1"/>
          </w:p>
        </w:tc>
      </w:tr>
      <w:tr w:rsidR="00C56DD0" w:rsidRPr="008D78D9" w:rsidTr="00A148A4">
        <w:trPr>
          <w:trHeight w:val="1191"/>
        </w:trPr>
        <w:tc>
          <w:tcPr>
            <w:tcW w:w="4536" w:type="dxa"/>
            <w:shd w:val="clear" w:color="auto" w:fill="000000"/>
            <w:tcMar>
              <w:left w:w="284" w:type="dxa"/>
              <w:right w:w="170" w:type="dxa"/>
            </w:tcMar>
            <w:vAlign w:val="center"/>
          </w:tcPr>
          <w:p w:rsidR="00C56DD0" w:rsidRPr="008D78D9" w:rsidRDefault="0005286F" w:rsidP="00523821">
            <w:pPr>
              <w:pStyle w:val="Secondarytitle"/>
              <w:rPr>
                <w:rFonts w:cs="Arial"/>
                <w:szCs w:val="28"/>
              </w:rPr>
            </w:pPr>
            <w:r w:rsidRPr="008D78D9">
              <w:rPr>
                <w:rFonts w:cs="Arial"/>
                <w:szCs w:val="28"/>
              </w:rPr>
              <w:t>Summary of responses</w:t>
            </w:r>
          </w:p>
        </w:tc>
      </w:tr>
      <w:tr w:rsidR="00C56DD0" w:rsidRPr="008D78D9" w:rsidTr="00A148A4">
        <w:trPr>
          <w:trHeight w:val="567"/>
        </w:trPr>
        <w:tc>
          <w:tcPr>
            <w:tcW w:w="4536" w:type="dxa"/>
            <w:shd w:val="clear" w:color="auto" w:fill="000000"/>
            <w:tcMar>
              <w:left w:w="284" w:type="dxa"/>
              <w:right w:w="170" w:type="dxa"/>
            </w:tcMar>
            <w:vAlign w:val="center"/>
          </w:tcPr>
          <w:p w:rsidR="00C56DD0" w:rsidRPr="008D78D9" w:rsidRDefault="0005286F" w:rsidP="0005286F">
            <w:pPr>
              <w:pStyle w:val="Supplementarytitle"/>
              <w:rPr>
                <w:rFonts w:cs="Arial"/>
              </w:rPr>
            </w:pPr>
            <w:r w:rsidRPr="008D78D9">
              <w:rPr>
                <w:rFonts w:cs="Arial"/>
              </w:rPr>
              <w:t>March</w:t>
            </w:r>
            <w:r w:rsidR="00C56DD0" w:rsidRPr="008D78D9">
              <w:rPr>
                <w:rFonts w:cs="Arial"/>
              </w:rPr>
              <w:t xml:space="preserve"> 201</w:t>
            </w:r>
            <w:r w:rsidR="0022504C" w:rsidRPr="008D78D9">
              <w:rPr>
                <w:rFonts w:cs="Arial"/>
              </w:rPr>
              <w:t>5</w:t>
            </w:r>
          </w:p>
        </w:tc>
      </w:tr>
    </w:tbl>
    <w:p w:rsidR="00C56DD0" w:rsidRPr="008D78D9" w:rsidRDefault="00C56DD0" w:rsidP="00ED47D3"/>
    <w:p w:rsidR="00C56DD0" w:rsidRPr="008D78D9" w:rsidRDefault="00C56DD0" w:rsidP="0005286F">
      <w:pPr>
        <w:pStyle w:val="BISCovertext"/>
        <w:rPr>
          <w:lang w:val="en-GB"/>
        </w:rPr>
        <w:sectPr w:rsidR="00C56DD0" w:rsidRPr="008D78D9" w:rsidSect="001705EB">
          <w:headerReference w:type="default" r:id="rId8"/>
          <w:footerReference w:type="even" r:id="rId9"/>
          <w:footerReference w:type="default" r:id="rId10"/>
          <w:headerReference w:type="first" r:id="rId11"/>
          <w:pgSz w:w="11906" w:h="16838" w:code="9"/>
          <w:pgMar w:top="1134" w:right="6804" w:bottom="1134" w:left="1134" w:header="720" w:footer="0" w:gutter="0"/>
          <w:cols w:space="720"/>
          <w:titlePg/>
        </w:sectPr>
      </w:pPr>
    </w:p>
    <w:p w:rsidR="00C56DD0" w:rsidRPr="008D78D9" w:rsidRDefault="00C56DD0" w:rsidP="009259CF">
      <w:bookmarkStart w:id="2" w:name="_Toc277773892"/>
    </w:p>
    <w:p w:rsidR="00C56DD0" w:rsidRPr="008D78D9" w:rsidRDefault="00C56DD0" w:rsidP="009259CF"/>
    <w:p w:rsidR="0005286F" w:rsidRPr="008D78D9" w:rsidRDefault="00C56DD0" w:rsidP="0005286F">
      <w:bookmarkStart w:id="3" w:name="OLE_LINK1"/>
      <w:r w:rsidRPr="008D78D9">
        <w:br w:type="page"/>
      </w:r>
      <w:bookmarkEnd w:id="3"/>
    </w:p>
    <w:p w:rsidR="00C56DD0" w:rsidRPr="008D78D9" w:rsidRDefault="00C56DD0" w:rsidP="009259CF">
      <w:pPr>
        <w:pStyle w:val="Heading1"/>
      </w:pPr>
      <w:bookmarkStart w:id="4" w:name="_Toc411935769"/>
      <w:bookmarkStart w:id="5" w:name="_Toc412532982"/>
      <w:r w:rsidRPr="008D78D9">
        <w:lastRenderedPageBreak/>
        <w:t>Contents</w:t>
      </w:r>
      <w:bookmarkEnd w:id="4"/>
      <w:bookmarkEnd w:id="5"/>
    </w:p>
    <w:p w:rsidR="00834099" w:rsidRDefault="00C56DD0" w:rsidP="00834099">
      <w:pPr>
        <w:pStyle w:val="TOC1"/>
        <w:tabs>
          <w:tab w:val="right" w:leader="dot" w:pos="9628"/>
        </w:tabs>
        <w:rPr>
          <w:rFonts w:asciiTheme="minorHAnsi" w:eastAsiaTheme="minorEastAsia" w:hAnsiTheme="minorHAnsi" w:cstheme="minorBidi"/>
          <w:b w:val="0"/>
          <w:noProof/>
          <w:szCs w:val="22"/>
          <w:lang w:eastAsia="en-GB"/>
        </w:rPr>
      </w:pPr>
      <w:r w:rsidRPr="008D78D9">
        <w:fldChar w:fldCharType="begin"/>
      </w:r>
      <w:r w:rsidRPr="008D78D9">
        <w:instrText xml:space="preserve"> TOC \o "2-3" \h \z \t "Heading 1,1,BIS Title,1,BIS Cover text,1,BIS Inside bullets,1,Zero Lead,1" </w:instrText>
      </w:r>
      <w:r w:rsidRPr="008D78D9">
        <w:fldChar w:fldCharType="separate"/>
      </w:r>
    </w:p>
    <w:p w:rsidR="00834099" w:rsidRDefault="00DD6DA0">
      <w:pPr>
        <w:pStyle w:val="TOC2"/>
        <w:tabs>
          <w:tab w:val="right" w:leader="dot" w:pos="9628"/>
        </w:tabs>
        <w:rPr>
          <w:rFonts w:asciiTheme="minorHAnsi" w:eastAsiaTheme="minorEastAsia" w:hAnsiTheme="minorHAnsi" w:cstheme="minorBidi"/>
          <w:noProof/>
          <w:szCs w:val="22"/>
          <w:lang w:eastAsia="en-GB"/>
        </w:rPr>
      </w:pPr>
      <w:hyperlink w:anchor="_Toc412532984" w:history="1">
        <w:r w:rsidR="00834099" w:rsidRPr="000E2F42">
          <w:rPr>
            <w:rStyle w:val="Hyperlink"/>
            <w:noProof/>
          </w:rPr>
          <w:t>Introduction</w:t>
        </w:r>
        <w:r w:rsidR="00834099">
          <w:rPr>
            <w:noProof/>
            <w:webHidden/>
          </w:rPr>
          <w:tab/>
        </w:r>
        <w:r w:rsidR="00834099">
          <w:rPr>
            <w:noProof/>
            <w:webHidden/>
          </w:rPr>
          <w:fldChar w:fldCharType="begin"/>
        </w:r>
        <w:r w:rsidR="00834099">
          <w:rPr>
            <w:noProof/>
            <w:webHidden/>
          </w:rPr>
          <w:instrText xml:space="preserve"> PAGEREF _Toc412532984 \h </w:instrText>
        </w:r>
        <w:r w:rsidR="00834099">
          <w:rPr>
            <w:noProof/>
            <w:webHidden/>
          </w:rPr>
        </w:r>
        <w:r w:rsidR="00834099">
          <w:rPr>
            <w:noProof/>
            <w:webHidden/>
          </w:rPr>
          <w:fldChar w:fldCharType="separate"/>
        </w:r>
        <w:r w:rsidR="0076645F">
          <w:rPr>
            <w:noProof/>
            <w:webHidden/>
          </w:rPr>
          <w:t>3</w:t>
        </w:r>
        <w:r w:rsidR="00834099">
          <w:rPr>
            <w:noProof/>
            <w:webHidden/>
          </w:rPr>
          <w:fldChar w:fldCharType="end"/>
        </w:r>
      </w:hyperlink>
    </w:p>
    <w:p w:rsidR="00834099" w:rsidRDefault="00DD6DA0">
      <w:pPr>
        <w:pStyle w:val="TOC2"/>
        <w:tabs>
          <w:tab w:val="right" w:leader="dot" w:pos="9628"/>
        </w:tabs>
        <w:rPr>
          <w:rFonts w:asciiTheme="minorHAnsi" w:eastAsiaTheme="minorEastAsia" w:hAnsiTheme="minorHAnsi" w:cstheme="minorBidi"/>
          <w:noProof/>
          <w:szCs w:val="22"/>
          <w:lang w:eastAsia="en-GB"/>
        </w:rPr>
      </w:pPr>
      <w:hyperlink w:anchor="_Toc412532985" w:history="1">
        <w:r w:rsidR="00834099" w:rsidRPr="000E2F42">
          <w:rPr>
            <w:rStyle w:val="Hyperlink"/>
            <w:noProof/>
          </w:rPr>
          <w:t>Responses received</w:t>
        </w:r>
        <w:r w:rsidR="00834099">
          <w:rPr>
            <w:noProof/>
            <w:webHidden/>
          </w:rPr>
          <w:tab/>
        </w:r>
        <w:r w:rsidR="00834099">
          <w:rPr>
            <w:noProof/>
            <w:webHidden/>
          </w:rPr>
          <w:fldChar w:fldCharType="begin"/>
        </w:r>
        <w:r w:rsidR="00834099">
          <w:rPr>
            <w:noProof/>
            <w:webHidden/>
          </w:rPr>
          <w:instrText xml:space="preserve"> PAGEREF _Toc412532985 \h </w:instrText>
        </w:r>
        <w:r w:rsidR="00834099">
          <w:rPr>
            <w:noProof/>
            <w:webHidden/>
          </w:rPr>
        </w:r>
        <w:r w:rsidR="00834099">
          <w:rPr>
            <w:noProof/>
            <w:webHidden/>
          </w:rPr>
          <w:fldChar w:fldCharType="separate"/>
        </w:r>
        <w:r w:rsidR="0076645F">
          <w:rPr>
            <w:noProof/>
            <w:webHidden/>
          </w:rPr>
          <w:t>3</w:t>
        </w:r>
        <w:r w:rsidR="00834099">
          <w:rPr>
            <w:noProof/>
            <w:webHidden/>
          </w:rPr>
          <w:fldChar w:fldCharType="end"/>
        </w:r>
      </w:hyperlink>
    </w:p>
    <w:p w:rsidR="00834099" w:rsidRDefault="00DD6DA0">
      <w:pPr>
        <w:pStyle w:val="TOC2"/>
        <w:tabs>
          <w:tab w:val="right" w:leader="dot" w:pos="9628"/>
        </w:tabs>
        <w:rPr>
          <w:rFonts w:asciiTheme="minorHAnsi" w:eastAsiaTheme="minorEastAsia" w:hAnsiTheme="minorHAnsi" w:cstheme="minorBidi"/>
          <w:noProof/>
          <w:szCs w:val="22"/>
          <w:lang w:eastAsia="en-GB"/>
        </w:rPr>
      </w:pPr>
      <w:hyperlink w:anchor="_Toc412532986" w:history="1">
        <w:r w:rsidR="00834099" w:rsidRPr="000E2F42">
          <w:rPr>
            <w:rStyle w:val="Hyperlink"/>
            <w:noProof/>
          </w:rPr>
          <w:t>Summary of responses</w:t>
        </w:r>
        <w:r w:rsidR="00834099">
          <w:rPr>
            <w:noProof/>
            <w:webHidden/>
          </w:rPr>
          <w:tab/>
        </w:r>
        <w:r w:rsidR="00834099">
          <w:rPr>
            <w:noProof/>
            <w:webHidden/>
          </w:rPr>
          <w:fldChar w:fldCharType="begin"/>
        </w:r>
        <w:r w:rsidR="00834099">
          <w:rPr>
            <w:noProof/>
            <w:webHidden/>
          </w:rPr>
          <w:instrText xml:space="preserve"> PAGEREF _Toc412532986 \h </w:instrText>
        </w:r>
        <w:r w:rsidR="00834099">
          <w:rPr>
            <w:noProof/>
            <w:webHidden/>
          </w:rPr>
        </w:r>
        <w:r w:rsidR="00834099">
          <w:rPr>
            <w:noProof/>
            <w:webHidden/>
          </w:rPr>
          <w:fldChar w:fldCharType="separate"/>
        </w:r>
        <w:r w:rsidR="0076645F">
          <w:rPr>
            <w:noProof/>
            <w:webHidden/>
          </w:rPr>
          <w:t>4</w:t>
        </w:r>
        <w:r w:rsidR="00834099">
          <w:rPr>
            <w:noProof/>
            <w:webHidden/>
          </w:rPr>
          <w:fldChar w:fldCharType="end"/>
        </w:r>
      </w:hyperlink>
    </w:p>
    <w:p w:rsidR="00834099" w:rsidRDefault="00DD6DA0">
      <w:pPr>
        <w:pStyle w:val="TOC3"/>
        <w:tabs>
          <w:tab w:val="right" w:leader="dot" w:pos="9628"/>
        </w:tabs>
        <w:rPr>
          <w:rFonts w:asciiTheme="minorHAnsi" w:eastAsiaTheme="minorEastAsia" w:hAnsiTheme="minorHAnsi" w:cstheme="minorBidi"/>
          <w:noProof/>
          <w:szCs w:val="22"/>
          <w:lang w:eastAsia="en-GB"/>
        </w:rPr>
      </w:pPr>
      <w:hyperlink w:anchor="_Toc412532987" w:history="1">
        <w:r w:rsidR="00834099" w:rsidRPr="000E2F42">
          <w:rPr>
            <w:rStyle w:val="Hyperlink"/>
            <w:noProof/>
          </w:rPr>
          <w:t>Scope</w:t>
        </w:r>
        <w:r w:rsidR="00834099">
          <w:rPr>
            <w:noProof/>
            <w:webHidden/>
          </w:rPr>
          <w:tab/>
        </w:r>
        <w:r w:rsidR="00834099">
          <w:rPr>
            <w:noProof/>
            <w:webHidden/>
          </w:rPr>
          <w:fldChar w:fldCharType="begin"/>
        </w:r>
        <w:r w:rsidR="00834099">
          <w:rPr>
            <w:noProof/>
            <w:webHidden/>
          </w:rPr>
          <w:instrText xml:space="preserve"> PAGEREF _Toc412532987 \h </w:instrText>
        </w:r>
        <w:r w:rsidR="00834099">
          <w:rPr>
            <w:noProof/>
            <w:webHidden/>
          </w:rPr>
        </w:r>
        <w:r w:rsidR="00834099">
          <w:rPr>
            <w:noProof/>
            <w:webHidden/>
          </w:rPr>
          <w:fldChar w:fldCharType="separate"/>
        </w:r>
        <w:r w:rsidR="0076645F">
          <w:rPr>
            <w:noProof/>
            <w:webHidden/>
          </w:rPr>
          <w:t>4</w:t>
        </w:r>
        <w:r w:rsidR="00834099">
          <w:rPr>
            <w:noProof/>
            <w:webHidden/>
          </w:rPr>
          <w:fldChar w:fldCharType="end"/>
        </w:r>
      </w:hyperlink>
    </w:p>
    <w:p w:rsidR="00834099" w:rsidRDefault="00DD6DA0">
      <w:pPr>
        <w:pStyle w:val="TOC3"/>
        <w:tabs>
          <w:tab w:val="right" w:leader="dot" w:pos="9628"/>
        </w:tabs>
        <w:rPr>
          <w:rFonts w:asciiTheme="minorHAnsi" w:eastAsiaTheme="minorEastAsia" w:hAnsiTheme="minorHAnsi" w:cstheme="minorBidi"/>
          <w:noProof/>
          <w:szCs w:val="22"/>
          <w:lang w:eastAsia="en-GB"/>
        </w:rPr>
      </w:pPr>
      <w:hyperlink w:anchor="_Toc412532988" w:history="1">
        <w:r w:rsidR="00834099" w:rsidRPr="000E2F42">
          <w:rPr>
            <w:rStyle w:val="Hyperlink"/>
            <w:noProof/>
          </w:rPr>
          <w:t>Content</w:t>
        </w:r>
        <w:r w:rsidR="00834099">
          <w:rPr>
            <w:noProof/>
            <w:webHidden/>
          </w:rPr>
          <w:tab/>
        </w:r>
        <w:r w:rsidR="00834099">
          <w:rPr>
            <w:noProof/>
            <w:webHidden/>
          </w:rPr>
          <w:fldChar w:fldCharType="begin"/>
        </w:r>
        <w:r w:rsidR="00834099">
          <w:rPr>
            <w:noProof/>
            <w:webHidden/>
          </w:rPr>
          <w:instrText xml:space="preserve"> PAGEREF _Toc412532988 \h </w:instrText>
        </w:r>
        <w:r w:rsidR="00834099">
          <w:rPr>
            <w:noProof/>
            <w:webHidden/>
          </w:rPr>
        </w:r>
        <w:r w:rsidR="00834099">
          <w:rPr>
            <w:noProof/>
            <w:webHidden/>
          </w:rPr>
          <w:fldChar w:fldCharType="separate"/>
        </w:r>
        <w:r w:rsidR="0076645F">
          <w:rPr>
            <w:noProof/>
            <w:webHidden/>
          </w:rPr>
          <w:t>4</w:t>
        </w:r>
        <w:r w:rsidR="00834099">
          <w:rPr>
            <w:noProof/>
            <w:webHidden/>
          </w:rPr>
          <w:fldChar w:fldCharType="end"/>
        </w:r>
      </w:hyperlink>
    </w:p>
    <w:p w:rsidR="00834099" w:rsidRDefault="00DD6DA0">
      <w:pPr>
        <w:pStyle w:val="TOC3"/>
        <w:tabs>
          <w:tab w:val="right" w:leader="dot" w:pos="9628"/>
        </w:tabs>
        <w:rPr>
          <w:rFonts w:asciiTheme="minorHAnsi" w:eastAsiaTheme="minorEastAsia" w:hAnsiTheme="minorHAnsi" w:cstheme="minorBidi"/>
          <w:noProof/>
          <w:szCs w:val="22"/>
          <w:lang w:eastAsia="en-GB"/>
        </w:rPr>
      </w:pPr>
      <w:hyperlink w:anchor="_Toc412532989" w:history="1">
        <w:r w:rsidR="00834099" w:rsidRPr="000E2F42">
          <w:rPr>
            <w:rStyle w:val="Hyperlink"/>
            <w:noProof/>
          </w:rPr>
          <w:t>Disputes</w:t>
        </w:r>
        <w:r w:rsidR="00834099">
          <w:rPr>
            <w:noProof/>
            <w:webHidden/>
          </w:rPr>
          <w:tab/>
        </w:r>
        <w:r w:rsidR="00834099">
          <w:rPr>
            <w:noProof/>
            <w:webHidden/>
          </w:rPr>
          <w:fldChar w:fldCharType="begin"/>
        </w:r>
        <w:r w:rsidR="00834099">
          <w:rPr>
            <w:noProof/>
            <w:webHidden/>
          </w:rPr>
          <w:instrText xml:space="preserve"> PAGEREF _Toc412532989 \h </w:instrText>
        </w:r>
        <w:r w:rsidR="00834099">
          <w:rPr>
            <w:noProof/>
            <w:webHidden/>
          </w:rPr>
        </w:r>
        <w:r w:rsidR="00834099">
          <w:rPr>
            <w:noProof/>
            <w:webHidden/>
          </w:rPr>
          <w:fldChar w:fldCharType="separate"/>
        </w:r>
        <w:r w:rsidR="0076645F">
          <w:rPr>
            <w:noProof/>
            <w:webHidden/>
          </w:rPr>
          <w:t>7</w:t>
        </w:r>
        <w:r w:rsidR="00834099">
          <w:rPr>
            <w:noProof/>
            <w:webHidden/>
          </w:rPr>
          <w:fldChar w:fldCharType="end"/>
        </w:r>
      </w:hyperlink>
    </w:p>
    <w:p w:rsidR="00834099" w:rsidRDefault="00DD6DA0">
      <w:pPr>
        <w:pStyle w:val="TOC3"/>
        <w:tabs>
          <w:tab w:val="right" w:leader="dot" w:pos="9628"/>
        </w:tabs>
        <w:rPr>
          <w:rFonts w:asciiTheme="minorHAnsi" w:eastAsiaTheme="minorEastAsia" w:hAnsiTheme="minorHAnsi" w:cstheme="minorBidi"/>
          <w:noProof/>
          <w:szCs w:val="22"/>
          <w:lang w:eastAsia="en-GB"/>
        </w:rPr>
      </w:pPr>
      <w:hyperlink w:anchor="_Toc412532990" w:history="1">
        <w:r w:rsidR="00834099" w:rsidRPr="000E2F42">
          <w:rPr>
            <w:rStyle w:val="Hyperlink"/>
            <w:noProof/>
          </w:rPr>
          <w:t>Frequency</w:t>
        </w:r>
        <w:r w:rsidR="00834099">
          <w:rPr>
            <w:noProof/>
            <w:webHidden/>
          </w:rPr>
          <w:tab/>
        </w:r>
        <w:r w:rsidR="00834099">
          <w:rPr>
            <w:noProof/>
            <w:webHidden/>
          </w:rPr>
          <w:fldChar w:fldCharType="begin"/>
        </w:r>
        <w:r w:rsidR="00834099">
          <w:rPr>
            <w:noProof/>
            <w:webHidden/>
          </w:rPr>
          <w:instrText xml:space="preserve"> PAGEREF _Toc412532990 \h </w:instrText>
        </w:r>
        <w:r w:rsidR="00834099">
          <w:rPr>
            <w:noProof/>
            <w:webHidden/>
          </w:rPr>
        </w:r>
        <w:r w:rsidR="00834099">
          <w:rPr>
            <w:noProof/>
            <w:webHidden/>
          </w:rPr>
          <w:fldChar w:fldCharType="separate"/>
        </w:r>
        <w:r w:rsidR="0076645F">
          <w:rPr>
            <w:noProof/>
            <w:webHidden/>
          </w:rPr>
          <w:t>8</w:t>
        </w:r>
        <w:r w:rsidR="00834099">
          <w:rPr>
            <w:noProof/>
            <w:webHidden/>
          </w:rPr>
          <w:fldChar w:fldCharType="end"/>
        </w:r>
      </w:hyperlink>
    </w:p>
    <w:p w:rsidR="00834099" w:rsidRDefault="00DD6DA0">
      <w:pPr>
        <w:pStyle w:val="TOC3"/>
        <w:tabs>
          <w:tab w:val="right" w:leader="dot" w:pos="9628"/>
        </w:tabs>
        <w:rPr>
          <w:rFonts w:asciiTheme="minorHAnsi" w:eastAsiaTheme="minorEastAsia" w:hAnsiTheme="minorHAnsi" w:cstheme="minorBidi"/>
          <w:noProof/>
          <w:szCs w:val="22"/>
          <w:lang w:eastAsia="en-GB"/>
        </w:rPr>
      </w:pPr>
      <w:hyperlink w:anchor="_Toc412532991" w:history="1">
        <w:r w:rsidR="00834099" w:rsidRPr="000E2F42">
          <w:rPr>
            <w:rStyle w:val="Hyperlink"/>
            <w:noProof/>
          </w:rPr>
          <w:t xml:space="preserve">Form and </w:t>
        </w:r>
        <w:r w:rsidR="00187556">
          <w:rPr>
            <w:rStyle w:val="Hyperlink"/>
            <w:noProof/>
          </w:rPr>
          <w:t>l</w:t>
        </w:r>
        <w:r w:rsidR="00834099" w:rsidRPr="000E2F42">
          <w:rPr>
            <w:rStyle w:val="Hyperlink"/>
            <w:noProof/>
          </w:rPr>
          <w:t>ocation</w:t>
        </w:r>
        <w:r w:rsidR="00834099">
          <w:rPr>
            <w:noProof/>
            <w:webHidden/>
          </w:rPr>
          <w:tab/>
        </w:r>
        <w:r w:rsidR="00834099">
          <w:rPr>
            <w:noProof/>
            <w:webHidden/>
          </w:rPr>
          <w:fldChar w:fldCharType="begin"/>
        </w:r>
        <w:r w:rsidR="00834099">
          <w:rPr>
            <w:noProof/>
            <w:webHidden/>
          </w:rPr>
          <w:instrText xml:space="preserve"> PAGEREF _Toc412532991 \h </w:instrText>
        </w:r>
        <w:r w:rsidR="00834099">
          <w:rPr>
            <w:noProof/>
            <w:webHidden/>
          </w:rPr>
        </w:r>
        <w:r w:rsidR="00834099">
          <w:rPr>
            <w:noProof/>
            <w:webHidden/>
          </w:rPr>
          <w:fldChar w:fldCharType="separate"/>
        </w:r>
        <w:r w:rsidR="0076645F">
          <w:rPr>
            <w:noProof/>
            <w:webHidden/>
          </w:rPr>
          <w:t>9</w:t>
        </w:r>
        <w:r w:rsidR="00834099">
          <w:rPr>
            <w:noProof/>
            <w:webHidden/>
          </w:rPr>
          <w:fldChar w:fldCharType="end"/>
        </w:r>
      </w:hyperlink>
    </w:p>
    <w:p w:rsidR="00834099" w:rsidRDefault="00DD6DA0">
      <w:pPr>
        <w:pStyle w:val="TOC3"/>
        <w:tabs>
          <w:tab w:val="right" w:leader="dot" w:pos="9628"/>
        </w:tabs>
        <w:rPr>
          <w:rFonts w:asciiTheme="minorHAnsi" w:eastAsiaTheme="minorEastAsia" w:hAnsiTheme="minorHAnsi" w:cstheme="minorBidi"/>
          <w:noProof/>
          <w:szCs w:val="22"/>
          <w:lang w:eastAsia="en-GB"/>
        </w:rPr>
      </w:pPr>
      <w:hyperlink w:anchor="_Toc412532992" w:history="1">
        <w:r w:rsidR="00834099" w:rsidRPr="000E2F42">
          <w:rPr>
            <w:rStyle w:val="Hyperlink"/>
            <w:noProof/>
          </w:rPr>
          <w:t>Enforcement</w:t>
        </w:r>
        <w:r w:rsidR="00834099">
          <w:rPr>
            <w:noProof/>
            <w:webHidden/>
          </w:rPr>
          <w:tab/>
        </w:r>
        <w:r w:rsidR="00834099">
          <w:rPr>
            <w:noProof/>
            <w:webHidden/>
          </w:rPr>
          <w:fldChar w:fldCharType="begin"/>
        </w:r>
        <w:r w:rsidR="00834099">
          <w:rPr>
            <w:noProof/>
            <w:webHidden/>
          </w:rPr>
          <w:instrText xml:space="preserve"> PAGEREF _Toc412532992 \h </w:instrText>
        </w:r>
        <w:r w:rsidR="00834099">
          <w:rPr>
            <w:noProof/>
            <w:webHidden/>
          </w:rPr>
        </w:r>
        <w:r w:rsidR="00834099">
          <w:rPr>
            <w:noProof/>
            <w:webHidden/>
          </w:rPr>
          <w:fldChar w:fldCharType="separate"/>
        </w:r>
        <w:r w:rsidR="0076645F">
          <w:rPr>
            <w:noProof/>
            <w:webHidden/>
          </w:rPr>
          <w:t>10</w:t>
        </w:r>
        <w:r w:rsidR="00834099">
          <w:rPr>
            <w:noProof/>
            <w:webHidden/>
          </w:rPr>
          <w:fldChar w:fldCharType="end"/>
        </w:r>
      </w:hyperlink>
    </w:p>
    <w:p w:rsidR="00834099" w:rsidRDefault="00DD6DA0">
      <w:pPr>
        <w:pStyle w:val="TOC2"/>
        <w:tabs>
          <w:tab w:val="right" w:leader="dot" w:pos="9628"/>
        </w:tabs>
        <w:rPr>
          <w:rFonts w:asciiTheme="minorHAnsi" w:eastAsiaTheme="minorEastAsia" w:hAnsiTheme="minorHAnsi" w:cstheme="minorBidi"/>
          <w:noProof/>
          <w:szCs w:val="22"/>
          <w:lang w:eastAsia="en-GB"/>
        </w:rPr>
      </w:pPr>
      <w:hyperlink w:anchor="_Toc412532993" w:history="1">
        <w:r w:rsidR="00834099" w:rsidRPr="000E2F42">
          <w:rPr>
            <w:rStyle w:val="Hyperlink"/>
            <w:noProof/>
          </w:rPr>
          <w:t>Next steps</w:t>
        </w:r>
        <w:r w:rsidR="00834099">
          <w:rPr>
            <w:noProof/>
            <w:webHidden/>
          </w:rPr>
          <w:tab/>
        </w:r>
        <w:r w:rsidR="00834099">
          <w:rPr>
            <w:noProof/>
            <w:webHidden/>
          </w:rPr>
          <w:fldChar w:fldCharType="begin"/>
        </w:r>
        <w:r w:rsidR="00834099">
          <w:rPr>
            <w:noProof/>
            <w:webHidden/>
          </w:rPr>
          <w:instrText xml:space="preserve"> PAGEREF _Toc412532993 \h </w:instrText>
        </w:r>
        <w:r w:rsidR="00834099">
          <w:rPr>
            <w:noProof/>
            <w:webHidden/>
          </w:rPr>
        </w:r>
        <w:r w:rsidR="00834099">
          <w:rPr>
            <w:noProof/>
            <w:webHidden/>
          </w:rPr>
          <w:fldChar w:fldCharType="separate"/>
        </w:r>
        <w:r w:rsidR="0076645F">
          <w:rPr>
            <w:noProof/>
            <w:webHidden/>
          </w:rPr>
          <w:t>11</w:t>
        </w:r>
        <w:r w:rsidR="00834099">
          <w:rPr>
            <w:noProof/>
            <w:webHidden/>
          </w:rPr>
          <w:fldChar w:fldCharType="end"/>
        </w:r>
      </w:hyperlink>
    </w:p>
    <w:p w:rsidR="00834099" w:rsidRDefault="00DD6DA0">
      <w:pPr>
        <w:pStyle w:val="TOC2"/>
        <w:tabs>
          <w:tab w:val="right" w:leader="dot" w:pos="9628"/>
        </w:tabs>
        <w:rPr>
          <w:rFonts w:asciiTheme="minorHAnsi" w:eastAsiaTheme="minorEastAsia" w:hAnsiTheme="minorHAnsi" w:cstheme="minorBidi"/>
          <w:noProof/>
          <w:szCs w:val="22"/>
          <w:lang w:eastAsia="en-GB"/>
        </w:rPr>
      </w:pPr>
      <w:hyperlink w:anchor="_Toc412532994" w:history="1">
        <w:r w:rsidR="00834099" w:rsidRPr="000E2F42">
          <w:rPr>
            <w:rStyle w:val="Hyperlink"/>
            <w:noProof/>
          </w:rPr>
          <w:t>Annex 1: List of respondents</w:t>
        </w:r>
        <w:r w:rsidR="00834099">
          <w:rPr>
            <w:noProof/>
            <w:webHidden/>
          </w:rPr>
          <w:tab/>
        </w:r>
        <w:r w:rsidR="00834099">
          <w:rPr>
            <w:noProof/>
            <w:webHidden/>
          </w:rPr>
          <w:fldChar w:fldCharType="begin"/>
        </w:r>
        <w:r w:rsidR="00834099">
          <w:rPr>
            <w:noProof/>
            <w:webHidden/>
          </w:rPr>
          <w:instrText xml:space="preserve"> PAGEREF _Toc412532994 \h </w:instrText>
        </w:r>
        <w:r w:rsidR="00834099">
          <w:rPr>
            <w:noProof/>
            <w:webHidden/>
          </w:rPr>
        </w:r>
        <w:r w:rsidR="00834099">
          <w:rPr>
            <w:noProof/>
            <w:webHidden/>
          </w:rPr>
          <w:fldChar w:fldCharType="separate"/>
        </w:r>
        <w:r w:rsidR="0076645F">
          <w:rPr>
            <w:noProof/>
            <w:webHidden/>
          </w:rPr>
          <w:t>12</w:t>
        </w:r>
        <w:r w:rsidR="00834099">
          <w:rPr>
            <w:noProof/>
            <w:webHidden/>
          </w:rPr>
          <w:fldChar w:fldCharType="end"/>
        </w:r>
      </w:hyperlink>
    </w:p>
    <w:p w:rsidR="00C56DD0" w:rsidRPr="008D78D9" w:rsidRDefault="00C56DD0" w:rsidP="009259CF">
      <w:pPr>
        <w:pStyle w:val="Heading1"/>
      </w:pPr>
      <w:r w:rsidRPr="008D78D9">
        <w:fldChar w:fldCharType="end"/>
      </w:r>
      <w:r w:rsidRPr="008D78D9">
        <w:br w:type="page"/>
      </w:r>
      <w:bookmarkStart w:id="6" w:name="_Toc412532983"/>
      <w:bookmarkStart w:id="7" w:name="OLE_LINK2"/>
      <w:bookmarkStart w:id="8" w:name="OLE_LINK3"/>
      <w:bookmarkEnd w:id="2"/>
      <w:r w:rsidR="00E11257" w:rsidRPr="00E11257">
        <w:lastRenderedPageBreak/>
        <w:t>Duty to Report on Payment Practices and Policies</w:t>
      </w:r>
      <w:r w:rsidR="00E11257">
        <w:t>: s</w:t>
      </w:r>
      <w:r w:rsidR="00361180">
        <w:t xml:space="preserve">ummary of </w:t>
      </w:r>
      <w:r w:rsidR="00E11257">
        <w:t>responses</w:t>
      </w:r>
      <w:bookmarkEnd w:id="6"/>
    </w:p>
    <w:p w:rsidR="00C56DD0" w:rsidRPr="008D78D9" w:rsidRDefault="006813F2" w:rsidP="008D78D9">
      <w:pPr>
        <w:pStyle w:val="Heading2"/>
      </w:pPr>
      <w:bookmarkStart w:id="9" w:name="_Toc412532984"/>
      <w:bookmarkEnd w:id="7"/>
      <w:bookmarkEnd w:id="8"/>
      <w:r w:rsidRPr="008D78D9">
        <w:t>Introduction</w:t>
      </w:r>
      <w:bookmarkEnd w:id="9"/>
    </w:p>
    <w:p w:rsidR="006813F2" w:rsidRPr="008D78D9" w:rsidRDefault="006813F2" w:rsidP="008D78D9">
      <w:r w:rsidRPr="008D78D9">
        <w:t xml:space="preserve">Late payment remains a significant problem for UK businesses. As of </w:t>
      </w:r>
      <w:r w:rsidR="001E0789">
        <w:t>January 2015</w:t>
      </w:r>
      <w:r w:rsidRPr="008D78D9">
        <w:t>, the overall level of late payment owed to small and medium sized businesse</w:t>
      </w:r>
      <w:r w:rsidR="001E0789">
        <w:t>s is reported as standing at £32</w:t>
      </w:r>
      <w:r w:rsidRPr="008D78D9">
        <w:t>.4 billion, with the average amount owed to a small business at £3</w:t>
      </w:r>
      <w:r w:rsidR="001E0789">
        <w:t>2</w:t>
      </w:r>
      <w:r w:rsidRPr="008D78D9">
        <w:t>,</w:t>
      </w:r>
      <w:r w:rsidR="001E0789">
        <w:t>0</w:t>
      </w:r>
      <w:r w:rsidRPr="008D78D9">
        <w:t>00</w:t>
      </w:r>
      <w:r w:rsidR="001E0789">
        <w:rPr>
          <w:rStyle w:val="FootnoteReference"/>
        </w:rPr>
        <w:footnoteReference w:id="1"/>
      </w:r>
      <w:r w:rsidRPr="008D78D9">
        <w:t xml:space="preserve">. Respondents to the </w:t>
      </w:r>
      <w:r w:rsidRPr="008D78D9">
        <w:rPr>
          <w:i/>
        </w:rPr>
        <w:t>Building a Responsible Payment Culture</w:t>
      </w:r>
      <w:r w:rsidRPr="008D78D9">
        <w:t xml:space="preserve"> discussion paper were clear that, whilst they wanted to see a reduction in late payment, they did not want government to constrain their freedom of contract. Instead, they transmitted a clear desire for greater transparency around payment practices. </w:t>
      </w:r>
    </w:p>
    <w:p w:rsidR="006813F2" w:rsidRPr="008D78D9" w:rsidRDefault="006813F2" w:rsidP="008D78D9">
      <w:r w:rsidRPr="008D78D9">
        <w:t>Consequently, as part of t</w:t>
      </w:r>
      <w:r w:rsidR="005F527C">
        <w:t>he Government’s response to that</w:t>
      </w:r>
      <w:r w:rsidR="00B70DA2" w:rsidRPr="008D78D9">
        <w:t xml:space="preserve"> discussion paper, we committed </w:t>
      </w:r>
      <w:r w:rsidRPr="008D78D9">
        <w:t xml:space="preserve">to introducing greater transparency through a new reporting requirement on prompt payment practices. We are now seeking to achieve this by taking a delegated power in the Small Business, Enterprise and Employment Bill to allow Government to subsequently introduce a prompt payment reporting requirement through secondary legislation. The Bill is currently before Parliament. </w:t>
      </w:r>
    </w:p>
    <w:p w:rsidR="00B70DA2" w:rsidRPr="008D78D9" w:rsidRDefault="00B70DA2" w:rsidP="008D78D9">
      <w:r w:rsidRPr="008D78D9">
        <w:t xml:space="preserve">The consultation </w:t>
      </w:r>
      <w:r w:rsidRPr="008D78D9">
        <w:rPr>
          <w:i/>
        </w:rPr>
        <w:t xml:space="preserve">Business payment practices and policies: duty to report </w:t>
      </w:r>
      <w:r w:rsidRPr="008D78D9">
        <w:t xml:space="preserve">set out our initial views on what should be in the secondary legislation on the duty for firms to publish information about their payment practices and performance. We proposed not to dictate payment practices, but instead to remove the opacity to payment information. This would allow market participants to more readily identify which customers were good payers and which offered suppliers the terms that fit best with their business model. We aimed to do this in a way that is both useful but also light-touch, and as least burdensome to businesses as possible. </w:t>
      </w:r>
    </w:p>
    <w:p w:rsidR="006E2DEB" w:rsidRDefault="00B70DA2" w:rsidP="00FC508A">
      <w:r w:rsidRPr="008D78D9">
        <w:t xml:space="preserve">This document provides </w:t>
      </w:r>
      <w:r w:rsidR="008D78D9" w:rsidRPr="008D78D9">
        <w:t>a summary</w:t>
      </w:r>
      <w:r w:rsidRPr="008D78D9">
        <w:t xml:space="preserve"> of the responses received </w:t>
      </w:r>
      <w:r w:rsidR="006E2DEB" w:rsidRPr="008D78D9">
        <w:t xml:space="preserve">to the consultation. It does not </w:t>
      </w:r>
      <w:r w:rsidR="00187556">
        <w:t xml:space="preserve">set </w:t>
      </w:r>
      <w:r w:rsidR="006E2DEB" w:rsidRPr="008D78D9">
        <w:t xml:space="preserve">out </w:t>
      </w:r>
      <w:r w:rsidR="00B4107E">
        <w:t xml:space="preserve">the </w:t>
      </w:r>
      <w:r w:rsidR="006E2DEB" w:rsidRPr="008D78D9">
        <w:t>Government respon</w:t>
      </w:r>
      <w:r w:rsidR="00B4107E">
        <w:t>se</w:t>
      </w:r>
      <w:r w:rsidR="006E2DEB" w:rsidRPr="008D78D9">
        <w:t xml:space="preserve"> to responses received. </w:t>
      </w:r>
      <w:r w:rsidR="00481725">
        <w:t xml:space="preserve">We will publish </w:t>
      </w:r>
      <w:r w:rsidR="00A16511">
        <w:t>amended regulations and an accompanying document outlining how the regulations have changed based on the responses received to the consultation</w:t>
      </w:r>
      <w:r w:rsidR="00426D48">
        <w:t xml:space="preserve"> after the election</w:t>
      </w:r>
      <w:r w:rsidR="00481725">
        <w:t>.</w:t>
      </w:r>
    </w:p>
    <w:p w:rsidR="00A542BB" w:rsidRPr="008D78D9" w:rsidRDefault="00A542BB" w:rsidP="00FC508A"/>
    <w:p w:rsidR="006813F2" w:rsidRPr="008D78D9" w:rsidRDefault="006813F2" w:rsidP="008D78D9">
      <w:pPr>
        <w:pStyle w:val="Heading2"/>
      </w:pPr>
      <w:bookmarkStart w:id="10" w:name="_Toc412532985"/>
      <w:r w:rsidRPr="008D78D9">
        <w:t>Responses received</w:t>
      </w:r>
      <w:bookmarkEnd w:id="10"/>
    </w:p>
    <w:p w:rsidR="005A5C95" w:rsidRPr="008D78D9" w:rsidRDefault="006E2DEB" w:rsidP="005A5C95">
      <w:r w:rsidRPr="008D78D9">
        <w:t xml:space="preserve">We received 59 written responses to the consultation, </w:t>
      </w:r>
      <w:r w:rsidR="00187556">
        <w:t>primarily</w:t>
      </w:r>
      <w:r w:rsidRPr="008D78D9">
        <w:t xml:space="preserve"> from business representative bodies, trade organisations and professional bodies. We also had a number of responses from large businesses </w:t>
      </w:r>
      <w:r w:rsidR="00187556">
        <w:t>in</w:t>
      </w:r>
      <w:r w:rsidR="00187556" w:rsidRPr="008D78D9">
        <w:t xml:space="preserve"> </w:t>
      </w:r>
      <w:r w:rsidRPr="008D78D9">
        <w:t>the retail and construction industr</w:t>
      </w:r>
      <w:r w:rsidR="00187556">
        <w:t>ies</w:t>
      </w:r>
      <w:r w:rsidRPr="008D78D9">
        <w:t xml:space="preserve">. </w:t>
      </w:r>
      <w:r w:rsidR="005A5C95" w:rsidRPr="008D78D9">
        <w:t xml:space="preserve">A full list of </w:t>
      </w:r>
      <w:r w:rsidR="005A5C95">
        <w:t xml:space="preserve">respondents </w:t>
      </w:r>
      <w:r w:rsidR="005A5C95" w:rsidRPr="008D78D9">
        <w:t xml:space="preserve">is available </w:t>
      </w:r>
      <w:r w:rsidR="005A5C95" w:rsidRPr="00911725">
        <w:t xml:space="preserve">in </w:t>
      </w:r>
      <w:r w:rsidR="005A5C95">
        <w:t>A</w:t>
      </w:r>
      <w:r w:rsidR="005A5C95" w:rsidRPr="00911725">
        <w:t xml:space="preserve">nnex 1. </w:t>
      </w:r>
    </w:p>
    <w:p w:rsidR="00881AD1" w:rsidRDefault="00881AD1" w:rsidP="006E2DEB"/>
    <w:p w:rsidR="006E2DEB" w:rsidRDefault="006E2DEB" w:rsidP="006E2DEB">
      <w:r w:rsidRPr="008D78D9">
        <w:t xml:space="preserve">During the consultation period, we </w:t>
      </w:r>
      <w:r w:rsidR="005A5C95">
        <w:t xml:space="preserve">also </w:t>
      </w:r>
      <w:r w:rsidRPr="008D78D9">
        <w:t xml:space="preserve">ran </w:t>
      </w:r>
      <w:r w:rsidR="000D78F7">
        <w:t xml:space="preserve">five </w:t>
      </w:r>
      <w:r w:rsidRPr="008D78D9">
        <w:t>roundtable discussions</w:t>
      </w:r>
      <w:r w:rsidR="000D78F7">
        <w:t xml:space="preserve">, attended by </w:t>
      </w:r>
      <w:r w:rsidR="00121184">
        <w:t>65 people, allowing us to gain direct</w:t>
      </w:r>
      <w:r w:rsidRPr="008D78D9">
        <w:t xml:space="preserve"> stakeholder feedback on the proposal</w:t>
      </w:r>
      <w:r w:rsidR="00121184">
        <w:t>s outlined in the consultation. We also</w:t>
      </w:r>
      <w:r w:rsidR="00515ECE" w:rsidRPr="008D78D9">
        <w:t xml:space="preserve"> met regularly with key stakeholders. </w:t>
      </w:r>
    </w:p>
    <w:p w:rsidR="00515ECE" w:rsidRPr="008D78D9" w:rsidRDefault="00515ECE" w:rsidP="006813F2"/>
    <w:p w:rsidR="006813F2" w:rsidRPr="008D78D9" w:rsidRDefault="006813F2" w:rsidP="008D78D9">
      <w:pPr>
        <w:pStyle w:val="Heading2"/>
      </w:pPr>
      <w:bookmarkStart w:id="11" w:name="_Toc412532986"/>
      <w:r w:rsidRPr="008D78D9">
        <w:t>Summary of responses</w:t>
      </w:r>
      <w:bookmarkEnd w:id="11"/>
    </w:p>
    <w:p w:rsidR="006813F2" w:rsidRPr="008D78D9" w:rsidRDefault="006813F2" w:rsidP="00F170B6">
      <w:pPr>
        <w:pStyle w:val="Heading4"/>
      </w:pPr>
    </w:p>
    <w:p w:rsidR="00515ECE" w:rsidRPr="008D78D9" w:rsidRDefault="0069261E" w:rsidP="008D78D9">
      <w:pPr>
        <w:pStyle w:val="Heading3"/>
      </w:pPr>
      <w:bookmarkStart w:id="12" w:name="_Toc412532987"/>
      <w:r w:rsidRPr="008D78D9">
        <w:t>Scope</w:t>
      </w:r>
      <w:bookmarkEnd w:id="12"/>
      <w:r w:rsidR="00711F68">
        <w:t xml:space="preserve"> </w:t>
      </w:r>
    </w:p>
    <w:p w:rsidR="00FD16B7" w:rsidRDefault="00FD16B7" w:rsidP="00FD16B7">
      <w:pPr>
        <w:pStyle w:val="Heading4"/>
      </w:pPr>
    </w:p>
    <w:p w:rsidR="00A16511" w:rsidRPr="00A16511" w:rsidRDefault="00A16511" w:rsidP="00A16511">
      <w:r>
        <w:t>This section covers questions 2-6 and question 8 from the consultation.</w:t>
      </w:r>
    </w:p>
    <w:p w:rsidR="0069261E" w:rsidRDefault="00A547F8" w:rsidP="00A547F8">
      <w:pPr>
        <w:pStyle w:val="Heading4"/>
      </w:pPr>
      <w:r>
        <w:t>Contracts to be covered</w:t>
      </w:r>
    </w:p>
    <w:p w:rsidR="00A547F8" w:rsidRDefault="00A547F8" w:rsidP="006813F2">
      <w:r>
        <w:t>We proposed that the reporting requirement should only apply to business to business contracts, and should exclude financial services contracts. There was overwhelming support for both these proposals</w:t>
      </w:r>
      <w:r w:rsidR="0097721E">
        <w:t>, with 61% and 41% respectively agreeing with this (compared to 5% and 3% who did not)</w:t>
      </w:r>
      <w:r>
        <w:t xml:space="preserve">. </w:t>
      </w:r>
    </w:p>
    <w:p w:rsidR="00A547F8" w:rsidRDefault="00A547F8" w:rsidP="00A547F8">
      <w:pPr>
        <w:pStyle w:val="Heading4"/>
      </w:pPr>
      <w:r>
        <w:t>Firms covered by the reporting requirement</w:t>
      </w:r>
    </w:p>
    <w:p w:rsidR="00A547F8" w:rsidRDefault="00A547F8" w:rsidP="006813F2">
      <w:r>
        <w:t xml:space="preserve">As outlined in the consultation document, we proposed that the reporting requirement should extend to large UK companies, large LLPs and all quoted companies. The definitions from the Companies Act </w:t>
      </w:r>
      <w:r w:rsidR="00C2389C">
        <w:t>would apply to identify those in scope.</w:t>
      </w:r>
      <w:r w:rsidR="0097721E">
        <w:t xml:space="preserve"> Over half</w:t>
      </w:r>
      <w:r w:rsidR="00834099">
        <w:t xml:space="preserve"> </w:t>
      </w:r>
      <w:r w:rsidR="0097721E">
        <w:t>of r</w:t>
      </w:r>
      <w:r w:rsidR="00C2389C">
        <w:t>espondents agreed with both these proposals</w:t>
      </w:r>
      <w:r w:rsidR="00834099">
        <w:t xml:space="preserve"> (59% and 50% compared to 5% and 3% disagreeing respectively)</w:t>
      </w:r>
      <w:r w:rsidR="00C2389C">
        <w:t xml:space="preserve">, though there were a few calls for this to be extended to public sector bodies and SMEs to ensure there was a level playing field for all. </w:t>
      </w:r>
    </w:p>
    <w:p w:rsidR="00C2389C" w:rsidRDefault="00C2389C" w:rsidP="006813F2">
      <w:r>
        <w:t xml:space="preserve">We further proposed that </w:t>
      </w:r>
      <w:r w:rsidR="00280A64">
        <w:t xml:space="preserve">businesses should be required to provide individual and non-consolidated reports. Responses </w:t>
      </w:r>
      <w:r w:rsidR="007C52D9">
        <w:t xml:space="preserve">were more </w:t>
      </w:r>
      <w:r w:rsidR="00280A64">
        <w:t xml:space="preserve">in favour </w:t>
      </w:r>
      <w:r w:rsidR="007C52D9">
        <w:t xml:space="preserve">(42%) than </w:t>
      </w:r>
      <w:r w:rsidR="00280A64">
        <w:t>against</w:t>
      </w:r>
      <w:r w:rsidR="007C52D9">
        <w:t xml:space="preserve"> (27%)</w:t>
      </w:r>
      <w:r w:rsidR="00481725">
        <w:t>. However</w:t>
      </w:r>
      <w:r w:rsidR="00280A64">
        <w:t xml:space="preserve">, </w:t>
      </w:r>
      <w:r w:rsidR="00481725">
        <w:t xml:space="preserve">some </w:t>
      </w:r>
      <w:r w:rsidR="007C52D9">
        <w:t>respon</w:t>
      </w:r>
      <w:r w:rsidR="00481725">
        <w:t>dents</w:t>
      </w:r>
      <w:r w:rsidR="007C52D9">
        <w:t xml:space="preserve"> </w:t>
      </w:r>
      <w:r w:rsidR="00481725">
        <w:t xml:space="preserve">argued </w:t>
      </w:r>
      <w:r w:rsidR="007C52D9">
        <w:t>that this c</w:t>
      </w:r>
      <w:r w:rsidR="00280A64">
        <w:t xml:space="preserve">ould </w:t>
      </w:r>
      <w:r w:rsidR="00481725">
        <w:t xml:space="preserve">place </w:t>
      </w:r>
      <w:r w:rsidR="00280A64">
        <w:t xml:space="preserve">an unreasonable burden on businesses due to the complexity of </w:t>
      </w:r>
      <w:r w:rsidR="00B02E15">
        <w:t xml:space="preserve">company structures. </w:t>
      </w:r>
      <w:r w:rsidR="00481725">
        <w:t xml:space="preserve">They </w:t>
      </w:r>
      <w:r w:rsidR="00B02E15">
        <w:t xml:space="preserve">suggested </w:t>
      </w:r>
      <w:r w:rsidR="00481725">
        <w:t xml:space="preserve">there </w:t>
      </w:r>
      <w:r w:rsidR="007C52D9">
        <w:t>s</w:t>
      </w:r>
      <w:r w:rsidR="007C52D9" w:rsidRPr="007C52D9">
        <w:t xml:space="preserve">hould be </w:t>
      </w:r>
      <w:r w:rsidR="007C52D9">
        <w:t xml:space="preserve">some </w:t>
      </w:r>
      <w:r w:rsidR="007C52D9" w:rsidRPr="007C52D9">
        <w:t>flexibility for companies to decide whether to provide individual or consolidated reports, based on how their invoices are processed and the data required is collated</w:t>
      </w:r>
      <w:r w:rsidR="007C52D9">
        <w:t>, and what is most useful to suppliers</w:t>
      </w:r>
      <w:r w:rsidR="00B02E15">
        <w:t xml:space="preserve">.  </w:t>
      </w:r>
    </w:p>
    <w:p w:rsidR="004F1A03" w:rsidRDefault="00CB6611" w:rsidP="006813F2">
      <w:r>
        <w:t>W</w:t>
      </w:r>
      <w:r w:rsidR="004F1A03">
        <w:t xml:space="preserve">e </w:t>
      </w:r>
      <w:r>
        <w:t xml:space="preserve">also </w:t>
      </w:r>
      <w:r w:rsidR="004F1A03">
        <w:t>proposed that the report ought to be mandatory for those in scope.</w:t>
      </w:r>
      <w:r w:rsidR="009C1F4A">
        <w:t xml:space="preserve"> </w:t>
      </w:r>
      <w:r w:rsidR="00921734">
        <w:t xml:space="preserve">Over half </w:t>
      </w:r>
      <w:r w:rsidR="00834099">
        <w:t xml:space="preserve">(59%) </w:t>
      </w:r>
      <w:r w:rsidR="00921734">
        <w:t xml:space="preserve">the respondents agreed </w:t>
      </w:r>
      <w:r w:rsidR="009C1F4A">
        <w:t>with this</w:t>
      </w:r>
      <w:r w:rsidR="00A474CE">
        <w:t>, 10% were against this proposal</w:t>
      </w:r>
      <w:r w:rsidR="00921734">
        <w:t xml:space="preserve">. </w:t>
      </w:r>
    </w:p>
    <w:p w:rsidR="00F170B6" w:rsidRPr="008D78D9" w:rsidRDefault="00F170B6" w:rsidP="00F170B6">
      <w:pPr>
        <w:pStyle w:val="Heading4"/>
      </w:pPr>
    </w:p>
    <w:p w:rsidR="0069261E" w:rsidRPr="008D78D9" w:rsidRDefault="0069261E" w:rsidP="008D78D9">
      <w:pPr>
        <w:pStyle w:val="Heading3"/>
      </w:pPr>
      <w:bookmarkStart w:id="13" w:name="_Toc412532988"/>
      <w:r w:rsidRPr="008D78D9">
        <w:t>Content</w:t>
      </w:r>
      <w:bookmarkEnd w:id="13"/>
      <w:r w:rsidRPr="008D78D9">
        <w:t xml:space="preserve"> </w:t>
      </w:r>
    </w:p>
    <w:p w:rsidR="00FB4A82" w:rsidRDefault="00FB4A82" w:rsidP="00FB4A82">
      <w:pPr>
        <w:pStyle w:val="Heading4"/>
      </w:pPr>
    </w:p>
    <w:p w:rsidR="00A16511" w:rsidRPr="00A16511" w:rsidRDefault="00A16511" w:rsidP="00A16511">
      <w:r>
        <w:t>This section covers question 7, questions 9-13 and questions 17-21 from the consultation.</w:t>
      </w:r>
    </w:p>
    <w:p w:rsidR="00FB4A82" w:rsidRDefault="00FB4A82" w:rsidP="00FB4A82">
      <w:pPr>
        <w:pStyle w:val="Heading4"/>
      </w:pPr>
      <w:r>
        <w:t>Metrics to report on</w:t>
      </w:r>
    </w:p>
    <w:p w:rsidR="00687B05" w:rsidRDefault="00687B05" w:rsidP="00687B05">
      <w:r w:rsidRPr="00687B05">
        <w:t>We propose</w:t>
      </w:r>
      <w:r>
        <w:t>d</w:t>
      </w:r>
      <w:r w:rsidRPr="00687B05">
        <w:t xml:space="preserve"> that the content of the report should be aimed at giving suppliers the information they need to make informed decisions about the payment practices of customers they </w:t>
      </w:r>
      <w:r w:rsidR="00187556">
        <w:t>are</w:t>
      </w:r>
      <w:r w:rsidRPr="00687B05">
        <w:t xml:space="preserve"> entering into business with. </w:t>
      </w:r>
      <w:r w:rsidR="00E20530">
        <w:t>The consultation paper included a</w:t>
      </w:r>
      <w:r w:rsidRPr="00687B05">
        <w:t>n example of what the report might look</w:t>
      </w:r>
      <w:r w:rsidR="00187556">
        <w:t xml:space="preserve"> like</w:t>
      </w:r>
      <w:r w:rsidRPr="00687B05">
        <w:t xml:space="preserve">. </w:t>
      </w:r>
    </w:p>
    <w:p w:rsidR="00E20530" w:rsidRDefault="00E20530" w:rsidP="00687B05">
      <w:r>
        <w:t>We proposed that a firm ought to report on</w:t>
      </w:r>
      <w:r w:rsidR="00187556">
        <w:t>:</w:t>
      </w:r>
    </w:p>
    <w:p w:rsidR="00E20530" w:rsidRDefault="00E20530" w:rsidP="00E20530">
      <w:pPr>
        <w:pStyle w:val="ListBullet"/>
        <w:tabs>
          <w:tab w:val="clear" w:pos="284"/>
          <w:tab w:val="num" w:pos="0"/>
        </w:tabs>
        <w:ind w:left="709" w:hanging="709"/>
      </w:pPr>
      <w:r>
        <w:t>their standard payment terms</w:t>
      </w:r>
      <w:r w:rsidR="00187556">
        <w:t>;</w:t>
      </w:r>
    </w:p>
    <w:p w:rsidR="00E20530" w:rsidRDefault="00E20530" w:rsidP="00E20530">
      <w:pPr>
        <w:pStyle w:val="ListBullet"/>
        <w:tabs>
          <w:tab w:val="clear" w:pos="284"/>
          <w:tab w:val="num" w:pos="0"/>
        </w:tabs>
        <w:ind w:left="709" w:hanging="709"/>
      </w:pPr>
      <w:r>
        <w:t>their maximum payment terms</w:t>
      </w:r>
      <w:r w:rsidR="00187556">
        <w:t>;</w:t>
      </w:r>
    </w:p>
    <w:p w:rsidR="00A925F6" w:rsidRDefault="00E20530" w:rsidP="00A925F6">
      <w:pPr>
        <w:pStyle w:val="ListBullet"/>
        <w:tabs>
          <w:tab w:val="clear" w:pos="284"/>
          <w:tab w:val="num" w:pos="0"/>
        </w:tabs>
        <w:ind w:left="709" w:hanging="709"/>
      </w:pPr>
      <w:r w:rsidRPr="00E20530">
        <w:t>any changes to these terms over the last reporting period</w:t>
      </w:r>
      <w:r w:rsidR="00187556">
        <w:t>;</w:t>
      </w:r>
    </w:p>
    <w:p w:rsidR="00C34058" w:rsidRDefault="00C34058" w:rsidP="00C34058">
      <w:pPr>
        <w:pStyle w:val="ListBullet"/>
        <w:tabs>
          <w:tab w:val="clear" w:pos="284"/>
          <w:tab w:val="num" w:pos="0"/>
        </w:tabs>
        <w:ind w:left="709" w:hanging="709"/>
      </w:pPr>
      <w:r>
        <w:t>average time taken to pay invoices</w:t>
      </w:r>
      <w:r w:rsidR="00187556">
        <w:t>;</w:t>
      </w:r>
      <w:r>
        <w:t xml:space="preserve"> </w:t>
      </w:r>
    </w:p>
    <w:p w:rsidR="00A925F6" w:rsidRDefault="00A925F6" w:rsidP="00A925F6">
      <w:pPr>
        <w:pStyle w:val="ListBullet"/>
        <w:tabs>
          <w:tab w:val="clear" w:pos="284"/>
          <w:tab w:val="num" w:pos="0"/>
        </w:tabs>
        <w:ind w:left="709" w:hanging="709"/>
      </w:pPr>
      <w:r>
        <w:t>proportion of invoices paid beyond terms</w:t>
      </w:r>
      <w:r w:rsidR="00187556">
        <w:t>;</w:t>
      </w:r>
      <w:r>
        <w:t xml:space="preserve"> </w:t>
      </w:r>
      <w:r w:rsidR="00B4107E">
        <w:t>and</w:t>
      </w:r>
    </w:p>
    <w:p w:rsidR="00A925F6" w:rsidRDefault="004F1A03" w:rsidP="004F1A03">
      <w:pPr>
        <w:pStyle w:val="ListBullet"/>
        <w:tabs>
          <w:tab w:val="clear" w:pos="284"/>
          <w:tab w:val="num" w:pos="0"/>
        </w:tabs>
        <w:ind w:left="709" w:hanging="709"/>
      </w:pPr>
      <w:r>
        <w:t xml:space="preserve">proportion of </w:t>
      </w:r>
      <w:r w:rsidRPr="004F1A03">
        <w:t>invoices paid to fixed terms of 30, 60, 120 and over 120 days</w:t>
      </w:r>
      <w:r w:rsidR="00187556">
        <w:t>.</w:t>
      </w:r>
      <w:r w:rsidRPr="004F1A03">
        <w:t xml:space="preserve"> </w:t>
      </w:r>
    </w:p>
    <w:p w:rsidR="00126A0F" w:rsidRDefault="00B83FBD" w:rsidP="006813F2">
      <w:r>
        <w:t xml:space="preserve">Responses to these </w:t>
      </w:r>
      <w:r w:rsidR="003B15CC">
        <w:t xml:space="preserve">metrics </w:t>
      </w:r>
      <w:r>
        <w:t>were generally supportive</w:t>
      </w:r>
      <w:r w:rsidR="003B15CC">
        <w:t>.</w:t>
      </w:r>
      <w:r>
        <w:t xml:space="preserve"> </w:t>
      </w:r>
    </w:p>
    <w:p w:rsidR="00126A0F" w:rsidRDefault="00126A0F" w:rsidP="006813F2">
      <w:r>
        <w:t xml:space="preserve">Almost half of the respondents agreed the report should include metrics on the </w:t>
      </w:r>
      <w:r w:rsidRPr="00FD33B1">
        <w:rPr>
          <w:b/>
        </w:rPr>
        <w:t>standard</w:t>
      </w:r>
      <w:r>
        <w:t xml:space="preserve"> and </w:t>
      </w:r>
      <w:r w:rsidRPr="00FD33B1">
        <w:rPr>
          <w:b/>
        </w:rPr>
        <w:t>maximum</w:t>
      </w:r>
      <w:r>
        <w:t xml:space="preserve"> </w:t>
      </w:r>
      <w:r w:rsidRPr="00B4107E">
        <w:rPr>
          <w:b/>
        </w:rPr>
        <w:t>payment terms</w:t>
      </w:r>
      <w:r>
        <w:t xml:space="preserve"> and </w:t>
      </w:r>
      <w:r w:rsidR="00CB6611">
        <w:t>also on “</w:t>
      </w:r>
      <w:r>
        <w:t>any changes to these</w:t>
      </w:r>
      <w:r w:rsidR="00CB6611">
        <w:t>”</w:t>
      </w:r>
      <w:r w:rsidR="00190C05">
        <w:t xml:space="preserve"> – 46% in favour compared to 24% against</w:t>
      </w:r>
      <w:r>
        <w:t xml:space="preserve">. </w:t>
      </w:r>
    </w:p>
    <w:p w:rsidR="00B83FBD" w:rsidRDefault="00CB6611" w:rsidP="006813F2">
      <w:r>
        <w:t>M</w:t>
      </w:r>
      <w:r w:rsidR="00B83FBD">
        <w:t xml:space="preserve">any questions were raised with regards to </w:t>
      </w:r>
      <w:r w:rsidR="00B83FBD" w:rsidRPr="00FD33B1">
        <w:rPr>
          <w:b/>
        </w:rPr>
        <w:t>standard</w:t>
      </w:r>
      <w:r w:rsidR="00B83FBD">
        <w:t xml:space="preserve"> </w:t>
      </w:r>
      <w:r w:rsidR="00B83FBD" w:rsidRPr="00B4107E">
        <w:rPr>
          <w:b/>
        </w:rPr>
        <w:t>terms</w:t>
      </w:r>
      <w:r w:rsidR="00C34058">
        <w:t>, in particular the meaning of “standard”</w:t>
      </w:r>
      <w:r w:rsidR="003B15CC">
        <w:t xml:space="preserve">. Many respondents </w:t>
      </w:r>
      <w:r>
        <w:t xml:space="preserve">argued that it was important </w:t>
      </w:r>
      <w:r w:rsidR="003B15CC">
        <w:t xml:space="preserve">to be </w:t>
      </w:r>
      <w:r>
        <w:t xml:space="preserve">able to offer </w:t>
      </w:r>
      <w:r w:rsidR="003B15CC">
        <w:t>flexib</w:t>
      </w:r>
      <w:r>
        <w:t xml:space="preserve">ility </w:t>
      </w:r>
      <w:r w:rsidR="003B15CC">
        <w:t xml:space="preserve">on </w:t>
      </w:r>
      <w:r>
        <w:t xml:space="preserve">payment </w:t>
      </w:r>
      <w:r w:rsidR="003B15CC">
        <w:t xml:space="preserve">terms, and to agree different terms with different suppliers or customers. </w:t>
      </w:r>
      <w:r w:rsidR="00C34058">
        <w:t xml:space="preserve">Standard terms were therefore rarely used. In addition, different products, even within one firm, would have different payment terms. </w:t>
      </w:r>
      <w:r w:rsidR="003B15CC">
        <w:t xml:space="preserve">Providing information on standard terms could therefore be misleading and not very useful. Some respondents also </w:t>
      </w:r>
      <w:r>
        <w:t xml:space="preserve">argued </w:t>
      </w:r>
      <w:r w:rsidR="003B15CC">
        <w:t xml:space="preserve">that publishing payment terms would breach commercial confidentiality, thereby giving competitors </w:t>
      </w:r>
      <w:r>
        <w:t>(</w:t>
      </w:r>
      <w:r w:rsidR="003B15CC">
        <w:t>especially those out of scope of the reporting requirements</w:t>
      </w:r>
      <w:r>
        <w:t xml:space="preserve">) </w:t>
      </w:r>
      <w:r w:rsidR="003B15CC">
        <w:t xml:space="preserve">a competitive advantage. </w:t>
      </w:r>
    </w:p>
    <w:p w:rsidR="00925A95" w:rsidRDefault="00CB6611" w:rsidP="006813F2">
      <w:r>
        <w:t>O</w:t>
      </w:r>
      <w:r w:rsidR="00925A95">
        <w:t xml:space="preserve">n the </w:t>
      </w:r>
      <w:r w:rsidR="00925A95" w:rsidRPr="00ED2DC8">
        <w:rPr>
          <w:b/>
        </w:rPr>
        <w:t>average</w:t>
      </w:r>
      <w:r w:rsidR="00925A95">
        <w:t xml:space="preserve"> </w:t>
      </w:r>
      <w:r w:rsidR="00925A95" w:rsidRPr="00B4107E">
        <w:rPr>
          <w:b/>
        </w:rPr>
        <w:t>time taken to pay invoices</w:t>
      </w:r>
      <w:r w:rsidR="00925A95">
        <w:t xml:space="preserve">, half </w:t>
      </w:r>
      <w:r w:rsidR="00A474CE">
        <w:t xml:space="preserve">(51%) </w:t>
      </w:r>
      <w:r>
        <w:t xml:space="preserve">of </w:t>
      </w:r>
      <w:r w:rsidR="00925A95">
        <w:t>respondents</w:t>
      </w:r>
      <w:r>
        <w:t xml:space="preserve"> considered this useful</w:t>
      </w:r>
      <w:r w:rsidR="00190C05">
        <w:t xml:space="preserve"> – only 19% w</w:t>
      </w:r>
      <w:r w:rsidR="00187556">
        <w:t>ere</w:t>
      </w:r>
      <w:r w:rsidR="00190C05">
        <w:t xml:space="preserve"> against reporting on this</w:t>
      </w:r>
      <w:r w:rsidR="00ED2DC8">
        <w:t>.</w:t>
      </w:r>
      <w:r w:rsidR="00925A95">
        <w:t xml:space="preserve"> </w:t>
      </w:r>
      <w:r w:rsidR="00ED2DC8">
        <w:t xml:space="preserve">A few respondents </w:t>
      </w:r>
      <w:r w:rsidR="00925A95">
        <w:t>felt that this could provide a misleading picture, especially when taking different types of products into consideration, as is the case in the retail sector</w:t>
      </w:r>
      <w:r w:rsidR="00A474CE">
        <w:t>, where different payment times can be agreed depending on the product</w:t>
      </w:r>
      <w:r w:rsidR="00925A95">
        <w:t xml:space="preserve">. </w:t>
      </w:r>
      <w:r w:rsidR="00A474CE">
        <w:t>The average payment time would not reflect payment times for individual products, rather it could give the impression that payments are made a lot quicker/slower</w:t>
      </w:r>
      <w:r w:rsidR="005973F3">
        <w:t xml:space="preserve"> than is usually the case, depending upon the range of products the firm deals with</w:t>
      </w:r>
      <w:r>
        <w:t>.</w:t>
      </w:r>
    </w:p>
    <w:p w:rsidR="00CB6611" w:rsidRDefault="007C2303" w:rsidP="006813F2">
      <w:r>
        <w:t xml:space="preserve">Reporting on </w:t>
      </w:r>
      <w:r w:rsidRPr="00BA4A26">
        <w:rPr>
          <w:b/>
        </w:rPr>
        <w:t>payments made beyond terms</w:t>
      </w:r>
      <w:r>
        <w:t xml:space="preserve"> was supported by almost two thirds </w:t>
      </w:r>
      <w:r w:rsidR="005973F3">
        <w:t xml:space="preserve">(63%) </w:t>
      </w:r>
      <w:r>
        <w:t>of respondents</w:t>
      </w:r>
      <w:r w:rsidR="00CB6611">
        <w:t xml:space="preserve">. </w:t>
      </w:r>
      <w:r w:rsidR="005973F3">
        <w:t>Only 10% disagreed.</w:t>
      </w:r>
    </w:p>
    <w:p w:rsidR="0075472A" w:rsidRDefault="00CB6611" w:rsidP="005973F3">
      <w:r>
        <w:t>R</w:t>
      </w:r>
      <w:r w:rsidR="007C2303">
        <w:t xml:space="preserve">eporting on </w:t>
      </w:r>
      <w:r w:rsidR="005973F3" w:rsidRPr="00BA4A26">
        <w:rPr>
          <w:b/>
        </w:rPr>
        <w:t>payments made</w:t>
      </w:r>
      <w:r w:rsidR="00BF6C01">
        <w:rPr>
          <w:b/>
        </w:rPr>
        <w:t xml:space="preserve"> within</w:t>
      </w:r>
      <w:r w:rsidR="005973F3" w:rsidRPr="00BA4A26">
        <w:rPr>
          <w:b/>
        </w:rPr>
        <w:t xml:space="preserve"> </w:t>
      </w:r>
      <w:r w:rsidR="007C2303" w:rsidRPr="00BA4A26">
        <w:rPr>
          <w:b/>
        </w:rPr>
        <w:t>fixed terms</w:t>
      </w:r>
      <w:r w:rsidR="007C2303">
        <w:t xml:space="preserve"> was supported by 39% of respondents</w:t>
      </w:r>
      <w:r>
        <w:t>,</w:t>
      </w:r>
      <w:r w:rsidR="007C2303">
        <w:t xml:space="preserve"> compared to 29% who did not agree with this. </w:t>
      </w:r>
      <w:r w:rsidR="005973F3">
        <w:t>However</w:t>
      </w:r>
      <w:r w:rsidR="0075472A">
        <w:t xml:space="preserve">, it was felt that the focus ought to be on whether the payments were made either within or beyond </w:t>
      </w:r>
      <w:r w:rsidR="0075472A" w:rsidRPr="0075472A">
        <w:rPr>
          <w:i/>
        </w:rPr>
        <w:t>agreed</w:t>
      </w:r>
      <w:r w:rsidR="0075472A">
        <w:t xml:space="preserve"> terms, rather than on the length of time it had taken until the payment was made. The proposed metrics could also be too onerous or costly to produce. Suggestions were made for alternative metrics, including reporting on </w:t>
      </w:r>
      <w:r w:rsidR="0075472A" w:rsidRPr="00BA4A26">
        <w:rPr>
          <w:b/>
        </w:rPr>
        <w:t>payments made within and beyond 60 days</w:t>
      </w:r>
      <w:r w:rsidR="0075472A">
        <w:t xml:space="preserve">, as per the payment terms outlined in the EU Late Payment Directive. </w:t>
      </w:r>
    </w:p>
    <w:p w:rsidR="00584880" w:rsidRDefault="00584880" w:rsidP="00584880">
      <w:r>
        <w:t xml:space="preserve">We had also asked whether reporting on these metrics ought to be by </w:t>
      </w:r>
      <w:r w:rsidRPr="0044756D">
        <w:rPr>
          <w:b/>
        </w:rPr>
        <w:t>proportion</w:t>
      </w:r>
      <w:r>
        <w:t xml:space="preserve">, </w:t>
      </w:r>
      <w:r w:rsidRPr="0044756D">
        <w:rPr>
          <w:b/>
        </w:rPr>
        <w:t>value</w:t>
      </w:r>
      <w:r>
        <w:t xml:space="preserve"> or </w:t>
      </w:r>
      <w:r w:rsidRPr="0044756D">
        <w:rPr>
          <w:b/>
        </w:rPr>
        <w:t>both</w:t>
      </w:r>
      <w:r>
        <w:t xml:space="preserve">. </w:t>
      </w:r>
      <w:r w:rsidR="00BF6C01">
        <w:t xml:space="preserve">Reporting on the </w:t>
      </w:r>
      <w:r w:rsidR="00BF6C01" w:rsidRPr="00B4107E">
        <w:rPr>
          <w:b/>
        </w:rPr>
        <w:t>proportion</w:t>
      </w:r>
      <w:r w:rsidR="00BF6C01">
        <w:t xml:space="preserve"> of invoiced paid beyond and in fixed terms received 19% and 10% respectively</w:t>
      </w:r>
      <w:r w:rsidR="00535B0B">
        <w:t>;</w:t>
      </w:r>
      <w:r w:rsidR="00BF6C01">
        <w:t xml:space="preserve"> the </w:t>
      </w:r>
      <w:r w:rsidR="00BF6C01" w:rsidRPr="00B4107E">
        <w:rPr>
          <w:b/>
        </w:rPr>
        <w:t>value</w:t>
      </w:r>
      <w:r w:rsidR="00BF6C01">
        <w:t xml:space="preserve"> 7% and 3%</w:t>
      </w:r>
      <w:r w:rsidR="00535B0B">
        <w:t>;</w:t>
      </w:r>
      <w:r w:rsidR="00BF6C01">
        <w:t xml:space="preserve"> and </w:t>
      </w:r>
      <w:r w:rsidR="00BF6C01" w:rsidRPr="00B4107E">
        <w:rPr>
          <w:b/>
        </w:rPr>
        <w:t>both</w:t>
      </w:r>
      <w:r w:rsidR="00BF6C01">
        <w:t xml:space="preserve"> </w:t>
      </w:r>
      <w:r w:rsidR="00755297">
        <w:t>36% and 25</w:t>
      </w:r>
      <w:r w:rsidR="00BF6C01">
        <w:t xml:space="preserve">%. </w:t>
      </w:r>
      <w:r w:rsidR="00755297">
        <w:t xml:space="preserve">Most </w:t>
      </w:r>
      <w:r>
        <w:t xml:space="preserve">respondents felt that, for clarity’s sake, firms ought to report on both the proportion and value. Some commented that reporting on just one of these would provide an incomplete picture and the data could be skewed to look more favourable. Conversely, some trade and professional bodies argued that reporting on both could potentially be too onerous and costly. </w:t>
      </w:r>
    </w:p>
    <w:p w:rsidR="00FB4A82" w:rsidRDefault="00FB4A82" w:rsidP="00FB4A82">
      <w:pPr>
        <w:pStyle w:val="Heading4"/>
      </w:pPr>
      <w:r>
        <w:t>Reporting on additional details</w:t>
      </w:r>
    </w:p>
    <w:p w:rsidR="00E20530" w:rsidRDefault="00E20530" w:rsidP="006813F2">
      <w:r>
        <w:t>We asked whether further aspects ought to be reported on, including</w:t>
      </w:r>
      <w:r w:rsidR="00535B0B">
        <w:t>:</w:t>
      </w:r>
    </w:p>
    <w:p w:rsidR="00E20530" w:rsidRDefault="00E20530" w:rsidP="00E20530">
      <w:pPr>
        <w:pStyle w:val="ListBullet"/>
        <w:tabs>
          <w:tab w:val="clear" w:pos="284"/>
          <w:tab w:val="num" w:pos="0"/>
        </w:tabs>
        <w:ind w:left="709" w:hanging="709"/>
      </w:pPr>
      <w:r w:rsidRPr="00E20530">
        <w:t xml:space="preserve">whether suppliers had been notified or consulted on </w:t>
      </w:r>
      <w:r>
        <w:t>any</w:t>
      </w:r>
      <w:r w:rsidRPr="00E20530">
        <w:t xml:space="preserve"> change</w:t>
      </w:r>
      <w:r>
        <w:t>s to their payment</w:t>
      </w:r>
      <w:r w:rsidRPr="00E20530">
        <w:t xml:space="preserve"> </w:t>
      </w:r>
      <w:r>
        <w:t xml:space="preserve">terms </w:t>
      </w:r>
      <w:r w:rsidRPr="00E20530">
        <w:t>in advance</w:t>
      </w:r>
      <w:r w:rsidR="00AA184A">
        <w:t xml:space="preserve">; </w:t>
      </w:r>
    </w:p>
    <w:p w:rsidR="004F1A03" w:rsidRDefault="004F1A03" w:rsidP="00E20530">
      <w:pPr>
        <w:pStyle w:val="ListBullet"/>
        <w:tabs>
          <w:tab w:val="clear" w:pos="284"/>
          <w:tab w:val="num" w:pos="0"/>
        </w:tabs>
        <w:ind w:left="709" w:hanging="709"/>
      </w:pPr>
      <w:r>
        <w:t>whether the report ought to include additional information, in narrative form, to explain some of the metrics</w:t>
      </w:r>
      <w:r w:rsidR="00C471BD">
        <w:t>;</w:t>
      </w:r>
    </w:p>
    <w:p w:rsidR="00C471BD" w:rsidRDefault="00C471BD" w:rsidP="00E20530">
      <w:pPr>
        <w:pStyle w:val="ListBullet"/>
        <w:tabs>
          <w:tab w:val="clear" w:pos="284"/>
          <w:tab w:val="num" w:pos="0"/>
        </w:tabs>
        <w:ind w:left="709" w:hanging="709"/>
      </w:pPr>
      <w:r>
        <w:t>whether a firm offered e-invoicing;</w:t>
      </w:r>
    </w:p>
    <w:p w:rsidR="00C471BD" w:rsidRDefault="00C471BD" w:rsidP="00E20530">
      <w:pPr>
        <w:pStyle w:val="ListBullet"/>
        <w:tabs>
          <w:tab w:val="clear" w:pos="284"/>
          <w:tab w:val="num" w:pos="0"/>
        </w:tabs>
        <w:ind w:left="709" w:hanging="709"/>
      </w:pPr>
      <w:r>
        <w:t>whether a firm offered supply chain finance; and</w:t>
      </w:r>
    </w:p>
    <w:p w:rsidR="00C471BD" w:rsidRDefault="00C471BD" w:rsidP="00E20530">
      <w:pPr>
        <w:pStyle w:val="ListBullet"/>
        <w:tabs>
          <w:tab w:val="clear" w:pos="284"/>
          <w:tab w:val="num" w:pos="0"/>
        </w:tabs>
        <w:ind w:left="709" w:hanging="709"/>
      </w:pPr>
      <w:r>
        <w:t>whether a firm was signed up to a voluntary payment code.</w:t>
      </w:r>
    </w:p>
    <w:p w:rsidR="00FB4A82" w:rsidRDefault="00D06AC7" w:rsidP="00A925F6">
      <w:r>
        <w:t xml:space="preserve">32% </w:t>
      </w:r>
      <w:r w:rsidR="000E41D0">
        <w:t xml:space="preserve">were supportive of including information on whether suppliers where </w:t>
      </w:r>
      <w:r w:rsidR="000E41D0" w:rsidRPr="00BA4A26">
        <w:rPr>
          <w:b/>
        </w:rPr>
        <w:t xml:space="preserve">notified or </w:t>
      </w:r>
      <w:r w:rsidR="00584880" w:rsidRPr="00BA4A26">
        <w:rPr>
          <w:b/>
        </w:rPr>
        <w:t xml:space="preserve">consulted </w:t>
      </w:r>
      <w:r w:rsidR="000E41D0" w:rsidRPr="00BA4A26">
        <w:rPr>
          <w:b/>
        </w:rPr>
        <w:t>on changes to their payment terms</w:t>
      </w:r>
      <w:r>
        <w:rPr>
          <w:b/>
        </w:rPr>
        <w:t xml:space="preserve"> </w:t>
      </w:r>
      <w:r>
        <w:t xml:space="preserve">compared to 5% </w:t>
      </w:r>
      <w:r w:rsidR="00535B0B">
        <w:t xml:space="preserve">who were </w:t>
      </w:r>
      <w:r>
        <w:t>unsupportive of this</w:t>
      </w:r>
      <w:r w:rsidR="000E41D0">
        <w:t xml:space="preserve">. </w:t>
      </w:r>
      <w:r>
        <w:t>54%</w:t>
      </w:r>
      <w:r w:rsidR="000E41D0">
        <w:t xml:space="preserve"> of the responses received felt that </w:t>
      </w:r>
      <w:r w:rsidR="000E41D0" w:rsidRPr="00BA4A26">
        <w:rPr>
          <w:b/>
        </w:rPr>
        <w:t>additional narrative information</w:t>
      </w:r>
      <w:r w:rsidR="000E41D0">
        <w:t xml:space="preserve"> ought to be included to further explain the metrics, though </w:t>
      </w:r>
      <w:r w:rsidR="00CC05DF">
        <w:t>a few</w:t>
      </w:r>
      <w:r w:rsidR="000E41D0">
        <w:t xml:space="preserve"> suggested this ought to be optional. </w:t>
      </w:r>
      <w:r w:rsidR="00240CBA">
        <w:t>10% were against this measure.</w:t>
      </w:r>
    </w:p>
    <w:p w:rsidR="00C471BD" w:rsidRDefault="00C471BD" w:rsidP="00C471BD">
      <w:r>
        <w:t xml:space="preserve">Reporting on </w:t>
      </w:r>
      <w:r w:rsidRPr="00C157FC">
        <w:rPr>
          <w:b/>
        </w:rPr>
        <w:t>e-invoicing</w:t>
      </w:r>
      <w:r>
        <w:t xml:space="preserve"> and </w:t>
      </w:r>
      <w:r w:rsidRPr="00C157FC">
        <w:rPr>
          <w:b/>
        </w:rPr>
        <w:t>supply chain finance</w:t>
      </w:r>
      <w:r>
        <w:t xml:space="preserve"> was supported by 56% and 47% respectively (compared to 10% against in both cases). Respondents further considered a </w:t>
      </w:r>
      <w:r w:rsidRPr="004735C2">
        <w:rPr>
          <w:b/>
        </w:rPr>
        <w:t>tick box</w:t>
      </w:r>
      <w:r>
        <w:t xml:space="preserve"> the better way to report on whether a firm offered e-invoicing and supply chain finance (29% and 19% respectively), though about three quarters did not respond to these questions. 62% agreed that being signed up to a </w:t>
      </w:r>
      <w:r w:rsidRPr="0097566D">
        <w:rPr>
          <w:b/>
        </w:rPr>
        <w:t>voluntary payment code</w:t>
      </w:r>
      <w:r w:rsidR="0097566D">
        <w:t>, such as the Prompt Payment Code,</w:t>
      </w:r>
      <w:r>
        <w:t xml:space="preserve"> should be included in the reporting requirement.</w:t>
      </w:r>
    </w:p>
    <w:p w:rsidR="00FB4A82" w:rsidRDefault="00FB4A82" w:rsidP="00FB4A82">
      <w:pPr>
        <w:pStyle w:val="Heading4"/>
      </w:pPr>
      <w:r>
        <w:t>Start the clock</w:t>
      </w:r>
    </w:p>
    <w:p w:rsidR="00E20530" w:rsidRDefault="00A925F6" w:rsidP="00A925F6">
      <w:r>
        <w:t xml:space="preserve">We </w:t>
      </w:r>
      <w:r w:rsidR="00584880">
        <w:t xml:space="preserve">sought views on the suggestion </w:t>
      </w:r>
      <w:r>
        <w:t xml:space="preserve">that there ought to be a common point at which the </w:t>
      </w:r>
      <w:r w:rsidRPr="00BA4A26">
        <w:rPr>
          <w:b/>
        </w:rPr>
        <w:t>clock starts</w:t>
      </w:r>
      <w:r>
        <w:t xml:space="preserve"> for invoice payments</w:t>
      </w:r>
      <w:r w:rsidR="00584880">
        <w:t xml:space="preserve">. We </w:t>
      </w:r>
      <w:r>
        <w:t xml:space="preserve">proposed the </w:t>
      </w:r>
      <w:r w:rsidRPr="00BA4A26">
        <w:rPr>
          <w:b/>
        </w:rPr>
        <w:t>date of invoice</w:t>
      </w:r>
      <w:r>
        <w:t xml:space="preserve"> as a suitable point. </w:t>
      </w:r>
    </w:p>
    <w:p w:rsidR="004F1A03" w:rsidRDefault="00CC05DF" w:rsidP="00A925F6">
      <w:r>
        <w:t>Almost</w:t>
      </w:r>
      <w:r w:rsidR="000E41D0">
        <w:t xml:space="preserve"> two thirds</w:t>
      </w:r>
      <w:r w:rsidR="00240CBA">
        <w:t xml:space="preserve"> (63%)</w:t>
      </w:r>
      <w:r w:rsidR="000E41D0">
        <w:t xml:space="preserve"> of the respondents were supportive of the reporting requirement specifying when the clock starts on the payment period. There were however</w:t>
      </w:r>
      <w:r w:rsidR="00535B0B">
        <w:t>,</w:t>
      </w:r>
      <w:r w:rsidR="000E41D0">
        <w:t xml:space="preserve"> many comments as to the date of invoice being a suitable starting point. Many </w:t>
      </w:r>
      <w:r w:rsidR="00FD2006">
        <w:t xml:space="preserve">felt that there were too many issues around how invoices are issued for this to be effective. In addition, date of invoice </w:t>
      </w:r>
      <w:r w:rsidR="00584880">
        <w:t xml:space="preserve">was felt </w:t>
      </w:r>
      <w:r w:rsidR="00FD2006">
        <w:t xml:space="preserve">not </w:t>
      </w:r>
      <w:r w:rsidR="00584880">
        <w:t xml:space="preserve">to </w:t>
      </w:r>
      <w:r w:rsidR="00FD2006">
        <w:t xml:space="preserve">take into consideration industry specific payment practices, in particular within the construction industry. </w:t>
      </w:r>
      <w:r w:rsidR="00240CBA">
        <w:t xml:space="preserve">39% were against using the date of invoice, compared to 29% in favour. </w:t>
      </w:r>
      <w:r w:rsidR="00FD2006">
        <w:t xml:space="preserve">The most cited alternative </w:t>
      </w:r>
      <w:r w:rsidR="006658AD">
        <w:t xml:space="preserve">for a start the clock point </w:t>
      </w:r>
      <w:r w:rsidR="00FD2006">
        <w:t xml:space="preserve">was the </w:t>
      </w:r>
      <w:r w:rsidR="00FD2006" w:rsidRPr="00BA4A26">
        <w:rPr>
          <w:b/>
        </w:rPr>
        <w:t>date of receipt</w:t>
      </w:r>
      <w:r w:rsidR="00584880">
        <w:t xml:space="preserve"> (by </w:t>
      </w:r>
      <w:r w:rsidR="00240CBA">
        <w:t>23% of</w:t>
      </w:r>
      <w:r w:rsidR="00584880">
        <w:t xml:space="preserve"> respondents)</w:t>
      </w:r>
      <w:r w:rsidR="006658AD">
        <w:t>.</w:t>
      </w:r>
    </w:p>
    <w:p w:rsidR="00282475" w:rsidRDefault="00282475" w:rsidP="00282475">
      <w:pPr>
        <w:pStyle w:val="Heading4"/>
      </w:pPr>
      <w:r>
        <w:t>Supplier lists</w:t>
      </w:r>
    </w:p>
    <w:p w:rsidR="00240CBA" w:rsidRPr="00240CBA" w:rsidRDefault="00E77908" w:rsidP="00240CBA">
      <w:r>
        <w:t>In the consultation document we stated that some stakeholders had</w:t>
      </w:r>
      <w:r w:rsidR="00240CBA" w:rsidRPr="00240CBA">
        <w:t xml:space="preserve"> recently expressed their concerns about the practice of a supplier having to pay to be put on or kept on a </w:t>
      </w:r>
      <w:r w:rsidR="00240CBA" w:rsidRPr="00CA1A8F">
        <w:rPr>
          <w:b/>
        </w:rPr>
        <w:t>‘preferred supplier’ list</w:t>
      </w:r>
      <w:r w:rsidR="00240CBA" w:rsidRPr="00240CBA">
        <w:t>. T</w:t>
      </w:r>
      <w:r>
        <w:t>hey had argued that this practice le</w:t>
      </w:r>
      <w:r w:rsidR="00240CBA" w:rsidRPr="00240CBA">
        <w:t xml:space="preserve">d to unfairness or also has potential implications on competition with larger firms having the greater potential to pay the upfront costs than smaller businesses. </w:t>
      </w:r>
      <w:r>
        <w:t>We asked for</w:t>
      </w:r>
      <w:r w:rsidR="00240CBA" w:rsidRPr="00240CBA">
        <w:t xml:space="preserve"> views on the practice, especially if this </w:t>
      </w:r>
      <w:r>
        <w:t xml:space="preserve">were </w:t>
      </w:r>
      <w:r w:rsidR="00240CBA" w:rsidRPr="00240CBA">
        <w:t xml:space="preserve">an area where Government </w:t>
      </w:r>
      <w:r>
        <w:t xml:space="preserve">could be seen to </w:t>
      </w:r>
      <w:r w:rsidR="00240CBA" w:rsidRPr="00240CBA">
        <w:t>hav</w:t>
      </w:r>
      <w:r>
        <w:t>e</w:t>
      </w:r>
      <w:r w:rsidR="00240CBA" w:rsidRPr="00240CBA">
        <w:t xml:space="preserve"> a role to play. </w:t>
      </w:r>
    </w:p>
    <w:p w:rsidR="00282475" w:rsidRDefault="006901B7" w:rsidP="00282475">
      <w:r>
        <w:t>Around two thirds of</w:t>
      </w:r>
      <w:r w:rsidR="00282475">
        <w:t xml:space="preserve"> respondents did not comment on either of these questions, often stating that they </w:t>
      </w:r>
      <w:r w:rsidR="00AA44EC">
        <w:t xml:space="preserve">felt this issue </w:t>
      </w:r>
      <w:r w:rsidR="00282475">
        <w:t>fell outside the scope of the consultation. Of those who did respond, the majority stated that they were concerned about “pay to stay” and similar practices</w:t>
      </w:r>
      <w:r>
        <w:t xml:space="preserve"> (19 </w:t>
      </w:r>
      <w:r w:rsidR="002C3B73">
        <w:t>“yes” versus 4 “no” responses)</w:t>
      </w:r>
      <w:r>
        <w:t>.</w:t>
      </w:r>
      <w:r w:rsidR="00282475">
        <w:t xml:space="preserve"> </w:t>
      </w:r>
      <w:r>
        <w:t>H</w:t>
      </w:r>
      <w:r w:rsidR="00282475">
        <w:t>owever</w:t>
      </w:r>
      <w:r w:rsidR="002C3B73">
        <w:t>,</w:t>
      </w:r>
      <w:r w:rsidR="00282475">
        <w:t xml:space="preserve"> </w:t>
      </w:r>
      <w:r w:rsidR="002C3B73">
        <w:t xml:space="preserve">in terms of </w:t>
      </w:r>
      <w:r w:rsidR="002C3B73" w:rsidRPr="00F37A9F">
        <w:rPr>
          <w:b/>
        </w:rPr>
        <w:t>Government intervention</w:t>
      </w:r>
      <w:r w:rsidR="002C3B73">
        <w:t xml:space="preserve">, the responses were less clear cut – 9 were in favour while 11 were not. </w:t>
      </w:r>
      <w:r w:rsidR="00AA44EC">
        <w:t xml:space="preserve">The minority that were in favour thought that the Government ought to </w:t>
      </w:r>
      <w:r w:rsidR="00E77908">
        <w:t>lead by example</w:t>
      </w:r>
      <w:r w:rsidR="009C4119">
        <w:t xml:space="preserve"> and</w:t>
      </w:r>
      <w:r w:rsidR="00E77908">
        <w:t xml:space="preserve"> not issue public contracts to those firms using these terms</w:t>
      </w:r>
      <w:r w:rsidR="009C4119">
        <w:t>, or</w:t>
      </w:r>
      <w:r w:rsidR="003A4F36">
        <w:t xml:space="preserve"> define supplier lists </w:t>
      </w:r>
      <w:r w:rsidR="009C4119">
        <w:t>and</w:t>
      </w:r>
      <w:r w:rsidR="003A4F36">
        <w:t xml:space="preserve"> label these terms as “grossly unfair”. Alternatively, Government could include these terms in a voluntary code of practice</w:t>
      </w:r>
      <w:r w:rsidR="00F37A9F">
        <w:t xml:space="preserve"> so that signatories will not use them. </w:t>
      </w:r>
    </w:p>
    <w:p w:rsidR="006658AD" w:rsidRPr="008D78D9" w:rsidRDefault="006658AD" w:rsidP="00D15B10">
      <w:pPr>
        <w:pStyle w:val="Heading4"/>
      </w:pPr>
    </w:p>
    <w:p w:rsidR="0069261E" w:rsidRPr="008D78D9" w:rsidRDefault="0069261E" w:rsidP="008D78D9">
      <w:pPr>
        <w:pStyle w:val="Heading3"/>
      </w:pPr>
      <w:bookmarkStart w:id="14" w:name="_Toc412532989"/>
      <w:r w:rsidRPr="008D78D9">
        <w:t>Dispute</w:t>
      </w:r>
      <w:r w:rsidR="001140A7">
        <w:t>s</w:t>
      </w:r>
      <w:bookmarkEnd w:id="14"/>
      <w:r w:rsidR="001140A7">
        <w:t xml:space="preserve"> </w:t>
      </w:r>
    </w:p>
    <w:p w:rsidR="0069261E" w:rsidRDefault="0069261E" w:rsidP="001140A7">
      <w:pPr>
        <w:pStyle w:val="Heading4"/>
      </w:pPr>
    </w:p>
    <w:p w:rsidR="00A16511" w:rsidRPr="00A16511" w:rsidRDefault="00A16511" w:rsidP="00A16511">
      <w:r>
        <w:t>This section covers questions 14-16 from the consultation.</w:t>
      </w:r>
    </w:p>
    <w:p w:rsidR="001140A7" w:rsidRDefault="00360393" w:rsidP="001140A7">
      <w:r>
        <w:t>Payment d</w:t>
      </w:r>
      <w:r w:rsidR="001140A7" w:rsidRPr="001140A7">
        <w:t xml:space="preserve">isputes are a standard practice among companies, especially where there are large quantities of transactions. Disputes can range from easily resolved reconciliations of invoice against supplied goods or services, to more complex and irreconcilable differences. </w:t>
      </w:r>
    </w:p>
    <w:p w:rsidR="00293557" w:rsidRDefault="00293557" w:rsidP="00293557">
      <w:pPr>
        <w:pStyle w:val="Heading4"/>
      </w:pPr>
      <w:r>
        <w:t>Disputes as a stalling tactic</w:t>
      </w:r>
    </w:p>
    <w:p w:rsidR="00293557" w:rsidRDefault="00293557" w:rsidP="00293557">
      <w:r>
        <w:t xml:space="preserve">We sought views on anecdotal feedback that disputing invoices is used as a stalling tactic to delay when payment needs to be made. A third of respondents </w:t>
      </w:r>
      <w:r w:rsidR="00F37A9F">
        <w:t xml:space="preserve">(34%) </w:t>
      </w:r>
      <w:r>
        <w:t>stated that they had experienced companies using disputes as a way of delaying payment</w:t>
      </w:r>
      <w:r w:rsidR="00C30F77">
        <w:t>, 17% had not</w:t>
      </w:r>
      <w:r>
        <w:t xml:space="preserve">. Respondents explained that disputes occur due to incomplete invoices or </w:t>
      </w:r>
      <w:r w:rsidR="00B4107E">
        <w:t>purchase orders (</w:t>
      </w:r>
      <w:r>
        <w:t>POs</w:t>
      </w:r>
      <w:r w:rsidR="00B4107E">
        <w:t>)</w:t>
      </w:r>
      <w:r>
        <w:t xml:space="preserve"> not being issued. Organisations outsourced to process invoices do not always communicate effectively with either the company or the supplier, especially if there is a problem with an invoice or payment, resulting in the problem not being resolved until investigated by either party. It was also felt that, rather than withholding the whole amount of the invoice, only the disputed amount should be withheld. </w:t>
      </w:r>
    </w:p>
    <w:p w:rsidR="00293557" w:rsidRDefault="00293557" w:rsidP="00293557">
      <w:r>
        <w:t xml:space="preserve">When asked whether </w:t>
      </w:r>
      <w:r w:rsidR="00184AA5">
        <w:t xml:space="preserve">there was a </w:t>
      </w:r>
      <w:r w:rsidR="00535B0B">
        <w:t xml:space="preserve">need </w:t>
      </w:r>
      <w:r w:rsidR="00184AA5">
        <w:t xml:space="preserve">for </w:t>
      </w:r>
      <w:r w:rsidRPr="00184AA5">
        <w:rPr>
          <w:b/>
        </w:rPr>
        <w:t xml:space="preserve">Government </w:t>
      </w:r>
      <w:r w:rsidR="00184AA5" w:rsidRPr="00184AA5">
        <w:rPr>
          <w:b/>
        </w:rPr>
        <w:t>intervention</w:t>
      </w:r>
      <w:r>
        <w:t xml:space="preserve">, most </w:t>
      </w:r>
      <w:r w:rsidR="00545B45">
        <w:t xml:space="preserve">(71%) </w:t>
      </w:r>
      <w:r>
        <w:t>did not respond. Of those who did, there was no significant difference in the numbers for and against Government intervention (16% in favour, 12% against). Some suggested that Government could do more to promote best practice and existing routes to resolve disputes.</w:t>
      </w:r>
      <w:r w:rsidR="00405843">
        <w:t xml:space="preserve"> A couple of respondents suggested further transposing the power from the EU Late Payment Directive to give representative bodies the power to challenge grossly unfair terms and practices</w:t>
      </w:r>
      <w:r w:rsidR="00405843">
        <w:rPr>
          <w:rStyle w:val="FootnoteReference"/>
        </w:rPr>
        <w:footnoteReference w:id="2"/>
      </w:r>
      <w:r w:rsidR="00405843">
        <w:t>, or to create a target average payment time. One further respondent suggested setting up an independent body to resolve disputes similar to ACAS.</w:t>
      </w:r>
    </w:p>
    <w:p w:rsidR="00045D20" w:rsidRPr="001140A7" w:rsidRDefault="00045D20" w:rsidP="00045D20">
      <w:pPr>
        <w:pStyle w:val="Heading4"/>
      </w:pPr>
      <w:r>
        <w:t>Definition</w:t>
      </w:r>
    </w:p>
    <w:p w:rsidR="00400763" w:rsidRDefault="00400763" w:rsidP="00400763">
      <w:r>
        <w:t xml:space="preserve">We asked whether Government should </w:t>
      </w:r>
      <w:r w:rsidRPr="00BA4A26">
        <w:rPr>
          <w:b/>
        </w:rPr>
        <w:t>define</w:t>
      </w:r>
      <w:r>
        <w:t xml:space="preserve"> disputed invoices for the purpose of the report. </w:t>
      </w:r>
      <w:r w:rsidR="00040B11">
        <w:t>5</w:t>
      </w:r>
      <w:r w:rsidR="00545B45">
        <w:t>1</w:t>
      </w:r>
      <w:r w:rsidR="00040B11">
        <w:t>% were in favour of a definition</w:t>
      </w:r>
      <w:r w:rsidR="00360393">
        <w:t xml:space="preserve"> and</w:t>
      </w:r>
      <w:r w:rsidR="004D366C">
        <w:t xml:space="preserve"> 15% </w:t>
      </w:r>
      <w:r w:rsidR="00360393">
        <w:t>opposed</w:t>
      </w:r>
      <w:r w:rsidR="00184AA5">
        <w:t xml:space="preserve"> to this proposal</w:t>
      </w:r>
      <w:r w:rsidR="006F6BC4">
        <w:t xml:space="preserve">. </w:t>
      </w:r>
      <w:r w:rsidR="004D366C">
        <w:t xml:space="preserve">There was some concern that disputes, when considering sector specific practices, were too complicated to summarise in a single definition. </w:t>
      </w:r>
      <w:r w:rsidR="006C038F">
        <w:t xml:space="preserve">A few </w:t>
      </w:r>
      <w:r w:rsidR="00360393">
        <w:t xml:space="preserve">respondents </w:t>
      </w:r>
      <w:r w:rsidR="006C038F">
        <w:t xml:space="preserve">suggested that guidance ought to be issued outlining when the clock starts, what constitutes a minor and a major dispute and how quickly they should be solved. It would be important to provide examples within the guidance. </w:t>
      </w:r>
    </w:p>
    <w:p w:rsidR="00DF5C09" w:rsidRDefault="00DF5C09" w:rsidP="007B4CE9">
      <w:pPr>
        <w:pStyle w:val="Heading4"/>
      </w:pPr>
      <w:r>
        <w:t>Quibble times</w:t>
      </w:r>
    </w:p>
    <w:p w:rsidR="00DF5C09" w:rsidRDefault="00DF5C09" w:rsidP="007B4CE9">
      <w:r>
        <w:t xml:space="preserve">Though not an official question in the </w:t>
      </w:r>
      <w:r w:rsidR="00360393">
        <w:t xml:space="preserve">written </w:t>
      </w:r>
      <w:r>
        <w:t>consultation</w:t>
      </w:r>
      <w:r w:rsidR="00360393">
        <w:t xml:space="preserve"> document</w:t>
      </w:r>
      <w:r>
        <w:t xml:space="preserve">, we </w:t>
      </w:r>
      <w:r w:rsidR="00360393">
        <w:t xml:space="preserve">specifically sought </w:t>
      </w:r>
      <w:r>
        <w:t xml:space="preserve">views </w:t>
      </w:r>
      <w:r w:rsidR="00360393">
        <w:t xml:space="preserve">in stakeholder meetings </w:t>
      </w:r>
      <w:r>
        <w:t xml:space="preserve">on how firms have experienced </w:t>
      </w:r>
      <w:r w:rsidR="007B4CE9">
        <w:t xml:space="preserve">the use of </w:t>
      </w:r>
      <w:r>
        <w:t>maximum quibble times</w:t>
      </w:r>
      <w:r w:rsidR="007B4CE9">
        <w:t xml:space="preserve"> before demanding interest on late payment</w:t>
      </w:r>
      <w:r>
        <w:t>. We received one written response to this</w:t>
      </w:r>
      <w:r w:rsidR="00360393">
        <w:t>,</w:t>
      </w:r>
      <w:r>
        <w:t xml:space="preserve"> </w:t>
      </w:r>
      <w:r w:rsidR="007B4CE9">
        <w:t xml:space="preserve">which stated that </w:t>
      </w:r>
      <w:r w:rsidR="007B4CE9" w:rsidRPr="007B4CE9">
        <w:t xml:space="preserve">few companies seek to exercise the rights provided by legislation, especially against larger companies, for fear of losing a customer or damaging the relationship. </w:t>
      </w:r>
      <w:r w:rsidR="00360393">
        <w:t xml:space="preserve">At </w:t>
      </w:r>
      <w:r w:rsidR="007B4CE9">
        <w:t>stakeholder meetings</w:t>
      </w:r>
      <w:r w:rsidR="00360393">
        <w:t xml:space="preserve"> themselves</w:t>
      </w:r>
      <w:r w:rsidR="007B4CE9">
        <w:t>, this experience was reiterated.</w:t>
      </w:r>
      <w:r>
        <w:t xml:space="preserve"> </w:t>
      </w:r>
      <w:r w:rsidR="007B4CE9">
        <w:t xml:space="preserve">One group felt more could be done on strengthening the maximum </w:t>
      </w:r>
      <w:r>
        <w:t>quibble time</w:t>
      </w:r>
      <w:r w:rsidR="00360393">
        <w:t>,</w:t>
      </w:r>
      <w:r w:rsidR="00CF63FE">
        <w:t xml:space="preserve"> and another suggested </w:t>
      </w:r>
      <w:r w:rsidR="004231E5">
        <w:rPr>
          <w:rFonts w:cs="Arial"/>
        </w:rPr>
        <w:t>having a named person</w:t>
      </w:r>
      <w:r w:rsidR="00CF63FE">
        <w:rPr>
          <w:rFonts w:cs="Arial"/>
        </w:rPr>
        <w:t xml:space="preserve"> (e.g. chief accountant or finance director) </w:t>
      </w:r>
      <w:r w:rsidR="00535B0B">
        <w:rPr>
          <w:rFonts w:cs="Arial"/>
        </w:rPr>
        <w:t>as</w:t>
      </w:r>
      <w:r w:rsidR="004231E5">
        <w:rPr>
          <w:rFonts w:cs="Arial"/>
        </w:rPr>
        <w:t xml:space="preserve"> the first point of contact for all disputes</w:t>
      </w:r>
      <w:r w:rsidR="00CF63FE">
        <w:rPr>
          <w:rFonts w:cs="Arial"/>
        </w:rPr>
        <w:t xml:space="preserve"> and</w:t>
      </w:r>
      <w:r w:rsidR="004231E5">
        <w:rPr>
          <w:rFonts w:cs="Arial"/>
        </w:rPr>
        <w:t xml:space="preserve"> </w:t>
      </w:r>
      <w:r w:rsidR="00CF63FE">
        <w:rPr>
          <w:rFonts w:cs="Arial"/>
        </w:rPr>
        <w:t xml:space="preserve">who should be held responsible or </w:t>
      </w:r>
      <w:r w:rsidR="004231E5">
        <w:rPr>
          <w:rFonts w:cs="Arial"/>
        </w:rPr>
        <w:t>accountable for resolving these.</w:t>
      </w:r>
    </w:p>
    <w:p w:rsidR="00045D20" w:rsidRPr="008D78D9" w:rsidRDefault="00C471BD" w:rsidP="00045D20">
      <w:pPr>
        <w:pStyle w:val="Heading4"/>
      </w:pPr>
      <w:r>
        <w:t>D</w:t>
      </w:r>
      <w:r w:rsidR="00293557">
        <w:t>ispute resolution processes</w:t>
      </w:r>
    </w:p>
    <w:p w:rsidR="00E30D42" w:rsidRDefault="001140A7" w:rsidP="00E30D42">
      <w:r>
        <w:t xml:space="preserve">We </w:t>
      </w:r>
      <w:r w:rsidR="00293557">
        <w:t xml:space="preserve">sought views on our suggestion </w:t>
      </w:r>
      <w:r>
        <w:t xml:space="preserve">that </w:t>
      </w:r>
      <w:r w:rsidR="003955D6">
        <w:t xml:space="preserve">firms outline their </w:t>
      </w:r>
      <w:r w:rsidR="003955D6" w:rsidRPr="00C157FC">
        <w:rPr>
          <w:b/>
        </w:rPr>
        <w:t>dispute resolution processes</w:t>
      </w:r>
      <w:r w:rsidR="00293557">
        <w:t xml:space="preserve"> in the payment reporting</w:t>
      </w:r>
      <w:r w:rsidR="00400763">
        <w:t>.</w:t>
      </w:r>
      <w:r w:rsidR="0017322B">
        <w:t xml:space="preserve"> </w:t>
      </w:r>
      <w:r w:rsidR="00E30D42">
        <w:t xml:space="preserve">In terms of the </w:t>
      </w:r>
      <w:r w:rsidR="00E30D42" w:rsidRPr="00184AA5">
        <w:t>disputes resolution processes</w:t>
      </w:r>
      <w:r w:rsidR="00E30D42">
        <w:t>, just over half (51%) were in favour of this</w:t>
      </w:r>
      <w:r w:rsidR="00535B0B">
        <w:t>,</w:t>
      </w:r>
      <w:r w:rsidR="00E30D42">
        <w:t xml:space="preserve"> 14% were against</w:t>
      </w:r>
      <w:r w:rsidR="00535B0B">
        <w:t>,</w:t>
      </w:r>
      <w:r w:rsidR="00E30D42">
        <w:t xml:space="preserve"> but it was suggested that a link to the process on a company’s website or supplier portal should be sufficient. </w:t>
      </w:r>
    </w:p>
    <w:p w:rsidR="007B4CE9" w:rsidRDefault="007B4CE9" w:rsidP="008D78D9">
      <w:pPr>
        <w:pStyle w:val="Heading3"/>
      </w:pPr>
    </w:p>
    <w:p w:rsidR="0069261E" w:rsidRPr="008D78D9" w:rsidRDefault="0069261E" w:rsidP="008D78D9">
      <w:pPr>
        <w:pStyle w:val="Heading3"/>
      </w:pPr>
      <w:bookmarkStart w:id="15" w:name="_Toc412532990"/>
      <w:r w:rsidRPr="008D78D9">
        <w:t>Frequency</w:t>
      </w:r>
      <w:bookmarkEnd w:id="15"/>
      <w:r w:rsidR="00711F68">
        <w:t xml:space="preserve"> </w:t>
      </w:r>
    </w:p>
    <w:p w:rsidR="0069261E" w:rsidRDefault="0069261E" w:rsidP="00D15B10">
      <w:pPr>
        <w:pStyle w:val="Heading4"/>
      </w:pPr>
    </w:p>
    <w:p w:rsidR="00A16511" w:rsidRPr="00A16511" w:rsidRDefault="00A16511" w:rsidP="00A16511">
      <w:r>
        <w:t>This section covers questions 22-24 from the consultation.</w:t>
      </w:r>
    </w:p>
    <w:p w:rsidR="00FA0901" w:rsidRDefault="00FA0901" w:rsidP="00FA0901">
      <w:r>
        <w:t>W</w:t>
      </w:r>
      <w:r w:rsidRPr="00FA0901">
        <w:t>e propose</w:t>
      </w:r>
      <w:r>
        <w:t>d</w:t>
      </w:r>
      <w:r w:rsidRPr="00FA0901">
        <w:t xml:space="preserve"> to </w:t>
      </w:r>
      <w:r w:rsidR="00420BCA">
        <w:t xml:space="preserve">oblige companies to </w:t>
      </w:r>
      <w:r w:rsidRPr="00FA0901">
        <w:t>report at four points in the year. Rather than prescribing a fixed date when all companies need</w:t>
      </w:r>
      <w:r w:rsidR="00C157FC">
        <w:t>ed</w:t>
      </w:r>
      <w:r w:rsidRPr="00FA0901">
        <w:t xml:space="preserve"> to report, we propose</w:t>
      </w:r>
      <w:r>
        <w:t>d</w:t>
      </w:r>
      <w:r w:rsidRPr="00FA0901">
        <w:t xml:space="preserve"> instead that companies’ publication dates be aligned with their financial year. Specifically, we propose</w:t>
      </w:r>
      <w:r w:rsidR="00420BCA">
        <w:t>d</w:t>
      </w:r>
      <w:r w:rsidRPr="00FA0901">
        <w:t xml:space="preserve"> that the firms </w:t>
      </w:r>
      <w:r w:rsidR="00420BCA">
        <w:t xml:space="preserve">should be </w:t>
      </w:r>
      <w:r w:rsidRPr="00FA0901">
        <w:t xml:space="preserve">required to publish their prompt payment reports 30 days after the end of the quarter. </w:t>
      </w:r>
    </w:p>
    <w:p w:rsidR="00FA0901" w:rsidRDefault="00DB67A1" w:rsidP="00FA0901">
      <w:r>
        <w:t xml:space="preserve">Almost half </w:t>
      </w:r>
      <w:r w:rsidR="004735C2">
        <w:t xml:space="preserve">(41%) were against </w:t>
      </w:r>
      <w:r w:rsidR="004735C2" w:rsidRPr="00293F62">
        <w:rPr>
          <w:b/>
        </w:rPr>
        <w:t>quarterly reporting</w:t>
      </w:r>
      <w:r w:rsidR="004735C2">
        <w:t xml:space="preserve"> (compared to 29% in favour), with 27</w:t>
      </w:r>
      <w:r w:rsidR="00FA0901">
        <w:t xml:space="preserve"> </w:t>
      </w:r>
      <w:r w:rsidR="004735C2">
        <w:t>commenting</w:t>
      </w:r>
      <w:r>
        <w:t xml:space="preserve"> </w:t>
      </w:r>
      <w:r w:rsidR="00FA0901">
        <w:t xml:space="preserve">that quarterly reporting was too onerous, costly and disproportionate for what </w:t>
      </w:r>
      <w:r w:rsidR="005702E4">
        <w:t xml:space="preserve">this reporting requirement </w:t>
      </w:r>
      <w:r w:rsidR="00FA0901">
        <w:t xml:space="preserve">was trying to achieve. </w:t>
      </w:r>
      <w:r>
        <w:t>11</w:t>
      </w:r>
      <w:r w:rsidR="00FA0901">
        <w:t xml:space="preserve"> felt that information would change very little from one report to another</w:t>
      </w:r>
      <w:r w:rsidR="004561F6">
        <w:t>.</w:t>
      </w:r>
      <w:r w:rsidR="00FA0901">
        <w:t xml:space="preserve"> </w:t>
      </w:r>
      <w:r w:rsidR="004561F6">
        <w:t xml:space="preserve">Consequently </w:t>
      </w:r>
      <w:r w:rsidR="00271E99">
        <w:t xml:space="preserve">annual </w:t>
      </w:r>
      <w:r w:rsidR="004561F6">
        <w:t>(</w:t>
      </w:r>
      <w:r w:rsidR="005702E4">
        <w:t>36% of respondents</w:t>
      </w:r>
      <w:r w:rsidR="004561F6">
        <w:t xml:space="preserve">) </w:t>
      </w:r>
      <w:r w:rsidR="00271E99">
        <w:t>or possibl</w:t>
      </w:r>
      <w:r w:rsidR="00535B0B">
        <w:t>y</w:t>
      </w:r>
      <w:r w:rsidR="00271E99">
        <w:t xml:space="preserve"> 6 monthly reports </w:t>
      </w:r>
      <w:r w:rsidR="004561F6">
        <w:t>(</w:t>
      </w:r>
      <w:r w:rsidR="005702E4">
        <w:t>12%</w:t>
      </w:r>
      <w:r w:rsidR="004561F6">
        <w:t>) were considered to</w:t>
      </w:r>
      <w:r w:rsidR="00271E99">
        <w:t xml:space="preserve"> be more appropriate. There was also a call for the report to be </w:t>
      </w:r>
      <w:r w:rsidR="004561F6">
        <w:t xml:space="preserve">part of the </w:t>
      </w:r>
      <w:r w:rsidR="003647EF">
        <w:t>annual report</w:t>
      </w:r>
      <w:r w:rsidR="004561F6">
        <w:t xml:space="preserve"> so that it could be </w:t>
      </w:r>
      <w:r w:rsidR="00271E99">
        <w:t xml:space="preserve">audited </w:t>
      </w:r>
      <w:r w:rsidR="004561F6">
        <w:t xml:space="preserve">for </w:t>
      </w:r>
      <w:r w:rsidR="00271E99">
        <w:t xml:space="preserve">accuracy. </w:t>
      </w:r>
    </w:p>
    <w:p w:rsidR="00271E99" w:rsidRDefault="001712E7" w:rsidP="00FA0901">
      <w:r>
        <w:t xml:space="preserve">On the question of publication date, </w:t>
      </w:r>
      <w:r w:rsidR="00622ADE">
        <w:t xml:space="preserve">61% </w:t>
      </w:r>
      <w:r w:rsidR="00271E99">
        <w:t xml:space="preserve">did not respond to the question </w:t>
      </w:r>
      <w:r w:rsidR="00535B0B">
        <w:t>on</w:t>
      </w:r>
      <w:r w:rsidR="00271E99">
        <w:t xml:space="preserve"> whether </w:t>
      </w:r>
      <w:r>
        <w:t xml:space="preserve">to </w:t>
      </w:r>
      <w:r w:rsidR="00271E99" w:rsidRPr="00C157FC">
        <w:rPr>
          <w:b/>
        </w:rPr>
        <w:t xml:space="preserve">publish the report 30 days after the </w:t>
      </w:r>
      <w:r w:rsidRPr="00C157FC">
        <w:rPr>
          <w:b/>
        </w:rPr>
        <w:t>end of the quarter</w:t>
      </w:r>
      <w:r w:rsidR="00271E99">
        <w:t>. Of those who did respond</w:t>
      </w:r>
      <w:r>
        <w:t>,</w:t>
      </w:r>
      <w:r w:rsidR="009F702D">
        <w:t xml:space="preserve"> slightly more felt this was not an appropriate period of time (29%) than those who felt this was appropriate (19%)</w:t>
      </w:r>
      <w:r>
        <w:t>.</w:t>
      </w:r>
      <w:r w:rsidR="00622ADE">
        <w:t xml:space="preserve"> </w:t>
      </w:r>
      <w:r>
        <w:t xml:space="preserve">Of the who did not think it appropriate, </w:t>
      </w:r>
      <w:r w:rsidR="009F702D">
        <w:t xml:space="preserve">the majority </w:t>
      </w:r>
      <w:r>
        <w:t xml:space="preserve">argued </w:t>
      </w:r>
      <w:r w:rsidR="0027372E">
        <w:t xml:space="preserve">that 30 days was too short a time and </w:t>
      </w:r>
      <w:r w:rsidR="00622ADE">
        <w:t xml:space="preserve">advocated </w:t>
      </w:r>
      <w:r w:rsidR="0027372E">
        <w:t xml:space="preserve">a longer time period especially if the report </w:t>
      </w:r>
      <w:r>
        <w:t xml:space="preserve">was </w:t>
      </w:r>
      <w:r w:rsidR="0027372E">
        <w:t xml:space="preserve">to be audited. </w:t>
      </w:r>
      <w:r w:rsidR="00995550">
        <w:t>5</w:t>
      </w:r>
      <w:r w:rsidR="00622ADE">
        <w:t xml:space="preserve"> </w:t>
      </w:r>
      <w:r>
        <w:t xml:space="preserve">respondents </w:t>
      </w:r>
      <w:r w:rsidR="00622ADE">
        <w:t xml:space="preserve">also suggested </w:t>
      </w:r>
      <w:r w:rsidR="00995550">
        <w:t xml:space="preserve">the length of time given to preparing the report </w:t>
      </w:r>
      <w:r w:rsidR="00622ADE">
        <w:t>ought to be the same as</w:t>
      </w:r>
      <w:r w:rsidR="00995550">
        <w:t xml:space="preserve"> for</w:t>
      </w:r>
      <w:r w:rsidR="00622ADE">
        <w:t xml:space="preserve"> corporate financial reports.</w:t>
      </w:r>
      <w:r w:rsidR="00995550">
        <w:t xml:space="preserve"> Other suggestions ranged from 45 to 60+ days.</w:t>
      </w:r>
    </w:p>
    <w:p w:rsidR="0027372E" w:rsidRDefault="0027372E" w:rsidP="00FA0901">
      <w:r>
        <w:t>Just over half</w:t>
      </w:r>
      <w:r w:rsidR="005702E4">
        <w:t xml:space="preserve"> (53%)</w:t>
      </w:r>
      <w:r>
        <w:t xml:space="preserve"> the respondents agreed that the reporting dates should be </w:t>
      </w:r>
      <w:r w:rsidRPr="00995550">
        <w:rPr>
          <w:b/>
        </w:rPr>
        <w:t>aligned with the financial reporting cycle</w:t>
      </w:r>
      <w:r w:rsidR="00622ADE">
        <w:t>, compared to 5% who did not agree</w:t>
      </w:r>
      <w:r>
        <w:t xml:space="preserve">. </w:t>
      </w:r>
    </w:p>
    <w:p w:rsidR="0027372E" w:rsidRPr="00FA0901" w:rsidRDefault="0027372E" w:rsidP="0027372E">
      <w:pPr>
        <w:pStyle w:val="Heading4"/>
      </w:pPr>
    </w:p>
    <w:p w:rsidR="0069261E" w:rsidRPr="008D78D9" w:rsidRDefault="0076645F" w:rsidP="00FA0901">
      <w:pPr>
        <w:pStyle w:val="Heading3"/>
      </w:pPr>
      <w:bookmarkStart w:id="16" w:name="_Toc412532991"/>
      <w:r>
        <w:t>Form and l</w:t>
      </w:r>
      <w:r w:rsidR="0069261E" w:rsidRPr="008D78D9">
        <w:t>ocation</w:t>
      </w:r>
      <w:bookmarkEnd w:id="16"/>
    </w:p>
    <w:p w:rsidR="0069261E" w:rsidRDefault="0069261E" w:rsidP="0027372E">
      <w:pPr>
        <w:pStyle w:val="Heading4"/>
      </w:pPr>
    </w:p>
    <w:p w:rsidR="00A16511" w:rsidRPr="00A16511" w:rsidRDefault="00A16511" w:rsidP="00A16511">
      <w:r>
        <w:t>This section covers questions 25-29 from the consultation.</w:t>
      </w:r>
    </w:p>
    <w:p w:rsidR="00045D20" w:rsidRDefault="00045D20" w:rsidP="00045D20">
      <w:pPr>
        <w:pStyle w:val="Heading4"/>
      </w:pPr>
      <w:r>
        <w:t>Director sign off</w:t>
      </w:r>
    </w:p>
    <w:p w:rsidR="00182933" w:rsidRDefault="00182933" w:rsidP="00182933">
      <w:r>
        <w:t xml:space="preserve">When asked whether a </w:t>
      </w:r>
      <w:r w:rsidRPr="00B15C3E">
        <w:rPr>
          <w:b/>
        </w:rPr>
        <w:t>company director</w:t>
      </w:r>
      <w:r>
        <w:t xml:space="preserve"> should be responsible for signing off the report, half </w:t>
      </w:r>
      <w:r w:rsidR="005702E4">
        <w:t xml:space="preserve">(51%) </w:t>
      </w:r>
      <w:r w:rsidR="00F71D1D">
        <w:t>of the respondents agreed, 10% did not.</w:t>
      </w:r>
      <w:r>
        <w:t xml:space="preserve"> </w:t>
      </w:r>
      <w:r w:rsidR="0076645F">
        <w:t>4</w:t>
      </w:r>
      <w:r w:rsidR="0011110A">
        <w:t xml:space="preserve"> respondents felt that there the sign off process should be the same as for the annual reports, annual accounts and other financial information, especially as these</w:t>
      </w:r>
      <w:r w:rsidR="00535B0B">
        <w:t xml:space="preserve"> are</w:t>
      </w:r>
      <w:r w:rsidR="0011110A">
        <w:t xml:space="preserve"> filed at Companies House</w:t>
      </w:r>
      <w:r>
        <w:t>.</w:t>
      </w:r>
      <w:r w:rsidR="0011110A">
        <w:t xml:space="preserve"> As this reporting requirement is not filed there, director sign off would not be appropriate. A further </w:t>
      </w:r>
      <w:r w:rsidR="0076645F">
        <w:t>4</w:t>
      </w:r>
      <w:r w:rsidR="0011110A">
        <w:t xml:space="preserve"> suggested that it should be at the company’s discretion who signs off the report, this could be the finance director or another senior manager</w:t>
      </w:r>
      <w:r w:rsidR="00535B0B">
        <w:t>, for example</w:t>
      </w:r>
      <w:r w:rsidR="0011110A">
        <w:t xml:space="preserve">. </w:t>
      </w:r>
      <w:r>
        <w:t xml:space="preserve"> </w:t>
      </w:r>
      <w:r w:rsidR="0076645F">
        <w:t>2</w:t>
      </w:r>
      <w:r w:rsidR="0011110A">
        <w:t xml:space="preserve"> suggested that the report could be audited.</w:t>
      </w:r>
    </w:p>
    <w:p w:rsidR="00045D20" w:rsidRDefault="00045D20" w:rsidP="00045D20">
      <w:pPr>
        <w:pStyle w:val="Heading4"/>
      </w:pPr>
      <w:r>
        <w:t>Open data principles</w:t>
      </w:r>
    </w:p>
    <w:p w:rsidR="0027372E" w:rsidRDefault="009C1F4A" w:rsidP="006813F2">
      <w:r>
        <w:t xml:space="preserve">We proposed that the report should be consistent with </w:t>
      </w:r>
      <w:r w:rsidRPr="00B15C3E">
        <w:rPr>
          <w:b/>
        </w:rPr>
        <w:t>open data principles</w:t>
      </w:r>
      <w:r>
        <w:t xml:space="preserve">, and asked what we could do to make the </w:t>
      </w:r>
      <w:r w:rsidR="005F505F">
        <w:t>data as accessible and useful as possible.</w:t>
      </w:r>
      <w:r w:rsidR="007A03BE">
        <w:t xml:space="preserve"> </w:t>
      </w:r>
      <w:r w:rsidR="00CA03FF">
        <w:t xml:space="preserve">75% </w:t>
      </w:r>
      <w:r w:rsidR="00310590">
        <w:t xml:space="preserve">of respondents </w:t>
      </w:r>
      <w:r w:rsidR="00CA03FF">
        <w:t xml:space="preserve">did not </w:t>
      </w:r>
      <w:r w:rsidR="00310590">
        <w:t>answer. O</w:t>
      </w:r>
      <w:r w:rsidR="00CA03FF">
        <w:t xml:space="preserve">f those who did, the majority </w:t>
      </w:r>
      <w:r w:rsidR="007A03BE">
        <w:t>agreed that the principles of open data should be followed</w:t>
      </w:r>
      <w:r w:rsidR="00CA03FF">
        <w:t xml:space="preserve"> (14 in favour compared to 1 against)</w:t>
      </w:r>
      <w:r w:rsidR="007A03BE">
        <w:t xml:space="preserve">, i.e. a simple standardised format which is easily accessible at no or low cost. </w:t>
      </w:r>
      <w:r w:rsidR="00310590">
        <w:t xml:space="preserve">Some </w:t>
      </w:r>
      <w:r w:rsidR="007A03BE">
        <w:t xml:space="preserve">suggested that the </w:t>
      </w:r>
      <w:r w:rsidR="007A03BE" w:rsidRPr="00B15C3E">
        <w:rPr>
          <w:b/>
        </w:rPr>
        <w:t>availability of the reports should be widely publicised</w:t>
      </w:r>
      <w:r w:rsidR="007A03BE">
        <w:t xml:space="preserve"> and be </w:t>
      </w:r>
      <w:r w:rsidR="007A03BE" w:rsidRPr="00B15C3E">
        <w:rPr>
          <w:b/>
        </w:rPr>
        <w:t>accessible via a number of routes</w:t>
      </w:r>
      <w:r w:rsidR="007A03BE">
        <w:t>, e.g. via the Companies House, the Prompt Payment Code</w:t>
      </w:r>
      <w:r w:rsidR="00CA03FF">
        <w:t>,</w:t>
      </w:r>
      <w:r w:rsidR="00750CF6">
        <w:t xml:space="preserve"> or</w:t>
      </w:r>
      <w:r w:rsidR="007A03BE">
        <w:t xml:space="preserve"> a firm’s websites</w:t>
      </w:r>
      <w:r w:rsidR="00CA03FF">
        <w:t>, credit reference agencies and gov.uk</w:t>
      </w:r>
      <w:r w:rsidR="00801827">
        <w:t>, or via a single portal with a ranking system (though others did not like the idea of this)</w:t>
      </w:r>
      <w:r w:rsidR="007A03BE">
        <w:t xml:space="preserve">. </w:t>
      </w:r>
    </w:p>
    <w:p w:rsidR="00045D20" w:rsidRDefault="00045D20" w:rsidP="00045D20">
      <w:pPr>
        <w:pStyle w:val="Heading4"/>
      </w:pPr>
      <w:r>
        <w:t>Publishing the report</w:t>
      </w:r>
    </w:p>
    <w:p w:rsidR="00182933" w:rsidRPr="00182933" w:rsidRDefault="00182933" w:rsidP="00182933">
      <w:r w:rsidRPr="00182933">
        <w:t xml:space="preserve">We </w:t>
      </w:r>
      <w:r>
        <w:t>suggested</w:t>
      </w:r>
      <w:r w:rsidRPr="00182933">
        <w:t xml:space="preserve"> that a business should be required to provide</w:t>
      </w:r>
      <w:r w:rsidR="00801827">
        <w:t xml:space="preserve"> their report on their company</w:t>
      </w:r>
      <w:r w:rsidRPr="00182933">
        <w:t>’</w:t>
      </w:r>
      <w:r w:rsidR="00801827">
        <w:t>s</w:t>
      </w:r>
      <w:r w:rsidRPr="00182933">
        <w:t xml:space="preserve"> website, where they have </w:t>
      </w:r>
      <w:r w:rsidR="00801827">
        <w:t>one</w:t>
      </w:r>
      <w:r w:rsidRPr="00182933">
        <w:t xml:space="preserve">. Where companies do not have </w:t>
      </w:r>
      <w:r w:rsidR="00750CF6">
        <w:t xml:space="preserve">a </w:t>
      </w:r>
      <w:r w:rsidRPr="00182933">
        <w:t>website, we suggest</w:t>
      </w:r>
      <w:r w:rsidR="00EB6CFD">
        <w:t>ed</w:t>
      </w:r>
      <w:r w:rsidRPr="00182933">
        <w:t xml:space="preserve"> that they should publish their report on an official public records website, such as The Gazette. </w:t>
      </w:r>
    </w:p>
    <w:p w:rsidR="00720C30" w:rsidRDefault="00EB6CFD" w:rsidP="006813F2">
      <w:r>
        <w:t xml:space="preserve">A third of respondents </w:t>
      </w:r>
      <w:r w:rsidR="00C4789F">
        <w:t xml:space="preserve">(32%) </w:t>
      </w:r>
      <w:r>
        <w:t xml:space="preserve">agreed that the report should be </w:t>
      </w:r>
      <w:r w:rsidRPr="003569A0">
        <w:rPr>
          <w:b/>
        </w:rPr>
        <w:t>published on a company website</w:t>
      </w:r>
      <w:r w:rsidR="00C4789F">
        <w:t xml:space="preserve"> </w:t>
      </w:r>
      <w:r w:rsidR="003569A0">
        <w:t>instead of in a company’s annual accounts</w:t>
      </w:r>
      <w:r w:rsidR="00750CF6">
        <w:t>,</w:t>
      </w:r>
      <w:r w:rsidR="003569A0">
        <w:t xml:space="preserve"> </w:t>
      </w:r>
      <w:r w:rsidR="00C4789F">
        <w:t xml:space="preserve">with only </w:t>
      </w:r>
      <w:r w:rsidR="003569A0">
        <w:t>10</w:t>
      </w:r>
      <w:r w:rsidR="00C4789F">
        <w:t>% disagreeing</w:t>
      </w:r>
      <w:r w:rsidR="00310590">
        <w:t xml:space="preserve">. </w:t>
      </w:r>
      <w:r w:rsidR="00720C30">
        <w:t>15% agreed that this should be published alongside a company’s annual account</w:t>
      </w:r>
      <w:r w:rsidR="00750CF6">
        <w:t>,</w:t>
      </w:r>
      <w:r w:rsidR="00720C30">
        <w:t xml:space="preserve"> 5% disagreed. S</w:t>
      </w:r>
      <w:r>
        <w:t xml:space="preserve">ome pointed out that it would be easy to </w:t>
      </w:r>
      <w:r w:rsidR="00310590">
        <w:t xml:space="preserve">hide </w:t>
      </w:r>
      <w:r>
        <w:t xml:space="preserve">the report in a not easily traceable part of the website, making the data less transparent and more difficult to police. </w:t>
      </w:r>
      <w:r w:rsidR="003569A0">
        <w:t xml:space="preserve">10 respondents said the report should be included on </w:t>
      </w:r>
      <w:r w:rsidR="003569A0" w:rsidRPr="00720C30">
        <w:rPr>
          <w:i/>
        </w:rPr>
        <w:t>both</w:t>
      </w:r>
      <w:r w:rsidR="003569A0">
        <w:t xml:space="preserve"> the website and in the annual report or accounts and a further 7 said it should </w:t>
      </w:r>
      <w:r w:rsidR="003569A0" w:rsidRPr="00720C30">
        <w:rPr>
          <w:i/>
        </w:rPr>
        <w:t>only</w:t>
      </w:r>
      <w:r w:rsidR="003569A0">
        <w:t xml:space="preserve"> be included in the annual report or the annual accounts</w:t>
      </w:r>
      <w:r w:rsidR="00616B8D">
        <w:t xml:space="preserve">. </w:t>
      </w:r>
    </w:p>
    <w:p w:rsidR="00616B8D" w:rsidRDefault="00616B8D" w:rsidP="006813F2">
      <w:r>
        <w:t xml:space="preserve">The </w:t>
      </w:r>
      <w:r w:rsidRPr="003569A0">
        <w:rPr>
          <w:b/>
        </w:rPr>
        <w:t>Gazette</w:t>
      </w:r>
      <w:r>
        <w:t xml:space="preserve"> was generally not considered to be a suitable location for the reports for companies without a website</w:t>
      </w:r>
      <w:r w:rsidR="00801827">
        <w:t xml:space="preserve"> (</w:t>
      </w:r>
      <w:r w:rsidR="00300ADE">
        <w:t>22% against compared to 8% in favour)</w:t>
      </w:r>
      <w:r>
        <w:t>, in fact, some respondents considered it unlikely that the companies in scope of the reporting requirement would not have a website</w:t>
      </w:r>
      <w:r w:rsidR="00310590">
        <w:t>, given their (large) size</w:t>
      </w:r>
      <w:r>
        <w:t xml:space="preserve">. </w:t>
      </w:r>
      <w:r w:rsidR="003569A0">
        <w:t>A few r</w:t>
      </w:r>
      <w:r w:rsidR="006C48A2">
        <w:t>espondents thought a suitable alternative was via Companies House</w:t>
      </w:r>
      <w:r w:rsidR="00750CF6">
        <w:t>;</w:t>
      </w:r>
      <w:r w:rsidR="006C48A2">
        <w:t xml:space="preserve"> </w:t>
      </w:r>
      <w:r w:rsidR="00941AB3">
        <w:t>the corporate</w:t>
      </w:r>
      <w:r w:rsidR="006C48A2">
        <w:t xml:space="preserve"> website</w:t>
      </w:r>
      <w:r w:rsidR="00750CF6">
        <w:t>;</w:t>
      </w:r>
      <w:r w:rsidR="006C48A2">
        <w:t xml:space="preserve"> or as part of the annual report.</w:t>
      </w:r>
    </w:p>
    <w:p w:rsidR="005F505F" w:rsidRDefault="006C48A2" w:rsidP="006813F2">
      <w:r>
        <w:t xml:space="preserve">In the roundtable discussions, we </w:t>
      </w:r>
      <w:r w:rsidR="00310590">
        <w:t xml:space="preserve">also asked </w:t>
      </w:r>
      <w:r>
        <w:t xml:space="preserve">attendees </w:t>
      </w:r>
      <w:r w:rsidR="00310590">
        <w:t xml:space="preserve">about the option of pursuing </w:t>
      </w:r>
      <w:r>
        <w:t xml:space="preserve">a single online portal where all reports should be available. </w:t>
      </w:r>
      <w:r w:rsidR="00750CF6">
        <w:t xml:space="preserve">4 </w:t>
      </w:r>
      <w:r w:rsidR="00EB6CFD">
        <w:t xml:space="preserve">respondents </w:t>
      </w:r>
      <w:r>
        <w:t>picked up on this in their responses</w:t>
      </w:r>
      <w:r w:rsidR="00285BB9">
        <w:t xml:space="preserve"> </w:t>
      </w:r>
      <w:r w:rsidR="00750CF6">
        <w:t xml:space="preserve">and expressed </w:t>
      </w:r>
      <w:r w:rsidR="00285BB9">
        <w:t xml:space="preserve">support </w:t>
      </w:r>
      <w:r w:rsidR="00750CF6">
        <w:t xml:space="preserve">for </w:t>
      </w:r>
      <w:r w:rsidR="00285BB9">
        <w:t>this idea, though one further respondent opposed this</w:t>
      </w:r>
      <w:r w:rsidR="00616B8D">
        <w:t xml:space="preserve">. </w:t>
      </w:r>
    </w:p>
    <w:p w:rsidR="00CE0625" w:rsidRPr="008D78D9" w:rsidRDefault="00CE0625" w:rsidP="00CE0625">
      <w:pPr>
        <w:pStyle w:val="Heading4"/>
      </w:pPr>
    </w:p>
    <w:p w:rsidR="0069261E" w:rsidRPr="008D78D9" w:rsidRDefault="0069261E" w:rsidP="008D78D9">
      <w:pPr>
        <w:pStyle w:val="Heading3"/>
      </w:pPr>
      <w:bookmarkStart w:id="17" w:name="_Toc412532992"/>
      <w:r w:rsidRPr="008D78D9">
        <w:t>Enforcement</w:t>
      </w:r>
      <w:bookmarkEnd w:id="17"/>
      <w:r w:rsidR="00711F68">
        <w:t xml:space="preserve"> </w:t>
      </w:r>
    </w:p>
    <w:p w:rsidR="00515ECE" w:rsidRDefault="00515ECE" w:rsidP="00CE0625">
      <w:pPr>
        <w:pStyle w:val="Heading4"/>
      </w:pPr>
    </w:p>
    <w:p w:rsidR="00A16511" w:rsidRPr="00A16511" w:rsidRDefault="00A16511" w:rsidP="00A16511">
      <w:r>
        <w:t>This section covers questions 30-31 from the consultation.</w:t>
      </w:r>
    </w:p>
    <w:p w:rsidR="00045D20" w:rsidRDefault="00045D20" w:rsidP="00045D20">
      <w:pPr>
        <w:pStyle w:val="Heading4"/>
      </w:pPr>
      <w:r>
        <w:t>Criminal sanctions</w:t>
      </w:r>
    </w:p>
    <w:p w:rsidR="000A1E8A" w:rsidRPr="000A1E8A" w:rsidRDefault="008E338A" w:rsidP="000A1E8A">
      <w:r>
        <w:t>In o</w:t>
      </w:r>
      <w:r w:rsidR="00310590">
        <w:t xml:space="preserve">ur </w:t>
      </w:r>
      <w:r w:rsidR="000A1E8A">
        <w:t>consultation</w:t>
      </w:r>
      <w:r>
        <w:t>, we</w:t>
      </w:r>
      <w:r w:rsidR="00310590">
        <w:t xml:space="preserve"> argued that public </w:t>
      </w:r>
      <w:r w:rsidR="000A1E8A" w:rsidRPr="000A1E8A">
        <w:t xml:space="preserve">pressure </w:t>
      </w:r>
      <w:r w:rsidR="00310590">
        <w:t xml:space="preserve">through the open nature of the report </w:t>
      </w:r>
      <w:r>
        <w:t>would</w:t>
      </w:r>
      <w:r w:rsidRPr="000A1E8A">
        <w:t xml:space="preserve"> </w:t>
      </w:r>
      <w:r w:rsidR="000A1E8A" w:rsidRPr="000A1E8A">
        <w:t xml:space="preserve">be </w:t>
      </w:r>
      <w:r w:rsidR="00310590">
        <w:t>the main driver ensuring that businesses comply with the new mandatory reporting requirement</w:t>
      </w:r>
      <w:r w:rsidR="000A1E8A" w:rsidRPr="000A1E8A">
        <w:t xml:space="preserve">. We </w:t>
      </w:r>
      <w:r w:rsidR="00152316">
        <w:t xml:space="preserve">argued that we </w:t>
      </w:r>
      <w:r w:rsidR="000A1E8A" w:rsidRPr="000A1E8A">
        <w:t>anticipate</w:t>
      </w:r>
      <w:r>
        <w:t>d</w:t>
      </w:r>
      <w:r w:rsidR="000A1E8A" w:rsidRPr="000A1E8A">
        <w:t xml:space="preserve"> that third parties </w:t>
      </w:r>
      <w:r>
        <w:t>would</w:t>
      </w:r>
      <w:r w:rsidRPr="000A1E8A">
        <w:t xml:space="preserve"> </w:t>
      </w:r>
      <w:r w:rsidR="000A1E8A" w:rsidRPr="000A1E8A">
        <w:t xml:space="preserve">start to publicise and compare the behaviour of reporting firms. We also </w:t>
      </w:r>
      <w:r w:rsidR="00152316">
        <w:t xml:space="preserve">thought </w:t>
      </w:r>
      <w:r w:rsidR="000A1E8A" w:rsidRPr="000A1E8A">
        <w:t xml:space="preserve">that good payment behaviour by responsible companies </w:t>
      </w:r>
      <w:r w:rsidR="00152316">
        <w:t xml:space="preserve">would </w:t>
      </w:r>
      <w:r w:rsidR="000A1E8A" w:rsidRPr="000A1E8A">
        <w:t xml:space="preserve">then begin to lead the way to changing other firms’ behaviours. </w:t>
      </w:r>
    </w:p>
    <w:p w:rsidR="000A1E8A" w:rsidRPr="000A1E8A" w:rsidRDefault="000A1E8A" w:rsidP="000A1E8A">
      <w:r w:rsidRPr="000A1E8A">
        <w:t xml:space="preserve">Nonetheless, to ensure that </w:t>
      </w:r>
      <w:r w:rsidR="00152316">
        <w:t xml:space="preserve">the </w:t>
      </w:r>
      <w:r w:rsidRPr="000A1E8A">
        <w:t xml:space="preserve">report is robustly enforced in cases where </w:t>
      </w:r>
      <w:r w:rsidR="00152316">
        <w:t xml:space="preserve">public </w:t>
      </w:r>
      <w:r w:rsidRPr="000A1E8A">
        <w:t xml:space="preserve">pressure proves insufficient, we </w:t>
      </w:r>
      <w:r>
        <w:t>proposed</w:t>
      </w:r>
      <w:r w:rsidRPr="000A1E8A">
        <w:t xml:space="preserve"> that breach of the requirement should be punishable by a criminal offence</w:t>
      </w:r>
      <w:r w:rsidR="00152316">
        <w:t xml:space="preserve">, </w:t>
      </w:r>
      <w:r w:rsidRPr="000A1E8A">
        <w:t>consist</w:t>
      </w:r>
      <w:r w:rsidR="00152316">
        <w:t>ing</w:t>
      </w:r>
      <w:r w:rsidRPr="000A1E8A">
        <w:t xml:space="preserve"> of a summary conviction limited to a fine. This follows the precedents for similar reporting requirements </w:t>
      </w:r>
      <w:r w:rsidR="00750CF6">
        <w:t>established by</w:t>
      </w:r>
      <w:r w:rsidRPr="000A1E8A">
        <w:t xml:space="preserve"> the Companies Act 2006. </w:t>
      </w:r>
    </w:p>
    <w:p w:rsidR="000A4AD3" w:rsidRDefault="000A1E8A" w:rsidP="006813F2">
      <w:r>
        <w:t>There was a mixed response to this. Slightly more agreed that a breach of the reporting requirement should be sanctionable by a criminal offence</w:t>
      </w:r>
      <w:r w:rsidR="00060AA2">
        <w:t xml:space="preserve"> (24% compared to 17% against)</w:t>
      </w:r>
      <w:r w:rsidR="003106BB">
        <w:t>.</w:t>
      </w:r>
      <w:r>
        <w:t xml:space="preserve"> </w:t>
      </w:r>
      <w:r w:rsidR="003106BB">
        <w:t>S</w:t>
      </w:r>
      <w:r>
        <w:t xml:space="preserve">ome </w:t>
      </w:r>
      <w:r w:rsidR="005C5577">
        <w:t>felt this was disproportionate or inappropriate</w:t>
      </w:r>
      <w:r w:rsidR="003106BB">
        <w:t xml:space="preserve"> and that any criminal offences should be comparable to </w:t>
      </w:r>
      <w:r w:rsidR="00750CF6">
        <w:t xml:space="preserve">those for </w:t>
      </w:r>
      <w:r w:rsidR="003106BB">
        <w:t>similar reporting requirements</w:t>
      </w:r>
      <w:r w:rsidR="005C5577">
        <w:t>. There was however</w:t>
      </w:r>
      <w:r w:rsidR="00750CF6">
        <w:t>,</w:t>
      </w:r>
      <w:r w:rsidR="005C5577">
        <w:t xml:space="preserve"> some </w:t>
      </w:r>
      <w:r w:rsidR="003106BB">
        <w:t>support</w:t>
      </w:r>
      <w:r w:rsidR="005C5577">
        <w:t xml:space="preserve"> </w:t>
      </w:r>
      <w:r w:rsidR="003106BB">
        <w:t xml:space="preserve">for </w:t>
      </w:r>
      <w:r w:rsidR="00750CF6">
        <w:t xml:space="preserve">making </w:t>
      </w:r>
      <w:r w:rsidR="005C5577">
        <w:t>repeated failure to comply and false reporting criminal offence</w:t>
      </w:r>
      <w:r w:rsidR="00750CF6">
        <w:t>s</w:t>
      </w:r>
      <w:r w:rsidR="005C5577">
        <w:t>. There was also a call for more information on how this new requirement would be policed and enforced.</w:t>
      </w:r>
    </w:p>
    <w:p w:rsidR="00045D20" w:rsidRDefault="00045D20" w:rsidP="00045D20">
      <w:pPr>
        <w:pStyle w:val="Heading4"/>
      </w:pPr>
      <w:r>
        <w:t xml:space="preserve">Guidance </w:t>
      </w:r>
    </w:p>
    <w:p w:rsidR="005C5577" w:rsidRDefault="005C5577" w:rsidP="006813F2">
      <w:r>
        <w:t xml:space="preserve">We asked whether </w:t>
      </w:r>
      <w:r w:rsidR="003C5298">
        <w:t xml:space="preserve">guidance on complying with the report would be useful. </w:t>
      </w:r>
      <w:r w:rsidR="00750CF6">
        <w:t xml:space="preserve">Among </w:t>
      </w:r>
      <w:r w:rsidR="00152316">
        <w:t>those who responded to this question, t</w:t>
      </w:r>
      <w:r w:rsidR="003C5298">
        <w:t xml:space="preserve">here was clear agreement that guidance would be helpful </w:t>
      </w:r>
      <w:r w:rsidR="00060AA2">
        <w:t>(</w:t>
      </w:r>
      <w:r w:rsidR="004325A6">
        <w:t>54</w:t>
      </w:r>
      <w:r w:rsidR="003106BB">
        <w:t xml:space="preserve">% </w:t>
      </w:r>
      <w:r w:rsidR="00060AA2">
        <w:t xml:space="preserve">in favour compared to </w:t>
      </w:r>
      <w:r w:rsidR="003106BB">
        <w:t xml:space="preserve">0% </w:t>
      </w:r>
      <w:r w:rsidR="00060AA2">
        <w:t>against)</w:t>
      </w:r>
      <w:r w:rsidR="00152316">
        <w:t xml:space="preserve">. </w:t>
      </w:r>
      <w:r w:rsidR="007A38E5">
        <w:t>21 respondents</w:t>
      </w:r>
      <w:r w:rsidR="00152316">
        <w:t xml:space="preserve"> thought </w:t>
      </w:r>
      <w:r w:rsidR="003C5298">
        <w:t>that it should be compi</w:t>
      </w:r>
      <w:r w:rsidR="00152316">
        <w:t>l</w:t>
      </w:r>
      <w:r w:rsidR="003C5298">
        <w:t xml:space="preserve">ed by BIS/Government, though </w:t>
      </w:r>
      <w:r w:rsidR="007A38E5">
        <w:t xml:space="preserve">6 </w:t>
      </w:r>
      <w:r w:rsidR="003C5298">
        <w:t xml:space="preserve">respondents </w:t>
      </w:r>
      <w:r w:rsidR="00152316">
        <w:t xml:space="preserve">also </w:t>
      </w:r>
      <w:r w:rsidR="003C5298">
        <w:t xml:space="preserve">suggested this should be done in conjunction with a working group made up of businesses and/or business representative bodies. Equally, </w:t>
      </w:r>
      <w:r w:rsidR="007A38E5">
        <w:t>3 respondents</w:t>
      </w:r>
      <w:r w:rsidR="003C5298">
        <w:t xml:space="preserve"> call</w:t>
      </w:r>
      <w:r w:rsidR="007A38E5">
        <w:t>ed</w:t>
      </w:r>
      <w:r w:rsidR="003C5298">
        <w:t xml:space="preserve"> for sector and industry specific guidance, </w:t>
      </w:r>
      <w:r w:rsidR="007A38E5">
        <w:t>in particular</w:t>
      </w:r>
      <w:r w:rsidR="003C5298">
        <w:t xml:space="preserve"> to support the construction sector. </w:t>
      </w:r>
    </w:p>
    <w:p w:rsidR="007B4CE9" w:rsidRDefault="007B4CE9" w:rsidP="00426D48"/>
    <w:p w:rsidR="006813F2" w:rsidRPr="008D78D9" w:rsidRDefault="006813F2" w:rsidP="008D78D9">
      <w:pPr>
        <w:pStyle w:val="Heading2"/>
      </w:pPr>
      <w:bookmarkStart w:id="18" w:name="_Toc412532993"/>
      <w:r w:rsidRPr="008D78D9">
        <w:t>Next steps</w:t>
      </w:r>
      <w:bookmarkEnd w:id="18"/>
    </w:p>
    <w:p w:rsidR="00785A85" w:rsidRDefault="00426D48" w:rsidP="00426D48">
      <w:r>
        <w:t>Following the election, we will publish amended regulations and an accompanying document outlining how the regulations have changed based on the responses received to the consultation</w:t>
      </w:r>
      <w:r w:rsidR="00785A85">
        <w:t xml:space="preserve">. We will also provide detail on how this will apply to the Devolved Administrations. </w:t>
      </w:r>
    </w:p>
    <w:p w:rsidR="00CF6D99" w:rsidRDefault="00CF6D99" w:rsidP="00426D48">
      <w:r>
        <w:br w:type="page"/>
      </w:r>
    </w:p>
    <w:p w:rsidR="000A4AD3" w:rsidRDefault="00CF6D99" w:rsidP="00CF6D99">
      <w:pPr>
        <w:pStyle w:val="Heading2"/>
      </w:pPr>
      <w:bookmarkStart w:id="19" w:name="_Toc412532994"/>
      <w:r>
        <w:t xml:space="preserve">Annex 1: List of </w:t>
      </w:r>
      <w:r w:rsidR="00DC3E43">
        <w:t>respondents</w:t>
      </w:r>
      <w:bookmarkEnd w:id="19"/>
    </w:p>
    <w:tbl>
      <w:tblPr>
        <w:tblW w:w="6180" w:type="dxa"/>
        <w:tblInd w:w="103" w:type="dxa"/>
        <w:tblLook w:val="04A0" w:firstRow="1" w:lastRow="0" w:firstColumn="1" w:lastColumn="0" w:noHBand="0" w:noVBand="1"/>
      </w:tblPr>
      <w:tblGrid>
        <w:gridCol w:w="6180"/>
      </w:tblGrid>
      <w:tr w:rsidR="005A5C95" w:rsidRPr="005A5C95" w:rsidTr="005A5C95">
        <w:trPr>
          <w:trHeight w:val="300"/>
        </w:trPr>
        <w:tc>
          <w:tcPr>
            <w:tcW w:w="6180" w:type="dxa"/>
            <w:tcBorders>
              <w:top w:val="single" w:sz="4" w:space="0" w:color="auto"/>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Association of Accounting Technicians</w:t>
            </w:r>
          </w:p>
        </w:tc>
      </w:tr>
      <w:tr w:rsidR="005A5C95" w:rsidRPr="005A5C95" w:rsidTr="005A5C95">
        <w:trPr>
          <w:trHeight w:val="312"/>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rsidR="005A5C95" w:rsidRPr="005A5C95" w:rsidRDefault="005A5C95" w:rsidP="005A5C95">
            <w:pPr>
              <w:spacing w:after="0"/>
              <w:rPr>
                <w:rFonts w:cs="Arial"/>
                <w:color w:val="000000"/>
                <w:lang w:eastAsia="en-GB"/>
              </w:rPr>
            </w:pPr>
            <w:r w:rsidRPr="005A5C95">
              <w:rPr>
                <w:rFonts w:cs="Arial"/>
                <w:color w:val="000000"/>
                <w:lang w:eastAsia="en-GB"/>
              </w:rPr>
              <w:t>Association for Consultancy and Engineering</w:t>
            </w:r>
          </w:p>
        </w:tc>
      </w:tr>
      <w:tr w:rsidR="005A5C95" w:rsidRPr="005A5C95" w:rsidTr="005A5C95">
        <w:trPr>
          <w:trHeight w:val="312"/>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rsidR="005A5C95" w:rsidRPr="005A5C95" w:rsidRDefault="005A5C95" w:rsidP="005A5C95">
            <w:pPr>
              <w:spacing w:after="0"/>
              <w:rPr>
                <w:rFonts w:cs="Arial"/>
                <w:color w:val="000000"/>
                <w:lang w:eastAsia="en-GB"/>
              </w:rPr>
            </w:pPr>
            <w:r w:rsidRPr="005A5C95">
              <w:rPr>
                <w:rFonts w:cs="Arial"/>
                <w:color w:val="000000"/>
                <w:lang w:eastAsia="en-GB"/>
              </w:rPr>
              <w:t xml:space="preserve">Association of Professional Staffing Companies </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ASDA</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B&amp;Q</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Baker &amp; McKenzie</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Balfour Beatty</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lang w:eastAsia="en-GB"/>
              </w:rPr>
            </w:pPr>
            <w:r w:rsidRPr="005A5C95">
              <w:rPr>
                <w:rFonts w:cs="Arial"/>
                <w:lang w:eastAsia="en-GB"/>
              </w:rPr>
              <w:t>British Chamber of Commerce</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 xml:space="preserve">Business Information Providers Association </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Builders Merchants’ Federation</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British Property Federation</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 xml:space="preserve">British Retail Consortium </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 xml:space="preserve">Business Services Association </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BT</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76645F" w:rsidP="005A5C95">
            <w:pPr>
              <w:spacing w:after="0"/>
              <w:rPr>
                <w:rFonts w:cs="Arial"/>
                <w:color w:val="000000"/>
                <w:lang w:eastAsia="en-GB"/>
              </w:rPr>
            </w:pPr>
            <w:r>
              <w:rPr>
                <w:rFonts w:cs="Arial"/>
                <w:color w:val="000000"/>
                <w:lang w:eastAsia="en-GB"/>
              </w:rPr>
              <w:t>Confederation of British Industry</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Civil Engineering Contractors Association</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Chartered Institute of Credit Management</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Chartered Institute of Procurement and Supply</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City of London</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Construction Products Association</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Creditsafe</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 xml:space="preserve">Engineering and Machinery Alliance </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76645F" w:rsidP="0076645F">
            <w:pPr>
              <w:spacing w:after="0"/>
              <w:rPr>
                <w:rFonts w:cs="Arial"/>
                <w:color w:val="000000"/>
                <w:lang w:eastAsia="en-GB"/>
              </w:rPr>
            </w:pPr>
            <w:r>
              <w:rPr>
                <w:rFonts w:cs="Arial"/>
                <w:color w:val="000000"/>
                <w:lang w:eastAsia="en-GB"/>
              </w:rPr>
              <w:t>Electrical Contractors’ Association</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Food and Drink Federation</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First Group</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Federation of Master Builders</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Ford Motor Company</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Forum for Private Business</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Federation of Small Businesses</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Grant Thornton</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Groceries Code Adjudicator</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 xml:space="preserve">Home Builders Federation </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HSBC</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ICAEW</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76645F" w:rsidP="005A5C95">
            <w:pPr>
              <w:spacing w:after="0"/>
              <w:rPr>
                <w:rFonts w:cs="Arial"/>
                <w:color w:val="000000"/>
                <w:lang w:eastAsia="en-GB"/>
              </w:rPr>
            </w:pPr>
            <w:r>
              <w:rPr>
                <w:rFonts w:cs="Arial"/>
                <w:color w:val="000000"/>
                <w:lang w:eastAsia="en-GB"/>
              </w:rPr>
              <w:t>Institute of Directors</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John Lewis Partnership</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Kingfisher</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Law Society</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Lloyds Banking Group</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 xml:space="preserve">National Federation of Roofing Contractors </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National Specialist Contractors’ Council</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Premier Foods</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 xml:space="preserve">Recruitment and Employment Confederation </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76645F" w:rsidP="005A5C95">
            <w:pPr>
              <w:spacing w:after="0"/>
              <w:rPr>
                <w:rFonts w:cs="Arial"/>
                <w:color w:val="000000"/>
                <w:lang w:eastAsia="en-GB"/>
              </w:rPr>
            </w:pPr>
            <w:r>
              <w:rPr>
                <w:rFonts w:cs="Arial"/>
                <w:color w:val="000000"/>
                <w:lang w:eastAsia="en-GB"/>
              </w:rPr>
              <w:t>Road Haulage Association</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Rolls Royce</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Satago</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Screwfix</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76645F" w:rsidRPr="005A5C95" w:rsidRDefault="0076645F" w:rsidP="005A5C95">
            <w:pPr>
              <w:spacing w:after="0"/>
              <w:rPr>
                <w:rFonts w:cs="Arial"/>
                <w:color w:val="000000"/>
                <w:lang w:eastAsia="en-GB"/>
              </w:rPr>
            </w:pPr>
            <w:r>
              <w:rPr>
                <w:rFonts w:cs="Arial"/>
                <w:color w:val="000000"/>
                <w:lang w:eastAsia="en-GB"/>
              </w:rPr>
              <w:t>Specialist Engineering Contractors’ Group</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Society of Motor Manufacturers and Traders</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Sunderland City Council</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Tesco</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The 100 Group</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The Wonderland Ltd</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 xml:space="preserve">Welsh Government </w:t>
            </w:r>
          </w:p>
        </w:tc>
      </w:tr>
      <w:tr w:rsidR="005A5C95" w:rsidRPr="005A5C95" w:rsidTr="005A5C95">
        <w:trPr>
          <w:trHeight w:val="300"/>
        </w:trPr>
        <w:tc>
          <w:tcPr>
            <w:tcW w:w="6180" w:type="dxa"/>
            <w:tcBorders>
              <w:top w:val="nil"/>
              <w:left w:val="single" w:sz="4" w:space="0" w:color="auto"/>
              <w:bottom w:val="single" w:sz="4" w:space="0" w:color="auto"/>
              <w:right w:val="single" w:sz="4" w:space="0" w:color="auto"/>
            </w:tcBorders>
            <w:shd w:val="clear" w:color="auto" w:fill="auto"/>
            <w:noWrap/>
            <w:hideMark/>
          </w:tcPr>
          <w:p w:rsidR="005A5C95" w:rsidRPr="005A5C95" w:rsidRDefault="005A5C95" w:rsidP="005A5C95">
            <w:pPr>
              <w:spacing w:after="0"/>
              <w:rPr>
                <w:rFonts w:cs="Arial"/>
                <w:color w:val="000000"/>
                <w:lang w:eastAsia="en-GB"/>
              </w:rPr>
            </w:pPr>
            <w:r w:rsidRPr="005A5C95">
              <w:rPr>
                <w:rFonts w:cs="Arial"/>
                <w:color w:val="000000"/>
                <w:lang w:eastAsia="en-GB"/>
              </w:rPr>
              <w:t>Wicked Uncle</w:t>
            </w:r>
          </w:p>
        </w:tc>
      </w:tr>
    </w:tbl>
    <w:p w:rsidR="006813F2" w:rsidRPr="008D78D9" w:rsidRDefault="006813F2" w:rsidP="006813F2"/>
    <w:p w:rsidR="00C56DD0" w:rsidRPr="008D78D9" w:rsidRDefault="00C56DD0" w:rsidP="00FC508A"/>
    <w:p w:rsidR="00C56DD0" w:rsidRPr="008D78D9" w:rsidRDefault="00C56DD0" w:rsidP="00FC508A">
      <w:pPr>
        <w:sectPr w:rsidR="00C56DD0" w:rsidRPr="008D78D9" w:rsidSect="00B5752E">
          <w:headerReference w:type="default" r:id="rId12"/>
          <w:type w:val="continuous"/>
          <w:pgSz w:w="11906" w:h="16838" w:code="9"/>
          <w:pgMar w:top="1701" w:right="1134" w:bottom="1134" w:left="1134" w:header="437" w:footer="266" w:gutter="0"/>
          <w:cols w:space="720"/>
          <w:titlePg/>
        </w:sectPr>
      </w:pPr>
    </w:p>
    <w:p w:rsidR="00C56DD0" w:rsidRPr="008D78D9" w:rsidRDefault="00467B49" w:rsidP="00DB3212">
      <w:pPr>
        <w:pStyle w:val="EndpageText"/>
        <w:spacing w:line="240" w:lineRule="auto"/>
        <w:rPr>
          <w:szCs w:val="20"/>
        </w:rPr>
      </w:pPr>
      <w:r w:rsidRPr="008D78D9">
        <w:rPr>
          <w:noProof/>
          <w:szCs w:val="20"/>
          <w:lang w:eastAsia="en-GB"/>
        </w:rPr>
        <w:drawing>
          <wp:anchor distT="0" distB="0" distL="114300" distR="114300" simplePos="0" relativeHeight="251659264" behindDoc="0" locked="0" layoutInCell="1" allowOverlap="1" wp14:anchorId="093A7A75" wp14:editId="23788032">
            <wp:simplePos x="0" y="0"/>
            <wp:positionH relativeFrom="column">
              <wp:posOffset>-6985</wp:posOffset>
            </wp:positionH>
            <wp:positionV relativeFrom="paragraph">
              <wp:posOffset>-465455</wp:posOffset>
            </wp:positionV>
            <wp:extent cx="791845" cy="320040"/>
            <wp:effectExtent l="0" t="0" r="8255" b="3810"/>
            <wp:wrapSquare wrapText="bothSides"/>
            <wp:docPr id="30" name="Picture 30"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1845" cy="320040"/>
                    </a:xfrm>
                    <a:prstGeom prst="rect">
                      <a:avLst/>
                    </a:prstGeom>
                    <a:noFill/>
                    <a:ln>
                      <a:noFill/>
                    </a:ln>
                  </pic:spPr>
                </pic:pic>
              </a:graphicData>
            </a:graphic>
          </wp:anchor>
        </w:drawing>
      </w:r>
      <w:r w:rsidR="00C56DD0" w:rsidRPr="008D78D9">
        <w:rPr>
          <w:szCs w:val="20"/>
        </w:rPr>
        <w:t>© Crown copyright 201</w:t>
      </w:r>
      <w:r w:rsidR="00DA453C" w:rsidRPr="008D78D9">
        <w:rPr>
          <w:szCs w:val="20"/>
        </w:rPr>
        <w:t>5</w:t>
      </w:r>
    </w:p>
    <w:p w:rsidR="00DB3212" w:rsidRPr="008D78D9" w:rsidRDefault="00DB3212" w:rsidP="00DB3212">
      <w:pPr>
        <w:spacing w:after="0"/>
        <w:rPr>
          <w:sz w:val="20"/>
          <w:szCs w:val="20"/>
        </w:rPr>
      </w:pPr>
    </w:p>
    <w:p w:rsidR="0031038D" w:rsidRPr="008D78D9" w:rsidRDefault="0031038D" w:rsidP="0031038D">
      <w:pPr>
        <w:spacing w:after="0"/>
        <w:rPr>
          <w:sz w:val="20"/>
          <w:szCs w:val="20"/>
        </w:rPr>
      </w:pPr>
      <w:r w:rsidRPr="008D78D9">
        <w:rPr>
          <w:sz w:val="20"/>
          <w:szCs w:val="20"/>
        </w:rPr>
        <w:t>This publication is licensed under the terms of the Open Government Licence v3.0 except where otherwise stated. To view this licence, visit </w:t>
      </w:r>
      <w:hyperlink r:id="rId14" w:history="1">
        <w:r w:rsidRPr="008D78D9">
          <w:rPr>
            <w:rStyle w:val="Hyperlink"/>
            <w:sz w:val="20"/>
            <w:szCs w:val="20"/>
          </w:rPr>
          <w:t>nationalarchives.gov.uk/doc/open-government-licence/version/3</w:t>
        </w:r>
      </w:hyperlink>
      <w:r w:rsidRPr="008D78D9">
        <w:rPr>
          <w:sz w:val="20"/>
          <w:szCs w:val="20"/>
        </w:rPr>
        <w:t> or write to the Information Policy Team, The National Archives, Kew, London TW9 4DU, or email: </w:t>
      </w:r>
      <w:hyperlink r:id="rId15" w:history="1">
        <w:r w:rsidRPr="008D78D9">
          <w:rPr>
            <w:rStyle w:val="Hyperlink"/>
            <w:sz w:val="20"/>
            <w:szCs w:val="20"/>
          </w:rPr>
          <w:t>psi@nationalarchives.gsi.gov.uk</w:t>
        </w:r>
      </w:hyperlink>
      <w:r w:rsidRPr="008D78D9">
        <w:rPr>
          <w:sz w:val="20"/>
          <w:szCs w:val="20"/>
        </w:rPr>
        <w:t>.</w:t>
      </w:r>
    </w:p>
    <w:p w:rsidR="0031038D" w:rsidRPr="008D78D9" w:rsidRDefault="0031038D" w:rsidP="0031038D">
      <w:pPr>
        <w:spacing w:after="0"/>
        <w:rPr>
          <w:sz w:val="20"/>
          <w:szCs w:val="20"/>
        </w:rPr>
      </w:pPr>
    </w:p>
    <w:p w:rsidR="0031038D" w:rsidRPr="008D78D9" w:rsidRDefault="0031038D" w:rsidP="0031038D">
      <w:pPr>
        <w:spacing w:after="0"/>
        <w:rPr>
          <w:sz w:val="20"/>
          <w:szCs w:val="20"/>
        </w:rPr>
      </w:pPr>
      <w:r w:rsidRPr="008D78D9">
        <w:rPr>
          <w:sz w:val="20"/>
          <w:szCs w:val="20"/>
        </w:rPr>
        <w:t>Where we have identified any third party copyright information you will need to obtain permission from the copyright holders concerned.</w:t>
      </w:r>
    </w:p>
    <w:p w:rsidR="00DB3212" w:rsidRPr="008D78D9" w:rsidRDefault="00DB3212" w:rsidP="00DB3212">
      <w:pPr>
        <w:spacing w:after="0"/>
        <w:rPr>
          <w:sz w:val="20"/>
          <w:szCs w:val="20"/>
        </w:rPr>
      </w:pPr>
    </w:p>
    <w:p w:rsidR="00C56DD0" w:rsidRPr="008D78D9" w:rsidRDefault="00C56DD0" w:rsidP="00DB3212">
      <w:pPr>
        <w:spacing w:after="0"/>
        <w:rPr>
          <w:sz w:val="20"/>
          <w:szCs w:val="20"/>
        </w:rPr>
      </w:pPr>
      <w:r w:rsidRPr="008D78D9">
        <w:rPr>
          <w:sz w:val="20"/>
          <w:szCs w:val="20"/>
        </w:rPr>
        <w:t xml:space="preserve">This publication available from </w:t>
      </w:r>
      <w:hyperlink r:id="rId16" w:history="1">
        <w:r w:rsidRPr="008D78D9">
          <w:rPr>
            <w:rStyle w:val="Hyperlink"/>
            <w:sz w:val="20"/>
            <w:szCs w:val="20"/>
          </w:rPr>
          <w:t>www.gov.uk/bis</w:t>
        </w:r>
      </w:hyperlink>
      <w:r w:rsidRPr="008D78D9">
        <w:rPr>
          <w:sz w:val="20"/>
          <w:szCs w:val="20"/>
        </w:rPr>
        <w:t xml:space="preserve"> </w:t>
      </w:r>
    </w:p>
    <w:p w:rsidR="00DB3212" w:rsidRPr="008D78D9" w:rsidRDefault="00DB3212" w:rsidP="00DB3212">
      <w:pPr>
        <w:pStyle w:val="EndpageText"/>
        <w:spacing w:line="240" w:lineRule="auto"/>
        <w:rPr>
          <w:szCs w:val="20"/>
        </w:rPr>
      </w:pPr>
    </w:p>
    <w:p w:rsidR="00DB3212" w:rsidRPr="008D78D9" w:rsidRDefault="00DB3212" w:rsidP="00DB3212">
      <w:pPr>
        <w:pStyle w:val="EndpageText"/>
        <w:spacing w:line="240" w:lineRule="auto"/>
        <w:rPr>
          <w:szCs w:val="20"/>
        </w:rPr>
      </w:pPr>
      <w:r w:rsidRPr="008D78D9">
        <w:rPr>
          <w:szCs w:val="20"/>
        </w:rPr>
        <w:t>Contacts us if you have any enquiries about this publication, including requests for alternative formats</w:t>
      </w:r>
      <w:r w:rsidR="00685868" w:rsidRPr="008D78D9">
        <w:rPr>
          <w:szCs w:val="20"/>
        </w:rPr>
        <w:t>,</w:t>
      </w:r>
      <w:r w:rsidRPr="008D78D9">
        <w:rPr>
          <w:szCs w:val="20"/>
        </w:rPr>
        <w:t xml:space="preserve"> at:</w:t>
      </w:r>
    </w:p>
    <w:p w:rsidR="00DB3212" w:rsidRPr="008D78D9" w:rsidRDefault="00DB3212" w:rsidP="00DB3212">
      <w:pPr>
        <w:pStyle w:val="EndpageText"/>
        <w:spacing w:line="240" w:lineRule="auto"/>
        <w:rPr>
          <w:szCs w:val="20"/>
        </w:rPr>
      </w:pPr>
    </w:p>
    <w:p w:rsidR="00DB3212" w:rsidRPr="008D78D9" w:rsidRDefault="00DB3212" w:rsidP="00DB3212">
      <w:pPr>
        <w:pStyle w:val="EndpageText"/>
        <w:spacing w:line="240" w:lineRule="auto"/>
        <w:rPr>
          <w:szCs w:val="20"/>
        </w:rPr>
      </w:pPr>
      <w:r w:rsidRPr="008D78D9">
        <w:rPr>
          <w:szCs w:val="20"/>
        </w:rPr>
        <w:t>Department for Business, Innovation and Skills</w:t>
      </w:r>
    </w:p>
    <w:p w:rsidR="00DB3212" w:rsidRPr="008D78D9" w:rsidRDefault="00DB3212" w:rsidP="00DB3212">
      <w:pPr>
        <w:pStyle w:val="EndpageText"/>
        <w:spacing w:line="240" w:lineRule="auto"/>
        <w:rPr>
          <w:szCs w:val="20"/>
        </w:rPr>
      </w:pPr>
      <w:r w:rsidRPr="008D78D9">
        <w:rPr>
          <w:szCs w:val="20"/>
        </w:rPr>
        <w:t>1 Victoria Street</w:t>
      </w:r>
    </w:p>
    <w:p w:rsidR="00DB3212" w:rsidRPr="008D78D9" w:rsidRDefault="00DB3212" w:rsidP="00DB3212">
      <w:pPr>
        <w:pStyle w:val="EndpageText"/>
        <w:spacing w:line="240" w:lineRule="auto"/>
        <w:rPr>
          <w:szCs w:val="20"/>
        </w:rPr>
      </w:pPr>
      <w:r w:rsidRPr="008D78D9">
        <w:rPr>
          <w:szCs w:val="20"/>
        </w:rPr>
        <w:t>London SW1H 0ET</w:t>
      </w:r>
    </w:p>
    <w:p w:rsidR="00DB3212" w:rsidRPr="008D78D9" w:rsidRDefault="00DB3212" w:rsidP="00DB3212">
      <w:pPr>
        <w:pStyle w:val="EndpageText"/>
        <w:spacing w:line="240" w:lineRule="auto"/>
        <w:rPr>
          <w:szCs w:val="20"/>
        </w:rPr>
      </w:pPr>
      <w:r w:rsidRPr="008D78D9">
        <w:rPr>
          <w:szCs w:val="20"/>
        </w:rPr>
        <w:t>Tel: 020 7215 5000</w:t>
      </w:r>
    </w:p>
    <w:p w:rsidR="00DB3212" w:rsidRPr="008D78D9" w:rsidRDefault="00DB3212" w:rsidP="00DB3212">
      <w:pPr>
        <w:pStyle w:val="EndpageText"/>
        <w:spacing w:line="240" w:lineRule="auto"/>
        <w:rPr>
          <w:szCs w:val="20"/>
        </w:rPr>
      </w:pPr>
      <w:r w:rsidRPr="008D78D9">
        <w:rPr>
          <w:szCs w:val="20"/>
        </w:rPr>
        <w:t xml:space="preserve">Email: </w:t>
      </w:r>
      <w:hyperlink r:id="rId17" w:history="1">
        <w:r w:rsidRPr="008D78D9">
          <w:rPr>
            <w:rStyle w:val="Hyperlink"/>
            <w:sz w:val="20"/>
            <w:szCs w:val="20"/>
          </w:rPr>
          <w:t>enquiries@bis.gsi.gov.uk</w:t>
        </w:r>
      </w:hyperlink>
    </w:p>
    <w:p w:rsidR="00DB3212" w:rsidRPr="008D78D9" w:rsidRDefault="00DB3212" w:rsidP="00DB3212">
      <w:pPr>
        <w:pStyle w:val="EndpageText"/>
        <w:spacing w:line="240" w:lineRule="auto"/>
        <w:rPr>
          <w:b/>
          <w:szCs w:val="20"/>
        </w:rPr>
      </w:pPr>
    </w:p>
    <w:p w:rsidR="00C56DD0" w:rsidRPr="008D78D9" w:rsidRDefault="00C56DD0" w:rsidP="00DB3212">
      <w:pPr>
        <w:pStyle w:val="EndpageText"/>
        <w:spacing w:line="240" w:lineRule="auto"/>
        <w:rPr>
          <w:b/>
          <w:bCs/>
          <w:szCs w:val="20"/>
        </w:rPr>
      </w:pPr>
      <w:r w:rsidRPr="0076645F">
        <w:rPr>
          <w:b/>
          <w:szCs w:val="20"/>
        </w:rPr>
        <w:t>BIS/1</w:t>
      </w:r>
      <w:r w:rsidR="00DA453C" w:rsidRPr="0076645F">
        <w:rPr>
          <w:b/>
          <w:szCs w:val="20"/>
        </w:rPr>
        <w:t>5</w:t>
      </w:r>
      <w:r w:rsidRPr="0076645F">
        <w:rPr>
          <w:b/>
          <w:szCs w:val="20"/>
        </w:rPr>
        <w:t>/</w:t>
      </w:r>
      <w:r w:rsidR="0076645F" w:rsidRPr="0076645F">
        <w:rPr>
          <w:b/>
          <w:szCs w:val="20"/>
        </w:rPr>
        <w:t>166</w:t>
      </w:r>
    </w:p>
    <w:sectPr w:rsidR="00C56DD0" w:rsidRPr="008D78D9" w:rsidSect="0031038D">
      <w:headerReference w:type="first" r:id="rId18"/>
      <w:footerReference w:type="first" r:id="rId19"/>
      <w:pgSz w:w="11906" w:h="16838" w:code="9"/>
      <w:pgMar w:top="11340" w:right="680" w:bottom="680" w:left="964" w:header="437"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C05" w:rsidRDefault="00190C05">
      <w:r>
        <w:separator/>
      </w:r>
    </w:p>
  </w:endnote>
  <w:endnote w:type="continuationSeparator" w:id="0">
    <w:p w:rsidR="00190C05" w:rsidRDefault="0019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05" w:rsidRDefault="00190C05" w:rsidP="006645DC">
    <w:pPr>
      <w:pStyle w:val="EvenPageNumber"/>
      <w:jc w:val="right"/>
    </w:pPr>
    <w:r w:rsidRPr="003966DE">
      <w:rPr>
        <w:rFonts w:cs="Arial"/>
      </w:rPr>
      <w:fldChar w:fldCharType="begin"/>
    </w:r>
    <w:r w:rsidRPr="003966DE">
      <w:rPr>
        <w:rFonts w:cs="Arial"/>
      </w:rPr>
      <w:instrText xml:space="preserve">PAGE  </w:instrText>
    </w:r>
    <w:r w:rsidRPr="003966DE">
      <w:rPr>
        <w:rFonts w:cs="Arial"/>
      </w:rPr>
      <w:fldChar w:fldCharType="separate"/>
    </w:r>
    <w:r>
      <w:rPr>
        <w:rFonts w:cs="Arial"/>
        <w:noProof/>
      </w:rPr>
      <w:t>6</w:t>
    </w:r>
    <w:r w:rsidRPr="003966DE">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05" w:rsidRPr="004D6DE1" w:rsidRDefault="00190C05" w:rsidP="006645DC">
    <w:pPr>
      <w:jc w:val="right"/>
    </w:pPr>
    <w:r>
      <w:fldChar w:fldCharType="begin"/>
    </w:r>
    <w:r>
      <w:instrText xml:space="preserve">PAGE  </w:instrText>
    </w:r>
    <w:r>
      <w:fldChar w:fldCharType="separate"/>
    </w:r>
    <w:r w:rsidR="00DD6DA0">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05" w:rsidRPr="00FC3779" w:rsidRDefault="00190C05" w:rsidP="00FC3779">
    <w:pPr>
      <w:rPr>
        <w:rStyle w:val="Page1White"/>
        <w:rFonts w:ascii="Times New Roman" w:hAnsi="Times New Roman"/>
        <w:color w:val="aut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C05" w:rsidRDefault="00190C05">
      <w:r>
        <w:separator/>
      </w:r>
    </w:p>
  </w:footnote>
  <w:footnote w:type="continuationSeparator" w:id="0">
    <w:p w:rsidR="00190C05" w:rsidRDefault="00190C05">
      <w:r>
        <w:continuationSeparator/>
      </w:r>
    </w:p>
  </w:footnote>
  <w:footnote w:id="1">
    <w:p w:rsidR="00190C05" w:rsidRDefault="00190C05">
      <w:pPr>
        <w:pStyle w:val="FootnoteText"/>
      </w:pPr>
      <w:r>
        <w:rPr>
          <w:rStyle w:val="FootnoteReference"/>
        </w:rPr>
        <w:footnoteRef/>
      </w:r>
      <w:r>
        <w:t xml:space="preserve"> </w:t>
      </w:r>
      <w:hyperlink r:id="rId1" w:history="1">
        <w:r w:rsidRPr="00576DA9">
          <w:rPr>
            <w:rStyle w:val="Hyperlink"/>
            <w:sz w:val="16"/>
          </w:rPr>
          <w:t>http://www.bacs.co.uk/Bacs/DocumentLibrary/PR_Late_payments_are_forcing_businesses_to_make_tough_decisions.pdf</w:t>
        </w:r>
      </w:hyperlink>
      <w:r>
        <w:rPr>
          <w:sz w:val="16"/>
        </w:rPr>
        <w:t xml:space="preserve"> </w:t>
      </w:r>
    </w:p>
  </w:footnote>
  <w:footnote w:id="2">
    <w:p w:rsidR="00405843" w:rsidRDefault="00405843">
      <w:pPr>
        <w:pStyle w:val="FootnoteText"/>
      </w:pPr>
      <w:r>
        <w:rPr>
          <w:rStyle w:val="FootnoteReference"/>
        </w:rPr>
        <w:footnoteRef/>
      </w:r>
      <w:r>
        <w:t xml:space="preserve"> </w:t>
      </w:r>
      <w:r w:rsidR="00184AA5">
        <w:t>We published a discussion paper seeking views on this measure</w:t>
      </w:r>
      <w:r w:rsidR="00535B0B">
        <w:t xml:space="preserve"> at:</w:t>
      </w:r>
      <w:r w:rsidR="00184AA5">
        <w:t xml:space="preserve"> </w:t>
      </w:r>
      <w:hyperlink r:id="rId2" w:history="1">
        <w:r w:rsidR="00184AA5" w:rsidRPr="0007137B">
          <w:rPr>
            <w:rStyle w:val="Hyperlink"/>
            <w:sz w:val="20"/>
          </w:rPr>
          <w:t>https://www.gov.uk/government/consultations/late-payment-challenging-grossly-unfair-terms-and-practices</w:t>
        </w:r>
      </w:hyperlink>
      <w:r w:rsidR="00184AA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05" w:rsidRPr="00D90412" w:rsidRDefault="00190C05" w:rsidP="00D90412">
    <w:r>
      <w:rPr>
        <w:noProof/>
        <w:lang w:eastAsia="en-GB"/>
      </w:rPr>
      <mc:AlternateContent>
        <mc:Choice Requires="wps">
          <w:drawing>
            <wp:anchor distT="0" distB="0" distL="114300" distR="114300" simplePos="0" relativeHeight="251656192" behindDoc="0" locked="0" layoutInCell="1" allowOverlap="1" wp14:anchorId="5E4FFF34" wp14:editId="3DFE55D1">
              <wp:simplePos x="0" y="0"/>
              <wp:positionH relativeFrom="column">
                <wp:posOffset>-33655</wp:posOffset>
              </wp:positionH>
              <wp:positionV relativeFrom="paragraph">
                <wp:posOffset>167640</wp:posOffset>
              </wp:positionV>
              <wp:extent cx="6559550" cy="0"/>
              <wp:effectExtent l="0" t="0" r="0" b="0"/>
              <wp:wrapTight wrapText="bothSides">
                <wp:wrapPolygon edited="0">
                  <wp:start x="0" y="-2147483648"/>
                  <wp:lineTo x="690" y="-2147483648"/>
                  <wp:lineTo x="690" y="-2147483648"/>
                  <wp:lineTo x="0" y="-2147483648"/>
                  <wp:lineTo x="0" y="-2147483648"/>
                </wp:wrapPolygon>
              </wp:wrapTight>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1270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7E722"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3.2pt" to="513.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" strokecolor="#06c" strokeweight="1pt">
              <w10:wrap type="tight"/>
            </v:line>
          </w:pict>
        </mc:Fallback>
      </mc:AlternateContent>
    </w:r>
    <w:r w:rsidRPr="00D90412">
      <w:t>DECC 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05" w:rsidRDefault="00190C05">
    <w:pPr>
      <w:pStyle w:val="Header"/>
    </w:pPr>
    <w:r>
      <w:rPr>
        <w:noProof/>
        <w:lang w:eastAsia="en-GB"/>
      </w:rPr>
      <w:drawing>
        <wp:anchor distT="0" distB="0" distL="114300" distR="114300" simplePos="0" relativeHeight="251659264" behindDoc="1" locked="0" layoutInCell="1" allowOverlap="1" wp14:anchorId="612F0A4A" wp14:editId="64AAB124">
          <wp:simplePos x="0" y="0"/>
          <wp:positionH relativeFrom="column">
            <wp:posOffset>-781050</wp:posOffset>
          </wp:positionH>
          <wp:positionV relativeFrom="paragraph">
            <wp:posOffset>-454660</wp:posOffset>
          </wp:positionV>
          <wp:extent cx="7604125" cy="10744200"/>
          <wp:effectExtent l="0" t="0" r="0" b="0"/>
          <wp:wrapNone/>
          <wp:docPr id="3" name="Picture 2" descr="Department for Business, Innovation and Skills" title="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Business, Innovation and Skil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125"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05" w:rsidRDefault="00190C05" w:rsidP="00A95640">
    <w:pPr>
      <w:pStyle w:val="BISOddHeader"/>
    </w:pPr>
    <w:r>
      <w:rPr>
        <w:noProof/>
        <w:lang w:eastAsia="en-GB"/>
      </w:rPr>
      <mc:AlternateContent>
        <mc:Choice Requires="wps">
          <w:drawing>
            <wp:anchor distT="0" distB="0" distL="114300" distR="114300" simplePos="0" relativeHeight="251657216" behindDoc="0" locked="0" layoutInCell="1" allowOverlap="1" wp14:anchorId="6671B956" wp14:editId="33DFFE38">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BC1E3"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Lt5&#10;4wYVAgAAKQ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t>Duty to report: summary of responses</w:t>
    </w:r>
  </w:p>
  <w:p w:rsidR="00190C05" w:rsidRPr="00D90412" w:rsidRDefault="00190C05" w:rsidP="00A95640">
    <w:pPr>
      <w:pStyle w:val="BISOdd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05" w:rsidRPr="00015C4E" w:rsidRDefault="00190C05" w:rsidP="00015C4E">
    <w:r>
      <w:rPr>
        <w:noProof/>
        <w:lang w:eastAsia="en-GB"/>
      </w:rPr>
      <mc:AlternateContent>
        <mc:Choice Requires="wps">
          <w:drawing>
            <wp:anchor distT="0" distB="0" distL="114300" distR="114300" simplePos="0" relativeHeight="251658240" behindDoc="1" locked="0" layoutInCell="1" allowOverlap="1" wp14:anchorId="6AC87B88" wp14:editId="2837F9C2">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56D4B"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49845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E80D6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0A20C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4205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FE5A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D810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42B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AE1B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207F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C28B70"/>
    <w:lvl w:ilvl="0">
      <w:start w:val="1"/>
      <w:numFmt w:val="bullet"/>
      <w:lvlText w:val=""/>
      <w:lvlJc w:val="left"/>
      <w:pPr>
        <w:tabs>
          <w:tab w:val="num" w:pos="360"/>
        </w:tabs>
        <w:ind w:left="360" w:hanging="360"/>
      </w:pPr>
      <w:rPr>
        <w:rFonts w:ascii="Symbol" w:hAnsi="Symbol" w:hint="default"/>
      </w:rPr>
    </w:lvl>
  </w:abstractNum>
  <w:abstractNum w:abstractNumId="10">
    <w:nsid w:val="077F5351"/>
    <w:multiLevelType w:val="hybridMultilevel"/>
    <w:tmpl w:val="C5109478"/>
    <w:lvl w:ilvl="0" w:tplc="99C0F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nsid w:val="4D160BFF"/>
    <w:multiLevelType w:val="hybridMultilevel"/>
    <w:tmpl w:val="097AF580"/>
    <w:lvl w:ilvl="0" w:tplc="7982FB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8EC5099"/>
    <w:multiLevelType w:val="hybridMultilevel"/>
    <w:tmpl w:val="019CFAB2"/>
    <w:lvl w:ilvl="0" w:tplc="260846F8">
      <w:start w:val="1"/>
      <w:numFmt w:val="decimal"/>
      <w:pStyle w:val="BISnumberingBold"/>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20">
    <w:nsid w:val="7EFE2C3A"/>
    <w:multiLevelType w:val="hybridMultilevel"/>
    <w:tmpl w:val="2D626F02"/>
    <w:lvl w:ilvl="0" w:tplc="85FC7C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2"/>
  </w:num>
  <w:num w:numId="4">
    <w:abstractNumId w:val="13"/>
  </w:num>
  <w:num w:numId="5">
    <w:abstractNumId w:val="19"/>
  </w:num>
  <w:num w:numId="6">
    <w:abstractNumId w:val="16"/>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7"/>
  </w:num>
  <w:num w:numId="19">
    <w:abstractNumId w:val="20"/>
  </w:num>
  <w:num w:numId="20">
    <w:abstractNumId w:val="14"/>
  </w:num>
  <w:num w:numId="21">
    <w:abstractNumId w:val="12"/>
  </w:num>
  <w:num w:numId="22">
    <w:abstractNumId w:val="12"/>
  </w:num>
  <w:num w:numId="23">
    <w:abstractNumId w:val="12"/>
  </w:num>
  <w:num w:numId="24">
    <w:abstractNumId w:val="12"/>
  </w:num>
  <w:num w:numId="25">
    <w:abstractNumId w:val="12"/>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2F"/>
    <w:rsid w:val="00006159"/>
    <w:rsid w:val="00015C4E"/>
    <w:rsid w:val="00034384"/>
    <w:rsid w:val="00040B11"/>
    <w:rsid w:val="00045D20"/>
    <w:rsid w:val="0005286F"/>
    <w:rsid w:val="00053C78"/>
    <w:rsid w:val="000604AF"/>
    <w:rsid w:val="00060AA2"/>
    <w:rsid w:val="00072613"/>
    <w:rsid w:val="00086288"/>
    <w:rsid w:val="00091DE9"/>
    <w:rsid w:val="00096FAD"/>
    <w:rsid w:val="000A1E8A"/>
    <w:rsid w:val="000A4AD3"/>
    <w:rsid w:val="000B6352"/>
    <w:rsid w:val="000B7B04"/>
    <w:rsid w:val="000C26E1"/>
    <w:rsid w:val="000C2C1D"/>
    <w:rsid w:val="000D42C5"/>
    <w:rsid w:val="000D5E29"/>
    <w:rsid w:val="000D78F7"/>
    <w:rsid w:val="000E1F17"/>
    <w:rsid w:val="000E41D0"/>
    <w:rsid w:val="000E50CC"/>
    <w:rsid w:val="000F5F3C"/>
    <w:rsid w:val="00103F41"/>
    <w:rsid w:val="0010466E"/>
    <w:rsid w:val="001100D6"/>
    <w:rsid w:val="0011110A"/>
    <w:rsid w:val="001140A7"/>
    <w:rsid w:val="00121184"/>
    <w:rsid w:val="00126A0F"/>
    <w:rsid w:val="0014731E"/>
    <w:rsid w:val="00152316"/>
    <w:rsid w:val="00155A9C"/>
    <w:rsid w:val="001634C8"/>
    <w:rsid w:val="001705EB"/>
    <w:rsid w:val="001712E7"/>
    <w:rsid w:val="001726DF"/>
    <w:rsid w:val="0017322B"/>
    <w:rsid w:val="00182933"/>
    <w:rsid w:val="00184AA5"/>
    <w:rsid w:val="00187556"/>
    <w:rsid w:val="0018767B"/>
    <w:rsid w:val="00190C05"/>
    <w:rsid w:val="00191B54"/>
    <w:rsid w:val="00193033"/>
    <w:rsid w:val="001A3ADE"/>
    <w:rsid w:val="001A3FE6"/>
    <w:rsid w:val="001C1FE5"/>
    <w:rsid w:val="001C78F8"/>
    <w:rsid w:val="001D6D05"/>
    <w:rsid w:val="001E0789"/>
    <w:rsid w:val="001E554A"/>
    <w:rsid w:val="001E79E8"/>
    <w:rsid w:val="001F2C2F"/>
    <w:rsid w:val="00201B9C"/>
    <w:rsid w:val="00224C7F"/>
    <w:rsid w:val="0022504C"/>
    <w:rsid w:val="00226F71"/>
    <w:rsid w:val="00232B67"/>
    <w:rsid w:val="0023304D"/>
    <w:rsid w:val="00240CBA"/>
    <w:rsid w:val="00244FC1"/>
    <w:rsid w:val="002451F0"/>
    <w:rsid w:val="00246F54"/>
    <w:rsid w:val="0025397C"/>
    <w:rsid w:val="002670F6"/>
    <w:rsid w:val="00271E99"/>
    <w:rsid w:val="00272572"/>
    <w:rsid w:val="00273593"/>
    <w:rsid w:val="0027372E"/>
    <w:rsid w:val="00280A64"/>
    <w:rsid w:val="00282475"/>
    <w:rsid w:val="00285BB9"/>
    <w:rsid w:val="0028755F"/>
    <w:rsid w:val="00293557"/>
    <w:rsid w:val="00293F62"/>
    <w:rsid w:val="002C3AFC"/>
    <w:rsid w:val="002C3B73"/>
    <w:rsid w:val="002D12B5"/>
    <w:rsid w:val="002D7C4C"/>
    <w:rsid w:val="002E70DB"/>
    <w:rsid w:val="002F1CC6"/>
    <w:rsid w:val="002F1FF4"/>
    <w:rsid w:val="00300710"/>
    <w:rsid w:val="00300ADE"/>
    <w:rsid w:val="00307095"/>
    <w:rsid w:val="0031038D"/>
    <w:rsid w:val="00310590"/>
    <w:rsid w:val="003106BB"/>
    <w:rsid w:val="003213B0"/>
    <w:rsid w:val="00324D1E"/>
    <w:rsid w:val="003318CE"/>
    <w:rsid w:val="00331FF7"/>
    <w:rsid w:val="00336FC1"/>
    <w:rsid w:val="00345BCB"/>
    <w:rsid w:val="00352686"/>
    <w:rsid w:val="003569A0"/>
    <w:rsid w:val="00360393"/>
    <w:rsid w:val="00361180"/>
    <w:rsid w:val="003647EF"/>
    <w:rsid w:val="003654E6"/>
    <w:rsid w:val="00371895"/>
    <w:rsid w:val="00373222"/>
    <w:rsid w:val="00377603"/>
    <w:rsid w:val="00390385"/>
    <w:rsid w:val="003921D2"/>
    <w:rsid w:val="003955D6"/>
    <w:rsid w:val="00396504"/>
    <w:rsid w:val="003966DE"/>
    <w:rsid w:val="003A4F36"/>
    <w:rsid w:val="003B15CC"/>
    <w:rsid w:val="003B321A"/>
    <w:rsid w:val="003C2743"/>
    <w:rsid w:val="003C5298"/>
    <w:rsid w:val="003D57B6"/>
    <w:rsid w:val="003E26A0"/>
    <w:rsid w:val="003E6E7C"/>
    <w:rsid w:val="003F35D6"/>
    <w:rsid w:val="003F6FD2"/>
    <w:rsid w:val="003F72FC"/>
    <w:rsid w:val="00400763"/>
    <w:rsid w:val="00404759"/>
    <w:rsid w:val="00405843"/>
    <w:rsid w:val="00420BCA"/>
    <w:rsid w:val="004231E5"/>
    <w:rsid w:val="00426D48"/>
    <w:rsid w:val="004304A6"/>
    <w:rsid w:val="004325A6"/>
    <w:rsid w:val="0043287E"/>
    <w:rsid w:val="004367F6"/>
    <w:rsid w:val="00442169"/>
    <w:rsid w:val="0044797C"/>
    <w:rsid w:val="00452858"/>
    <w:rsid w:val="004561F6"/>
    <w:rsid w:val="00467B49"/>
    <w:rsid w:val="00472AF2"/>
    <w:rsid w:val="004735C2"/>
    <w:rsid w:val="004805D2"/>
    <w:rsid w:val="00481725"/>
    <w:rsid w:val="00483622"/>
    <w:rsid w:val="00484140"/>
    <w:rsid w:val="00484B18"/>
    <w:rsid w:val="004A7500"/>
    <w:rsid w:val="004B10B7"/>
    <w:rsid w:val="004B68DA"/>
    <w:rsid w:val="004D366C"/>
    <w:rsid w:val="004D6DE1"/>
    <w:rsid w:val="004E6E64"/>
    <w:rsid w:val="004F1A03"/>
    <w:rsid w:val="004F2A57"/>
    <w:rsid w:val="004F4F6E"/>
    <w:rsid w:val="004F5C6B"/>
    <w:rsid w:val="00515ECE"/>
    <w:rsid w:val="00523821"/>
    <w:rsid w:val="00532F7A"/>
    <w:rsid w:val="00533C58"/>
    <w:rsid w:val="0053548E"/>
    <w:rsid w:val="00535B0B"/>
    <w:rsid w:val="00545B45"/>
    <w:rsid w:val="00545FB2"/>
    <w:rsid w:val="00546612"/>
    <w:rsid w:val="005702E4"/>
    <w:rsid w:val="005729C4"/>
    <w:rsid w:val="00576565"/>
    <w:rsid w:val="00584880"/>
    <w:rsid w:val="005851A7"/>
    <w:rsid w:val="005917D7"/>
    <w:rsid w:val="005937E6"/>
    <w:rsid w:val="00595F47"/>
    <w:rsid w:val="005973F3"/>
    <w:rsid w:val="005A169D"/>
    <w:rsid w:val="005A5354"/>
    <w:rsid w:val="005A5C95"/>
    <w:rsid w:val="005A6936"/>
    <w:rsid w:val="005B402C"/>
    <w:rsid w:val="005B5EA4"/>
    <w:rsid w:val="005C11C2"/>
    <w:rsid w:val="005C5577"/>
    <w:rsid w:val="005D1574"/>
    <w:rsid w:val="005D361A"/>
    <w:rsid w:val="005D58CC"/>
    <w:rsid w:val="005D6326"/>
    <w:rsid w:val="005D7CA8"/>
    <w:rsid w:val="005E3265"/>
    <w:rsid w:val="005F064A"/>
    <w:rsid w:val="005F505F"/>
    <w:rsid w:val="005F527C"/>
    <w:rsid w:val="00615012"/>
    <w:rsid w:val="00616B8D"/>
    <w:rsid w:val="00622ADE"/>
    <w:rsid w:val="00623D8F"/>
    <w:rsid w:val="00624791"/>
    <w:rsid w:val="00627DE3"/>
    <w:rsid w:val="006304BD"/>
    <w:rsid w:val="00632B1E"/>
    <w:rsid w:val="00646737"/>
    <w:rsid w:val="00660C9A"/>
    <w:rsid w:val="00661A05"/>
    <w:rsid w:val="006645DC"/>
    <w:rsid w:val="006658AD"/>
    <w:rsid w:val="0068134A"/>
    <w:rsid w:val="006813F2"/>
    <w:rsid w:val="00685868"/>
    <w:rsid w:val="00687B05"/>
    <w:rsid w:val="00687DE2"/>
    <w:rsid w:val="006901B7"/>
    <w:rsid w:val="0069261E"/>
    <w:rsid w:val="006952E7"/>
    <w:rsid w:val="006A1178"/>
    <w:rsid w:val="006A640A"/>
    <w:rsid w:val="006C038F"/>
    <w:rsid w:val="006C1E05"/>
    <w:rsid w:val="006C2034"/>
    <w:rsid w:val="006C48A2"/>
    <w:rsid w:val="006D5937"/>
    <w:rsid w:val="006D7AAD"/>
    <w:rsid w:val="006E2DEB"/>
    <w:rsid w:val="006F6BC4"/>
    <w:rsid w:val="007073CE"/>
    <w:rsid w:val="00711F68"/>
    <w:rsid w:val="00720C30"/>
    <w:rsid w:val="00724BD4"/>
    <w:rsid w:val="007263F1"/>
    <w:rsid w:val="00742E83"/>
    <w:rsid w:val="007464B0"/>
    <w:rsid w:val="00750CF6"/>
    <w:rsid w:val="0075472A"/>
    <w:rsid w:val="00755297"/>
    <w:rsid w:val="007559C1"/>
    <w:rsid w:val="007633BF"/>
    <w:rsid w:val="0076645F"/>
    <w:rsid w:val="00774BEE"/>
    <w:rsid w:val="007771C1"/>
    <w:rsid w:val="00785A85"/>
    <w:rsid w:val="007A03BE"/>
    <w:rsid w:val="007A38E5"/>
    <w:rsid w:val="007A53ED"/>
    <w:rsid w:val="007B4CE9"/>
    <w:rsid w:val="007C2303"/>
    <w:rsid w:val="007C3A0F"/>
    <w:rsid w:val="007C52D9"/>
    <w:rsid w:val="007D0048"/>
    <w:rsid w:val="00801827"/>
    <w:rsid w:val="0082011F"/>
    <w:rsid w:val="00834099"/>
    <w:rsid w:val="00834D3E"/>
    <w:rsid w:val="008571A1"/>
    <w:rsid w:val="008637EB"/>
    <w:rsid w:val="00867CDB"/>
    <w:rsid w:val="0087154A"/>
    <w:rsid w:val="008724AD"/>
    <w:rsid w:val="00881AD1"/>
    <w:rsid w:val="00885FD3"/>
    <w:rsid w:val="00887C02"/>
    <w:rsid w:val="008A0703"/>
    <w:rsid w:val="008A7BD8"/>
    <w:rsid w:val="008B49B1"/>
    <w:rsid w:val="008B723C"/>
    <w:rsid w:val="008C35F3"/>
    <w:rsid w:val="008C6170"/>
    <w:rsid w:val="008D78D9"/>
    <w:rsid w:val="008E2B56"/>
    <w:rsid w:val="008E338A"/>
    <w:rsid w:val="008E38E7"/>
    <w:rsid w:val="008E6797"/>
    <w:rsid w:val="008E6C2D"/>
    <w:rsid w:val="008F5ED4"/>
    <w:rsid w:val="008F5F95"/>
    <w:rsid w:val="00900791"/>
    <w:rsid w:val="00902FB0"/>
    <w:rsid w:val="0091120E"/>
    <w:rsid w:val="00911725"/>
    <w:rsid w:val="00913BC7"/>
    <w:rsid w:val="00921734"/>
    <w:rsid w:val="00923859"/>
    <w:rsid w:val="009259CF"/>
    <w:rsid w:val="00925A95"/>
    <w:rsid w:val="00941AB3"/>
    <w:rsid w:val="00950A73"/>
    <w:rsid w:val="00954CE8"/>
    <w:rsid w:val="0095568B"/>
    <w:rsid w:val="00955D2A"/>
    <w:rsid w:val="009637E7"/>
    <w:rsid w:val="009654EF"/>
    <w:rsid w:val="00965A03"/>
    <w:rsid w:val="00972CE4"/>
    <w:rsid w:val="00973E65"/>
    <w:rsid w:val="0097566D"/>
    <w:rsid w:val="0097721E"/>
    <w:rsid w:val="009946FA"/>
    <w:rsid w:val="00994AA4"/>
    <w:rsid w:val="00995550"/>
    <w:rsid w:val="009C1373"/>
    <w:rsid w:val="009C1F4A"/>
    <w:rsid w:val="009C4119"/>
    <w:rsid w:val="009C6846"/>
    <w:rsid w:val="009C7346"/>
    <w:rsid w:val="009E06E1"/>
    <w:rsid w:val="009E46D2"/>
    <w:rsid w:val="009E4C3C"/>
    <w:rsid w:val="009E6F74"/>
    <w:rsid w:val="009F34E9"/>
    <w:rsid w:val="009F702D"/>
    <w:rsid w:val="00A0494C"/>
    <w:rsid w:val="00A14146"/>
    <w:rsid w:val="00A148A4"/>
    <w:rsid w:val="00A15456"/>
    <w:rsid w:val="00A16511"/>
    <w:rsid w:val="00A229D9"/>
    <w:rsid w:val="00A31C9E"/>
    <w:rsid w:val="00A330C5"/>
    <w:rsid w:val="00A44650"/>
    <w:rsid w:val="00A474CE"/>
    <w:rsid w:val="00A512AA"/>
    <w:rsid w:val="00A542BB"/>
    <w:rsid w:val="00A547F8"/>
    <w:rsid w:val="00A60F98"/>
    <w:rsid w:val="00A74691"/>
    <w:rsid w:val="00A7638C"/>
    <w:rsid w:val="00A769B9"/>
    <w:rsid w:val="00A77434"/>
    <w:rsid w:val="00A85D49"/>
    <w:rsid w:val="00A91CB7"/>
    <w:rsid w:val="00A925F6"/>
    <w:rsid w:val="00A95640"/>
    <w:rsid w:val="00A95C77"/>
    <w:rsid w:val="00AA184A"/>
    <w:rsid w:val="00AA44EC"/>
    <w:rsid w:val="00AA4BE3"/>
    <w:rsid w:val="00AA4C61"/>
    <w:rsid w:val="00AA7649"/>
    <w:rsid w:val="00AB3869"/>
    <w:rsid w:val="00AD1AFC"/>
    <w:rsid w:val="00B02E15"/>
    <w:rsid w:val="00B15C3E"/>
    <w:rsid w:val="00B161E4"/>
    <w:rsid w:val="00B328AD"/>
    <w:rsid w:val="00B4107E"/>
    <w:rsid w:val="00B4442F"/>
    <w:rsid w:val="00B468B7"/>
    <w:rsid w:val="00B471C5"/>
    <w:rsid w:val="00B5752E"/>
    <w:rsid w:val="00B60C67"/>
    <w:rsid w:val="00B70DA2"/>
    <w:rsid w:val="00B710B1"/>
    <w:rsid w:val="00B7595E"/>
    <w:rsid w:val="00B80A46"/>
    <w:rsid w:val="00B80BC9"/>
    <w:rsid w:val="00B83FBD"/>
    <w:rsid w:val="00B932AD"/>
    <w:rsid w:val="00BA4A26"/>
    <w:rsid w:val="00BA54CC"/>
    <w:rsid w:val="00BA758C"/>
    <w:rsid w:val="00BB18FE"/>
    <w:rsid w:val="00BC1F9D"/>
    <w:rsid w:val="00BC5059"/>
    <w:rsid w:val="00BE4DA9"/>
    <w:rsid w:val="00BE71F8"/>
    <w:rsid w:val="00BF20CB"/>
    <w:rsid w:val="00BF6C01"/>
    <w:rsid w:val="00BF7695"/>
    <w:rsid w:val="00BF7CC3"/>
    <w:rsid w:val="00C04012"/>
    <w:rsid w:val="00C041B2"/>
    <w:rsid w:val="00C157FC"/>
    <w:rsid w:val="00C20F5A"/>
    <w:rsid w:val="00C2389C"/>
    <w:rsid w:val="00C30F77"/>
    <w:rsid w:val="00C34058"/>
    <w:rsid w:val="00C378B1"/>
    <w:rsid w:val="00C471BD"/>
    <w:rsid w:val="00C4789F"/>
    <w:rsid w:val="00C50E53"/>
    <w:rsid w:val="00C56DD0"/>
    <w:rsid w:val="00C620FA"/>
    <w:rsid w:val="00C74967"/>
    <w:rsid w:val="00C81B52"/>
    <w:rsid w:val="00C913EC"/>
    <w:rsid w:val="00CA03FF"/>
    <w:rsid w:val="00CA1A8F"/>
    <w:rsid w:val="00CB6611"/>
    <w:rsid w:val="00CC05DF"/>
    <w:rsid w:val="00CC08BD"/>
    <w:rsid w:val="00CC2842"/>
    <w:rsid w:val="00CD3BAA"/>
    <w:rsid w:val="00CD5818"/>
    <w:rsid w:val="00CE0625"/>
    <w:rsid w:val="00CE50B7"/>
    <w:rsid w:val="00CF24D9"/>
    <w:rsid w:val="00CF63FE"/>
    <w:rsid w:val="00CF6874"/>
    <w:rsid w:val="00CF692C"/>
    <w:rsid w:val="00CF6A23"/>
    <w:rsid w:val="00CF6D99"/>
    <w:rsid w:val="00D01A0B"/>
    <w:rsid w:val="00D06AC7"/>
    <w:rsid w:val="00D07B38"/>
    <w:rsid w:val="00D113C4"/>
    <w:rsid w:val="00D15B10"/>
    <w:rsid w:val="00D16544"/>
    <w:rsid w:val="00D23089"/>
    <w:rsid w:val="00D3374C"/>
    <w:rsid w:val="00D41359"/>
    <w:rsid w:val="00D44A1B"/>
    <w:rsid w:val="00D5710C"/>
    <w:rsid w:val="00D62329"/>
    <w:rsid w:val="00D62BA9"/>
    <w:rsid w:val="00D90412"/>
    <w:rsid w:val="00D93310"/>
    <w:rsid w:val="00D96519"/>
    <w:rsid w:val="00D971BD"/>
    <w:rsid w:val="00D97EB6"/>
    <w:rsid w:val="00DA453C"/>
    <w:rsid w:val="00DB280E"/>
    <w:rsid w:val="00DB3212"/>
    <w:rsid w:val="00DB52ED"/>
    <w:rsid w:val="00DB5BD0"/>
    <w:rsid w:val="00DB67A1"/>
    <w:rsid w:val="00DC3198"/>
    <w:rsid w:val="00DC3E43"/>
    <w:rsid w:val="00DD2CEF"/>
    <w:rsid w:val="00DD6DA0"/>
    <w:rsid w:val="00DE1E27"/>
    <w:rsid w:val="00DF5C09"/>
    <w:rsid w:val="00E05591"/>
    <w:rsid w:val="00E07842"/>
    <w:rsid w:val="00E11257"/>
    <w:rsid w:val="00E17803"/>
    <w:rsid w:val="00E20530"/>
    <w:rsid w:val="00E230AB"/>
    <w:rsid w:val="00E30C7E"/>
    <w:rsid w:val="00E30D42"/>
    <w:rsid w:val="00E32ED5"/>
    <w:rsid w:val="00E56420"/>
    <w:rsid w:val="00E66320"/>
    <w:rsid w:val="00E73FEF"/>
    <w:rsid w:val="00E77908"/>
    <w:rsid w:val="00E84B66"/>
    <w:rsid w:val="00E86B6E"/>
    <w:rsid w:val="00E949FD"/>
    <w:rsid w:val="00EA0149"/>
    <w:rsid w:val="00EA7FED"/>
    <w:rsid w:val="00EB0AA8"/>
    <w:rsid w:val="00EB6CFD"/>
    <w:rsid w:val="00EC44C5"/>
    <w:rsid w:val="00ED2DC8"/>
    <w:rsid w:val="00ED47D3"/>
    <w:rsid w:val="00EE2C68"/>
    <w:rsid w:val="00F03601"/>
    <w:rsid w:val="00F0612D"/>
    <w:rsid w:val="00F1019D"/>
    <w:rsid w:val="00F170B6"/>
    <w:rsid w:val="00F23570"/>
    <w:rsid w:val="00F23C74"/>
    <w:rsid w:val="00F25ED1"/>
    <w:rsid w:val="00F31909"/>
    <w:rsid w:val="00F332F9"/>
    <w:rsid w:val="00F33FD1"/>
    <w:rsid w:val="00F37A9F"/>
    <w:rsid w:val="00F45DC0"/>
    <w:rsid w:val="00F47950"/>
    <w:rsid w:val="00F51A8E"/>
    <w:rsid w:val="00F71D1D"/>
    <w:rsid w:val="00F86663"/>
    <w:rsid w:val="00F90D09"/>
    <w:rsid w:val="00F93625"/>
    <w:rsid w:val="00F947B1"/>
    <w:rsid w:val="00F9543B"/>
    <w:rsid w:val="00F96BAB"/>
    <w:rsid w:val="00F978F6"/>
    <w:rsid w:val="00FA0901"/>
    <w:rsid w:val="00FA0EE3"/>
    <w:rsid w:val="00FA2C27"/>
    <w:rsid w:val="00FA43A2"/>
    <w:rsid w:val="00FA4471"/>
    <w:rsid w:val="00FB1EB0"/>
    <w:rsid w:val="00FB2ED2"/>
    <w:rsid w:val="00FB3AFE"/>
    <w:rsid w:val="00FB4904"/>
    <w:rsid w:val="00FB4A82"/>
    <w:rsid w:val="00FB71C3"/>
    <w:rsid w:val="00FB7739"/>
    <w:rsid w:val="00FC3779"/>
    <w:rsid w:val="00FC3FB2"/>
    <w:rsid w:val="00FC508A"/>
    <w:rsid w:val="00FD16B7"/>
    <w:rsid w:val="00FD19FD"/>
    <w:rsid w:val="00FD2006"/>
    <w:rsid w:val="00FD33B1"/>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A37A611"/>
  <w15:docId w15:val="{CCD9C2C4-F80C-4008-9733-8A2BEC30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74C"/>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D3374C"/>
    <w:pPr>
      <w:spacing w:after="324"/>
      <w:outlineLvl w:val="0"/>
    </w:pPr>
    <w:rPr>
      <w:b/>
      <w:bCs/>
      <w:color w:val="003478"/>
      <w:kern w:val="32"/>
      <w:sz w:val="56"/>
      <w:szCs w:val="32"/>
    </w:rPr>
  </w:style>
  <w:style w:type="paragraph" w:styleId="Heading2">
    <w:name w:val="heading 2"/>
    <w:basedOn w:val="Normal"/>
    <w:next w:val="Normal"/>
    <w:link w:val="Heading2Char1"/>
    <w:uiPriority w:val="99"/>
    <w:qFormat/>
    <w:rsid w:val="0068134A"/>
    <w:pPr>
      <w:spacing w:before="120" w:after="240"/>
      <w:outlineLvl w:val="1"/>
    </w:pPr>
    <w:rPr>
      <w:b/>
      <w:bCs/>
      <w:iCs/>
      <w:color w:val="003478"/>
      <w:sz w:val="32"/>
      <w:szCs w:val="28"/>
    </w:rPr>
  </w:style>
  <w:style w:type="paragraph" w:styleId="Heading3">
    <w:name w:val="heading 3"/>
    <w:basedOn w:val="Normal"/>
    <w:next w:val="Normal"/>
    <w:link w:val="Heading3Char1"/>
    <w:uiPriority w:val="99"/>
    <w:qFormat/>
    <w:rsid w:val="00D3374C"/>
    <w:pPr>
      <w:spacing w:after="120"/>
      <w:outlineLvl w:val="2"/>
    </w:pPr>
    <w:rPr>
      <w:b/>
      <w:bCs/>
      <w:color w:val="009BBB"/>
      <w:sz w:val="26"/>
      <w:szCs w:val="26"/>
    </w:rPr>
  </w:style>
  <w:style w:type="paragraph" w:styleId="Heading4">
    <w:name w:val="heading 4"/>
    <w:basedOn w:val="Normal"/>
    <w:next w:val="Normal"/>
    <w:link w:val="Heading4Char1"/>
    <w:uiPriority w:val="99"/>
    <w:qFormat/>
    <w:rsid w:val="0068134A"/>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0C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uiPriority w:val="9"/>
    <w:semiHidden/>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05286F"/>
    <w:pPr>
      <w:spacing w:line="240" w:lineRule="atLeast"/>
      <w:ind w:left="142"/>
    </w:pPr>
    <w:rPr>
      <w:b/>
      <w:noProof/>
      <w:color w:val="FFFFFF"/>
      <w:sz w:val="28"/>
      <w:szCs w:val="28"/>
      <w:lang w:val="en"/>
    </w:rPr>
  </w:style>
  <w:style w:type="paragraph" w:customStyle="1" w:styleId="BISCovertext">
    <w:name w:val="BIS Cover text"/>
    <w:basedOn w:val="BISTitle"/>
    <w:autoRedefine/>
    <w:uiPriority w:val="99"/>
    <w:rsid w:val="00D90412"/>
    <w:rPr>
      <w:b w:val="0"/>
    </w:rPr>
  </w:style>
  <w:style w:type="paragraph" w:styleId="TOC1">
    <w:name w:val="toc 1"/>
    <w:basedOn w:val="Normal"/>
    <w:next w:val="Normal"/>
    <w:autoRedefine/>
    <w:uiPriority w:val="39"/>
    <w:pPr>
      <w:spacing w:line="280" w:lineRule="exact"/>
    </w:pPr>
    <w:rPr>
      <w:b/>
      <w:sz w:val="22"/>
    </w:rPr>
  </w:style>
  <w:style w:type="paragraph" w:styleId="TOC2">
    <w:name w:val="toc 2"/>
    <w:basedOn w:val="Normal"/>
    <w:next w:val="Normal"/>
    <w:autoRedefine/>
    <w:uiPriority w:val="39"/>
    <w:pPr>
      <w:spacing w:line="280" w:lineRule="exact"/>
      <w:ind w:left="238"/>
    </w:pPr>
    <w:rPr>
      <w:sz w:val="22"/>
    </w:rPr>
  </w:style>
  <w:style w:type="paragraph" w:styleId="TOC3">
    <w:name w:val="toc 3"/>
    <w:basedOn w:val="Normal"/>
    <w:next w:val="Normal"/>
    <w:autoRedefine/>
    <w:uiPriority w:val="39"/>
    <w:pPr>
      <w:spacing w:line="280" w:lineRule="exact"/>
      <w:ind w:left="482"/>
    </w:pPr>
    <w:rPr>
      <w:sz w:val="22"/>
    </w:rPr>
  </w:style>
  <w:style w:type="paragraph" w:styleId="Header">
    <w:name w:val="header"/>
    <w:basedOn w:val="Normal"/>
    <w:link w:val="HeaderChar1"/>
    <w:uiPriority w:val="99"/>
    <w:rsid w:val="00D5710C"/>
    <w:pPr>
      <w:tabs>
        <w:tab w:val="center" w:pos="4513"/>
        <w:tab w:val="right" w:pos="9026"/>
      </w:tabs>
    </w:pPr>
  </w:style>
  <w:style w:type="character" w:customStyle="1" w:styleId="HeaderChar">
    <w:name w:val="Header Char"/>
    <w:basedOn w:val="DefaultParagraphFont"/>
    <w:uiPriority w:val="99"/>
    <w:semiHidden/>
    <w:rsid w:val="004800CB"/>
    <w:rPr>
      <w:rFonts w:ascii="Arial" w:hAnsi="Arial"/>
      <w:sz w:val="24"/>
      <w:szCs w:val="24"/>
      <w:lang w:eastAsia="en-US"/>
    </w:rPr>
  </w:style>
  <w:style w:type="paragraph" w:customStyle="1" w:styleId="BISInsidebullets">
    <w:name w:val="BIS Inside bullets"/>
    <w:basedOn w:val="Normal"/>
    <w:autoRedefine/>
    <w:uiPriority w:val="99"/>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RomanWhite">
    <w:name w:val="Table Title Roman White"/>
    <w:basedOn w:val="TableTitle"/>
    <w:uiPriority w:val="99"/>
    <w:rsid w:val="00C913EC"/>
    <w:rPr>
      <w:b/>
      <w:color w:val="FFFFFF"/>
    </w:rPr>
  </w:style>
  <w:style w:type="paragraph" w:customStyle="1" w:styleId="BISOddHeader">
    <w:name w:val="BIS Odd Header"/>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955D2A"/>
    <w:pPr>
      <w:keepNext/>
      <w:spacing w:before="120" w:after="360"/>
      <w:outlineLvl w:val="0"/>
    </w:pPr>
    <w:rPr>
      <w:b/>
      <w:bCs/>
      <w:noProof/>
      <w:kern w:val="32"/>
      <w:sz w:val="28"/>
      <w:szCs w:val="56"/>
    </w:rPr>
  </w:style>
  <w:style w:type="paragraph" w:customStyle="1" w:styleId="TintBox">
    <w:name w:val="Tint Box"/>
    <w:basedOn w:val="Normal"/>
    <w:next w:val="Normal"/>
    <w:uiPriority w:val="99"/>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BISnumberingBold">
    <w:name w:val="BIS numbering Bold"/>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rsid w:val="000D42C5"/>
    <w:rPr>
      <w:rFonts w:cs="Times New Roman"/>
      <w:b/>
      <w:bCs/>
      <w:color w:val="003478"/>
    </w:rPr>
  </w:style>
  <w:style w:type="character" w:customStyle="1" w:styleId="Page1White">
    <w:name w:val="Page 1 White"/>
    <w:basedOn w:val="DefaultParagraphFont"/>
    <w:uiPriority w:val="99"/>
    <w:rsid w:val="00FC508A"/>
    <w:rPr>
      <w:rFonts w:ascii="Arial" w:hAnsi="Arial" w:cs="Times New Roman"/>
      <w:color w:val="FFFFFF"/>
      <w:sz w:val="24"/>
    </w:rPr>
  </w:style>
  <w:style w:type="paragraph" w:customStyle="1" w:styleId="EvenPageNumber">
    <w:name w:val="Even Page Number"/>
    <w:basedOn w:val="Normal"/>
    <w:uiPriority w:val="99"/>
    <w:rsid w:val="009946FA"/>
    <w:rPr>
      <w:color w:val="003478"/>
    </w:rPr>
  </w:style>
  <w:style w:type="paragraph" w:customStyle="1" w:styleId="BISEvenHeader">
    <w:name w:val="BIS Even Header"/>
    <w:basedOn w:val="BISOddHeader"/>
    <w:uiPriority w:val="99"/>
    <w:rsid w:val="00A95640"/>
    <w:pPr>
      <w:jc w:val="left"/>
    </w:pPr>
  </w:style>
  <w:style w:type="character" w:customStyle="1" w:styleId="StylePantone144Bold">
    <w:name w:val="Style Pantone 144 + Bold"/>
    <w:basedOn w:val="Pantone144"/>
    <w:uiPriority w:val="99"/>
    <w:rsid w:val="001E554A"/>
    <w:rPr>
      <w:rFonts w:cs="Times New Roman"/>
      <w:b/>
      <w:bCs/>
      <w:color w:val="FFCC11"/>
    </w:rPr>
  </w:style>
  <w:style w:type="paragraph" w:customStyle="1" w:styleId="BoxText">
    <w:name w:val="Box Text"/>
    <w:basedOn w:val="Normal"/>
    <w:uiPriority w:val="99"/>
    <w:rsid w:val="00442169"/>
    <w:pPr>
      <w:spacing w:line="288" w:lineRule="exact"/>
      <w:jc w:val="center"/>
    </w:pPr>
    <w:rPr>
      <w:rFonts w:ascii="Arial Bold" w:hAnsi="Arial Bold"/>
      <w:b/>
      <w:color w:val="FFFFFF"/>
    </w:rPr>
  </w:style>
  <w:style w:type="table" w:styleId="TableGrid">
    <w:name w:val="Table Grid"/>
    <w:basedOn w:val="TableNormal"/>
    <w:uiPriority w:val="99"/>
    <w:rsid w:val="00015C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FC508A"/>
    <w:pPr>
      <w:spacing w:after="80"/>
      <w:ind w:left="113" w:right="113"/>
    </w:pPr>
    <w:rPr>
      <w:b/>
    </w:rPr>
  </w:style>
  <w:style w:type="paragraph" w:customStyle="1" w:styleId="TableTitle">
    <w:name w:val="Table Title"/>
    <w:basedOn w:val="TableText"/>
    <w:uiPriority w:val="99"/>
    <w:rsid w:val="00533C58"/>
    <w:pPr>
      <w:spacing w:after="0"/>
    </w:pPr>
    <w:rPr>
      <w:b w:val="0"/>
    </w:rPr>
  </w:style>
  <w:style w:type="character" w:customStyle="1" w:styleId="PantoneCyan">
    <w:name w:val="Pantone Cyan"/>
    <w:basedOn w:val="DefaultParagraphFont"/>
    <w:uiPriority w:val="99"/>
    <w:rsid w:val="00533C58"/>
    <w:rPr>
      <w:rFonts w:cs="Times New Roman"/>
      <w:color w:val="009EE3"/>
    </w:rPr>
  </w:style>
  <w:style w:type="character" w:customStyle="1" w:styleId="Pantone144">
    <w:name w:val="Pantone 144"/>
    <w:basedOn w:val="DefaultParagraphFont"/>
    <w:uiPriority w:val="99"/>
    <w:rsid w:val="001E554A"/>
    <w:rPr>
      <w:rFonts w:cs="Times New Roman"/>
      <w:color w:val="FFCC11"/>
    </w:rPr>
  </w:style>
  <w:style w:type="character" w:customStyle="1" w:styleId="Pantone187">
    <w:name w:val="Pantone 187"/>
    <w:basedOn w:val="DefaultParagraphFont"/>
    <w:uiPriority w:val="99"/>
    <w:rsid w:val="001E554A"/>
    <w:rPr>
      <w:rFonts w:cs="Times New Roman"/>
      <w:color w:val="CC0033"/>
    </w:rPr>
  </w:style>
  <w:style w:type="character" w:customStyle="1" w:styleId="Pantone2593">
    <w:name w:val="Pantone 2593"/>
    <w:basedOn w:val="DefaultParagraphFont"/>
    <w:uiPriority w:val="99"/>
    <w:rsid w:val="00533C58"/>
    <w:rPr>
      <w:rFonts w:cs="Times New Roman"/>
      <w:color w:val="742F89"/>
    </w:rPr>
  </w:style>
  <w:style w:type="character" w:customStyle="1" w:styleId="PantoneWhite">
    <w:name w:val="Pantone White"/>
    <w:basedOn w:val="Pantone2593"/>
    <w:uiPriority w:val="99"/>
    <w:rsid w:val="003F35D6"/>
    <w:rPr>
      <w:rFonts w:cs="Times New Roman"/>
      <w:color w:val="FFFFFF"/>
    </w:rPr>
  </w:style>
  <w:style w:type="paragraph" w:styleId="ListBullet">
    <w:name w:val="List Bullet"/>
    <w:basedOn w:val="Normal"/>
    <w:uiPriority w:val="99"/>
    <w:rsid w:val="00F90D09"/>
    <w:pPr>
      <w:numPr>
        <w:numId w:val="3"/>
      </w:numPr>
      <w:spacing w:line="288" w:lineRule="exact"/>
    </w:pPr>
  </w:style>
  <w:style w:type="paragraph" w:customStyle="1" w:styleId="Dateonfirstpage">
    <w:name w:val="Date on first page"/>
    <w:basedOn w:val="Normal"/>
    <w:uiPriority w:val="99"/>
    <w:rsid w:val="00CF24D9"/>
    <w:pPr>
      <w:spacing w:line="360" w:lineRule="exact"/>
      <w:ind w:right="28"/>
      <w:jc w:val="right"/>
    </w:pPr>
    <w:rPr>
      <w:color w:val="FFFFFF"/>
      <w:sz w:val="30"/>
    </w:rPr>
  </w:style>
  <w:style w:type="paragraph" w:customStyle="1" w:styleId="ZeroLead">
    <w:name w:val="Zero Lead"/>
    <w:basedOn w:val="BISCovertext"/>
    <w:uiPriority w:val="99"/>
    <w:rsid w:val="00624791"/>
    <w:pPr>
      <w:spacing w:after="0" w:line="20" w:lineRule="exact"/>
    </w:pPr>
  </w:style>
  <w:style w:type="paragraph" w:customStyle="1" w:styleId="EndpageText">
    <w:name w:val="End page Text"/>
    <w:basedOn w:val="Normal"/>
    <w:uiPriority w:val="99"/>
    <w:rsid w:val="001E554A"/>
    <w:pPr>
      <w:spacing w:after="0" w:line="260" w:lineRule="exact"/>
    </w:pPr>
    <w:rPr>
      <w:sz w:val="20"/>
    </w:rPr>
  </w:style>
  <w:style w:type="paragraph" w:customStyle="1" w:styleId="Tabletitle-ConsulatationQuestionWhite">
    <w:name w:val="Table title - Consulatation Question White"/>
    <w:basedOn w:val="TableTitle"/>
    <w:uiPriority w:val="99"/>
    <w:rsid w:val="008571A1"/>
    <w:rPr>
      <w:rFonts w:ascii="Arial Bold" w:hAnsi="Arial Bold"/>
      <w:b/>
      <w:color w:val="FFFFFF"/>
    </w:rPr>
  </w:style>
  <w:style w:type="paragraph" w:styleId="DocumentMap">
    <w:name w:val="Document Map"/>
    <w:basedOn w:val="Normal"/>
    <w:link w:val="DocumentMapChar"/>
    <w:uiPriority w:val="99"/>
    <w:semiHidden/>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rsid w:val="00ED47D3"/>
    <w:pPr>
      <w:spacing w:after="0" w:line="240" w:lineRule="atLeast"/>
    </w:pPr>
    <w:rPr>
      <w:b/>
      <w:caps/>
    </w:rPr>
  </w:style>
  <w:style w:type="paragraph" w:customStyle="1" w:styleId="Secondarytitle">
    <w:name w:val="Secondary 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68134A"/>
    <w:rPr>
      <w:rFonts w:ascii="Arial" w:hAnsi="Arial" w:cs="Times New Roman"/>
      <w:b/>
      <w:bCs/>
      <w:iCs/>
      <w:color w:val="003478"/>
      <w:sz w:val="28"/>
      <w:szCs w:val="28"/>
      <w:lang w:val="en-GB" w:eastAsia="en-US" w:bidi="ar-SA"/>
    </w:rPr>
  </w:style>
  <w:style w:type="character" w:customStyle="1" w:styleId="Heading3Char1">
    <w:name w:val="Heading 3 Char1"/>
    <w:basedOn w:val="DefaultParagraphFont"/>
    <w:link w:val="Heading3"/>
    <w:uiPriority w:val="99"/>
    <w:locked/>
    <w:rsid w:val="00D3374C"/>
    <w:rPr>
      <w:rFonts w:ascii="Arial" w:hAnsi="Arial" w:cs="Times New Roman"/>
      <w:b/>
      <w:bCs/>
      <w:color w:val="009BBB"/>
      <w:sz w:val="26"/>
      <w:szCs w:val="26"/>
      <w:lang w:val="en-GB" w:eastAsia="en-US" w:bidi="ar-SA"/>
    </w:rPr>
  </w:style>
  <w:style w:type="character" w:customStyle="1" w:styleId="Heading4Char1">
    <w:name w:val="Heading 4 Char1"/>
    <w:basedOn w:val="DefaultParagraphFont"/>
    <w:link w:val="Heading4"/>
    <w:uiPriority w:val="99"/>
    <w:locked/>
    <w:rsid w:val="0068134A"/>
    <w:rPr>
      <w:rFonts w:ascii="Arial" w:hAnsi="Arial" w:cs="Times New Roman"/>
      <w:b/>
      <w:sz w:val="24"/>
      <w:szCs w:val="24"/>
      <w:lang w:val="en-GB" w:eastAsia="en-US" w:bidi="ar-SA"/>
    </w:rPr>
  </w:style>
  <w:style w:type="paragraph" w:customStyle="1" w:styleId="Tabletextnon-bold">
    <w:name w:val="Table text non-bold"/>
    <w:basedOn w:val="TableText"/>
    <w:uiPriority w:val="99"/>
    <w:rsid w:val="00484B18"/>
    <w:rPr>
      <w:b w:val="0"/>
    </w:rPr>
  </w:style>
  <w:style w:type="paragraph" w:styleId="Caption">
    <w:name w:val="caption"/>
    <w:basedOn w:val="Normal"/>
    <w:next w:val="Normal"/>
    <w:uiPriority w:val="99"/>
    <w:qFormat/>
    <w:rsid w:val="00FC508A"/>
    <w:rPr>
      <w:b/>
    </w:rPr>
  </w:style>
  <w:style w:type="paragraph" w:customStyle="1" w:styleId="Supplementarytitle">
    <w:name w:val="Supplementary title"/>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rsid w:val="001E554A"/>
    <w:rPr>
      <w:rFonts w:cs="Times New Roman"/>
      <w:b/>
      <w:bCs/>
      <w:color w:val="CC0033"/>
    </w:rPr>
  </w:style>
  <w:style w:type="paragraph" w:styleId="BalloonText">
    <w:name w:val="Balloon Text"/>
    <w:basedOn w:val="Normal"/>
    <w:link w:val="BalloonTextChar"/>
    <w:uiPriority w:val="99"/>
    <w:semiHidden/>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6645DC"/>
    <w:rPr>
      <w:rFonts w:cs="Times New Roman"/>
    </w:rPr>
  </w:style>
  <w:style w:type="numbering" w:customStyle="1" w:styleId="StyleOutlinenumberedLeft089cmHanging063cm">
    <w:name w:val="Style Outline numbered Left:  0.89 cm Hanging:  0.63 cm"/>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paragraph" w:styleId="ListParagraph">
    <w:name w:val="List Paragraph"/>
    <w:basedOn w:val="Normal"/>
    <w:uiPriority w:val="34"/>
    <w:qFormat/>
    <w:rsid w:val="006813F2"/>
    <w:pPr>
      <w:ind w:left="720"/>
      <w:contextualSpacing/>
    </w:pPr>
  </w:style>
  <w:style w:type="paragraph" w:customStyle="1" w:styleId="Default">
    <w:name w:val="Default"/>
    <w:rsid w:val="006813F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A4AD3"/>
    <w:rPr>
      <w:sz w:val="16"/>
      <w:szCs w:val="16"/>
    </w:rPr>
  </w:style>
  <w:style w:type="paragraph" w:styleId="CommentText">
    <w:name w:val="annotation text"/>
    <w:basedOn w:val="Normal"/>
    <w:link w:val="CommentTextChar"/>
    <w:uiPriority w:val="99"/>
    <w:semiHidden/>
    <w:unhideWhenUsed/>
    <w:rsid w:val="000A4AD3"/>
    <w:rPr>
      <w:sz w:val="20"/>
      <w:szCs w:val="20"/>
    </w:rPr>
  </w:style>
  <w:style w:type="character" w:customStyle="1" w:styleId="CommentTextChar">
    <w:name w:val="Comment Text Char"/>
    <w:basedOn w:val="DefaultParagraphFont"/>
    <w:link w:val="CommentText"/>
    <w:uiPriority w:val="99"/>
    <w:semiHidden/>
    <w:rsid w:val="000A4AD3"/>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0A4AD3"/>
    <w:rPr>
      <w:b/>
      <w:bCs/>
    </w:rPr>
  </w:style>
  <w:style w:type="character" w:customStyle="1" w:styleId="CommentSubjectChar">
    <w:name w:val="Comment Subject Char"/>
    <w:basedOn w:val="CommentTextChar"/>
    <w:link w:val="CommentSubject"/>
    <w:uiPriority w:val="99"/>
    <w:semiHidden/>
    <w:rsid w:val="000A4AD3"/>
    <w:rPr>
      <w:rFonts w:ascii="Arial" w:hAnsi="Arial"/>
      <w:b/>
      <w:bCs/>
      <w:sz w:val="20"/>
      <w:szCs w:val="20"/>
      <w:lang w:eastAsia="en-US"/>
    </w:rPr>
  </w:style>
  <w:style w:type="paragraph" w:styleId="FootnoteText">
    <w:name w:val="footnote text"/>
    <w:basedOn w:val="Normal"/>
    <w:link w:val="FootnoteTextChar"/>
    <w:uiPriority w:val="99"/>
    <w:semiHidden/>
    <w:unhideWhenUsed/>
    <w:rsid w:val="001E0789"/>
    <w:pPr>
      <w:spacing w:after="0"/>
    </w:pPr>
    <w:rPr>
      <w:sz w:val="20"/>
      <w:szCs w:val="20"/>
    </w:rPr>
  </w:style>
  <w:style w:type="character" w:customStyle="1" w:styleId="FootnoteTextChar">
    <w:name w:val="Footnote Text Char"/>
    <w:basedOn w:val="DefaultParagraphFont"/>
    <w:link w:val="FootnoteText"/>
    <w:uiPriority w:val="99"/>
    <w:semiHidden/>
    <w:rsid w:val="001E0789"/>
    <w:rPr>
      <w:rFonts w:ascii="Arial" w:hAnsi="Arial"/>
      <w:sz w:val="20"/>
      <w:szCs w:val="20"/>
      <w:lang w:eastAsia="en-US"/>
    </w:rPr>
  </w:style>
  <w:style w:type="character" w:styleId="FootnoteReference">
    <w:name w:val="footnote reference"/>
    <w:basedOn w:val="DefaultParagraphFont"/>
    <w:uiPriority w:val="99"/>
    <w:semiHidden/>
    <w:unhideWhenUsed/>
    <w:rsid w:val="001E0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5570">
      <w:bodyDiv w:val="1"/>
      <w:marLeft w:val="0"/>
      <w:marRight w:val="0"/>
      <w:marTop w:val="0"/>
      <w:marBottom w:val="0"/>
      <w:divBdr>
        <w:top w:val="none" w:sz="0" w:space="0" w:color="auto"/>
        <w:left w:val="none" w:sz="0" w:space="0" w:color="auto"/>
        <w:bottom w:val="none" w:sz="0" w:space="0" w:color="auto"/>
        <w:right w:val="none" w:sz="0" w:space="0" w:color="auto"/>
      </w:divBdr>
    </w:div>
    <w:div w:id="225383224">
      <w:bodyDiv w:val="1"/>
      <w:marLeft w:val="0"/>
      <w:marRight w:val="0"/>
      <w:marTop w:val="0"/>
      <w:marBottom w:val="0"/>
      <w:divBdr>
        <w:top w:val="none" w:sz="0" w:space="0" w:color="auto"/>
        <w:left w:val="none" w:sz="0" w:space="0" w:color="auto"/>
        <w:bottom w:val="none" w:sz="0" w:space="0" w:color="auto"/>
        <w:right w:val="none" w:sz="0" w:space="0" w:color="auto"/>
      </w:divBdr>
    </w:div>
    <w:div w:id="253327223">
      <w:bodyDiv w:val="1"/>
      <w:marLeft w:val="0"/>
      <w:marRight w:val="0"/>
      <w:marTop w:val="0"/>
      <w:marBottom w:val="0"/>
      <w:divBdr>
        <w:top w:val="none" w:sz="0" w:space="0" w:color="auto"/>
        <w:left w:val="none" w:sz="0" w:space="0" w:color="auto"/>
        <w:bottom w:val="none" w:sz="0" w:space="0" w:color="auto"/>
        <w:right w:val="none" w:sz="0" w:space="0" w:color="auto"/>
      </w:divBdr>
    </w:div>
    <w:div w:id="982462427">
      <w:bodyDiv w:val="1"/>
      <w:marLeft w:val="0"/>
      <w:marRight w:val="0"/>
      <w:marTop w:val="0"/>
      <w:marBottom w:val="0"/>
      <w:divBdr>
        <w:top w:val="none" w:sz="0" w:space="0" w:color="auto"/>
        <w:left w:val="none" w:sz="0" w:space="0" w:color="auto"/>
        <w:bottom w:val="none" w:sz="0" w:space="0" w:color="auto"/>
        <w:right w:val="none" w:sz="0" w:space="0" w:color="auto"/>
      </w:divBdr>
    </w:div>
    <w:div w:id="999653338">
      <w:bodyDiv w:val="1"/>
      <w:marLeft w:val="0"/>
      <w:marRight w:val="0"/>
      <w:marTop w:val="0"/>
      <w:marBottom w:val="0"/>
      <w:divBdr>
        <w:top w:val="none" w:sz="0" w:space="0" w:color="auto"/>
        <w:left w:val="none" w:sz="0" w:space="0" w:color="auto"/>
        <w:bottom w:val="none" w:sz="0" w:space="0" w:color="auto"/>
        <w:right w:val="none" w:sz="0" w:space="0" w:color="auto"/>
      </w:divBdr>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nquiries@bis.gsi.gov.uk" TargetMode="External"/><Relationship Id="rId2" Type="http://schemas.openxmlformats.org/officeDocument/2006/relationships/numbering" Target="numbering.xml"/><Relationship Id="rId16" Type="http://schemas.openxmlformats.org/officeDocument/2006/relationships/hyperlink" Target="https://www.gov.uk/government/organisations/department-for-business-innovation-skil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si@nationalarchives.gsi.gov.uk"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tionalarchives.gov.uk/doc/open-government-licence/version/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nsultations/late-payment-challenging-grossly-unfair-terms-and-practices" TargetMode="External"/><Relationship Id="rId1" Type="http://schemas.openxmlformats.org/officeDocument/2006/relationships/hyperlink" Target="http://www.bacs.co.uk/Bacs/DocumentLibrary/PR_Late_payments_are_forcing_businesses_to_make_tough_decis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IS%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0A40-85CA-4680-B4CC-D8532183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 report template.dot</Template>
  <TotalTime>0</TotalTime>
  <Pages>14</Pages>
  <Words>3847</Words>
  <Characters>21932</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25728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creator>Department for Business, Innovation and Skills</dc:creator>
  <cp:lastModifiedBy>CATHERALL, Claire</cp:lastModifiedBy>
  <cp:revision>2</cp:revision>
  <cp:lastPrinted>2012-11-01T14:25:00Z</cp:lastPrinted>
  <dcterms:created xsi:type="dcterms:W3CDTF">2015-03-03T09:28:00Z</dcterms:created>
  <dcterms:modified xsi:type="dcterms:W3CDTF">2015-03-03T09:28:00Z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