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D9" w:rsidRDefault="00B069D9" w:rsidP="00074000">
      <w:pPr>
        <w:widowControl/>
        <w:overflowPunct/>
        <w:autoSpaceDE/>
        <w:autoSpaceDN/>
        <w:adjustRightInd/>
        <w:textAlignment w:val="auto"/>
        <w:rPr>
          <w:rFonts w:asciiTheme="minorHAnsi" w:hAnsiTheme="minorHAnsi"/>
          <w:b/>
          <w:sz w:val="20"/>
        </w:rPr>
      </w:pPr>
      <w:bookmarkStart w:id="0" w:name="_GoBack"/>
      <w:bookmarkEnd w:id="0"/>
      <w:r>
        <w:rPr>
          <w:noProof/>
          <w:lang w:eastAsia="en-GB"/>
        </w:rPr>
        <w:drawing>
          <wp:inline distT="0" distB="0" distL="0" distR="0" wp14:anchorId="19064F7C" wp14:editId="222406D7">
            <wp:extent cx="1533525" cy="904875"/>
            <wp:effectExtent l="0" t="0" r="9525" b="9525"/>
            <wp:docPr id="1" name="Picture 1" descr="DfE 2955"/>
            <wp:cNvGraphicFramePr/>
            <a:graphic xmlns:a="http://schemas.openxmlformats.org/drawingml/2006/main">
              <a:graphicData uri="http://schemas.openxmlformats.org/drawingml/2006/picture">
                <pic:pic xmlns:pic="http://schemas.openxmlformats.org/drawingml/2006/picture">
                  <pic:nvPicPr>
                    <pic:cNvPr id="1" name="Picture 1" descr="DfE 295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p w:rsidR="00B069D9" w:rsidRDefault="00B069D9" w:rsidP="00074000">
      <w:pPr>
        <w:widowControl/>
        <w:overflowPunct/>
        <w:autoSpaceDE/>
        <w:autoSpaceDN/>
        <w:adjustRightInd/>
        <w:textAlignment w:val="auto"/>
        <w:rPr>
          <w:rFonts w:asciiTheme="minorHAnsi" w:hAnsiTheme="minorHAnsi"/>
          <w:b/>
          <w:sz w:val="20"/>
        </w:rPr>
      </w:pPr>
    </w:p>
    <w:p w:rsidR="001C2A18" w:rsidRPr="00F20805" w:rsidRDefault="001C2A18" w:rsidP="00074000">
      <w:pPr>
        <w:widowControl/>
        <w:overflowPunct/>
        <w:autoSpaceDE/>
        <w:autoSpaceDN/>
        <w:adjustRightInd/>
        <w:textAlignment w:val="auto"/>
        <w:rPr>
          <w:rFonts w:asciiTheme="minorHAnsi" w:hAnsiTheme="minorHAnsi"/>
          <w:b/>
          <w:color w:val="000000" w:themeColor="text1"/>
          <w:sz w:val="20"/>
        </w:rPr>
      </w:pPr>
      <w:r w:rsidRPr="00F20805">
        <w:rPr>
          <w:rFonts w:asciiTheme="minorHAnsi" w:hAnsiTheme="minorHAnsi"/>
          <w:b/>
          <w:color w:val="000000" w:themeColor="text1"/>
          <w:sz w:val="20"/>
        </w:rPr>
        <w:t>IMPLEMENTATION OF RECOMMENDATIONS</w:t>
      </w:r>
      <w:r w:rsidR="00F20805" w:rsidRPr="00F20805">
        <w:rPr>
          <w:rFonts w:asciiTheme="minorHAnsi" w:hAnsiTheme="minorHAnsi"/>
          <w:b/>
          <w:color w:val="000000" w:themeColor="text1"/>
          <w:sz w:val="20"/>
        </w:rPr>
        <w:t xml:space="preserve"> FROM “REPORT INTO ALLEGATIONS CONCERNING BIRMINGHAM SCHOOLS ARISING FROM THE ‘TROJAN HORSE’ LETTER – JULY 2014”</w:t>
      </w:r>
    </w:p>
    <w:p w:rsidR="00F20805" w:rsidRPr="00F20805" w:rsidRDefault="00F20805" w:rsidP="00074000">
      <w:pPr>
        <w:widowControl/>
        <w:overflowPunct/>
        <w:autoSpaceDE/>
        <w:autoSpaceDN/>
        <w:adjustRightInd/>
        <w:textAlignment w:val="auto"/>
        <w:rPr>
          <w:rFonts w:asciiTheme="minorHAnsi" w:hAnsiTheme="minorHAnsi"/>
          <w:b/>
          <w:color w:val="000000" w:themeColor="text1"/>
          <w:sz w:val="20"/>
        </w:rPr>
      </w:pPr>
    </w:p>
    <w:p w:rsidR="00F20805" w:rsidRPr="00F20805" w:rsidRDefault="00F20805" w:rsidP="00074000">
      <w:pPr>
        <w:widowControl/>
        <w:overflowPunct/>
        <w:autoSpaceDE/>
        <w:autoSpaceDN/>
        <w:adjustRightInd/>
        <w:textAlignment w:val="auto"/>
        <w:rPr>
          <w:rFonts w:asciiTheme="minorHAnsi" w:hAnsiTheme="minorHAnsi" w:cs="Arial"/>
          <w:b/>
          <w:color w:val="000000" w:themeColor="text1"/>
          <w:sz w:val="20"/>
        </w:rPr>
      </w:pPr>
      <w:r w:rsidRPr="00F20805">
        <w:rPr>
          <w:rFonts w:asciiTheme="minorHAnsi" w:hAnsiTheme="minorHAnsi"/>
          <w:b/>
          <w:color w:val="000000" w:themeColor="text1"/>
          <w:sz w:val="20"/>
        </w:rPr>
        <w:t>29 January 2015</w:t>
      </w:r>
    </w:p>
    <w:p w:rsidR="001C2A18" w:rsidRPr="00074000" w:rsidRDefault="001C2A18" w:rsidP="00074000">
      <w:pPr>
        <w:widowControl/>
        <w:overflowPunct/>
        <w:autoSpaceDE/>
        <w:autoSpaceDN/>
        <w:adjustRightInd/>
        <w:textAlignment w:val="auto"/>
        <w:rPr>
          <w:rFonts w:asciiTheme="minorHAnsi" w:hAnsiTheme="minorHAnsi"/>
          <w:sz w:val="20"/>
        </w:rPr>
      </w:pPr>
    </w:p>
    <w:tbl>
      <w:tblPr>
        <w:tblStyle w:val="TableGrid"/>
        <w:tblW w:w="14459" w:type="dxa"/>
        <w:tblInd w:w="-34" w:type="dxa"/>
        <w:tblLayout w:type="fixed"/>
        <w:tblLook w:val="04A0" w:firstRow="1" w:lastRow="0" w:firstColumn="1" w:lastColumn="0" w:noHBand="0" w:noVBand="1"/>
      </w:tblPr>
      <w:tblGrid>
        <w:gridCol w:w="426"/>
        <w:gridCol w:w="4958"/>
        <w:gridCol w:w="7374"/>
        <w:gridCol w:w="1701"/>
      </w:tblGrid>
      <w:tr w:rsidR="00074000" w:rsidRPr="00074000" w:rsidTr="00DD1E0D">
        <w:trPr>
          <w:trHeight w:val="236"/>
        </w:trPr>
        <w:tc>
          <w:tcPr>
            <w:tcW w:w="426" w:type="dxa"/>
            <w:shd w:val="clear" w:color="auto" w:fill="BFBFBF" w:themeFill="background1" w:themeFillShade="BF"/>
          </w:tcPr>
          <w:p w:rsidR="00DD1E0D" w:rsidRPr="00936929" w:rsidRDefault="00DD1E0D" w:rsidP="00074000">
            <w:pPr>
              <w:widowControl/>
              <w:overflowPunct/>
              <w:autoSpaceDE/>
              <w:autoSpaceDN/>
              <w:adjustRightInd/>
              <w:jc w:val="center"/>
              <w:textAlignment w:val="auto"/>
              <w:rPr>
                <w:rFonts w:cs="Arial"/>
                <w:b/>
                <w:sz w:val="20"/>
                <w:lang w:val="en" w:eastAsia="en-GB"/>
              </w:rPr>
            </w:pPr>
          </w:p>
        </w:tc>
        <w:tc>
          <w:tcPr>
            <w:tcW w:w="4958" w:type="dxa"/>
            <w:shd w:val="clear" w:color="auto" w:fill="BFBFBF" w:themeFill="background1" w:themeFillShade="BF"/>
          </w:tcPr>
          <w:p w:rsidR="00DD1E0D" w:rsidRPr="00074000" w:rsidRDefault="00DD1E0D" w:rsidP="00074000">
            <w:pPr>
              <w:widowControl/>
              <w:overflowPunct/>
              <w:autoSpaceDE/>
              <w:autoSpaceDN/>
              <w:adjustRightInd/>
              <w:jc w:val="center"/>
              <w:textAlignment w:val="auto"/>
              <w:rPr>
                <w:rFonts w:asciiTheme="minorHAnsi" w:hAnsiTheme="minorHAnsi"/>
                <w:b/>
                <w:sz w:val="20"/>
                <w:lang w:val="en" w:eastAsia="en-GB"/>
              </w:rPr>
            </w:pPr>
            <w:r w:rsidRPr="00074000">
              <w:rPr>
                <w:rFonts w:asciiTheme="minorHAnsi" w:hAnsiTheme="minorHAnsi"/>
                <w:b/>
                <w:sz w:val="20"/>
                <w:lang w:val="en" w:eastAsia="en-GB"/>
              </w:rPr>
              <w:t xml:space="preserve">Peter Clarke report recommendations </w:t>
            </w:r>
          </w:p>
        </w:tc>
        <w:tc>
          <w:tcPr>
            <w:tcW w:w="7374" w:type="dxa"/>
            <w:shd w:val="clear" w:color="auto" w:fill="BFBFBF" w:themeFill="background1" w:themeFillShade="BF"/>
          </w:tcPr>
          <w:p w:rsidR="00DD1E0D" w:rsidRPr="00074000" w:rsidRDefault="00DD1E0D" w:rsidP="00074000">
            <w:pPr>
              <w:widowControl/>
              <w:overflowPunct/>
              <w:autoSpaceDE/>
              <w:autoSpaceDN/>
              <w:adjustRightInd/>
              <w:jc w:val="center"/>
              <w:textAlignment w:val="auto"/>
              <w:rPr>
                <w:rFonts w:asciiTheme="minorHAnsi" w:hAnsiTheme="minorHAnsi"/>
                <w:b/>
                <w:sz w:val="20"/>
                <w:lang w:val="en" w:eastAsia="en-GB"/>
              </w:rPr>
            </w:pPr>
            <w:r w:rsidRPr="00074000">
              <w:rPr>
                <w:rFonts w:asciiTheme="minorHAnsi" w:hAnsiTheme="minorHAnsi"/>
                <w:b/>
                <w:sz w:val="20"/>
                <w:lang w:val="en" w:eastAsia="en-GB"/>
              </w:rPr>
              <w:t>Our action</w:t>
            </w:r>
          </w:p>
        </w:tc>
        <w:tc>
          <w:tcPr>
            <w:tcW w:w="1701" w:type="dxa"/>
            <w:shd w:val="clear" w:color="auto" w:fill="BFBFBF" w:themeFill="background1" w:themeFillShade="BF"/>
          </w:tcPr>
          <w:p w:rsidR="00DD1E0D" w:rsidRPr="00074000" w:rsidRDefault="00DD1E0D" w:rsidP="00074000">
            <w:pPr>
              <w:widowControl/>
              <w:overflowPunct/>
              <w:autoSpaceDE/>
              <w:autoSpaceDN/>
              <w:adjustRightInd/>
              <w:jc w:val="center"/>
              <w:textAlignment w:val="auto"/>
              <w:rPr>
                <w:rFonts w:asciiTheme="minorHAnsi" w:hAnsiTheme="minorHAnsi"/>
                <w:b/>
                <w:sz w:val="20"/>
                <w:lang w:val="en" w:eastAsia="en-GB"/>
              </w:rPr>
            </w:pPr>
            <w:r w:rsidRPr="00074000">
              <w:rPr>
                <w:rFonts w:asciiTheme="minorHAnsi" w:hAnsiTheme="minorHAnsi"/>
                <w:b/>
                <w:sz w:val="20"/>
                <w:lang w:val="en" w:eastAsia="en-GB"/>
              </w:rPr>
              <w:t>Status</w:t>
            </w:r>
          </w:p>
        </w:tc>
      </w:tr>
      <w:tr w:rsidR="00074000" w:rsidRPr="00074000" w:rsidTr="00DD1E0D">
        <w:trPr>
          <w:trHeight w:val="743"/>
        </w:trPr>
        <w:tc>
          <w:tcPr>
            <w:tcW w:w="426" w:type="dxa"/>
          </w:tcPr>
          <w:p w:rsidR="00DD1E0D" w:rsidRPr="00731C87" w:rsidRDefault="00DD1E0D" w:rsidP="00936929">
            <w:pPr>
              <w:widowControl/>
              <w:overflowPunct/>
              <w:autoSpaceDE/>
              <w:autoSpaceDN/>
              <w:adjustRightInd/>
              <w:textAlignment w:val="auto"/>
              <w:rPr>
                <w:rFonts w:asciiTheme="minorHAnsi" w:hAnsiTheme="minorHAnsi" w:cs="Arial"/>
                <w:spacing w:val="-2"/>
                <w:sz w:val="20"/>
                <w:lang w:eastAsia="en-GB"/>
              </w:rPr>
            </w:pPr>
            <w:r w:rsidRPr="00731C87">
              <w:rPr>
                <w:rFonts w:asciiTheme="minorHAnsi" w:hAnsiTheme="minorHAnsi" w:cs="Arial"/>
                <w:spacing w:val="-2"/>
                <w:sz w:val="20"/>
                <w:lang w:eastAsia="en-GB"/>
              </w:rPr>
              <w:t>1</w:t>
            </w:r>
          </w:p>
        </w:tc>
        <w:tc>
          <w:tcPr>
            <w:tcW w:w="4958" w:type="dxa"/>
          </w:tcPr>
          <w:p w:rsidR="00DD1E0D" w:rsidRPr="00B069D9" w:rsidRDefault="00DD1E0D" w:rsidP="00F20805">
            <w:pPr>
              <w:widowControl/>
              <w:overflowPunct/>
              <w:autoSpaceDE/>
              <w:autoSpaceDN/>
              <w:adjustRightInd/>
              <w:textAlignment w:val="auto"/>
              <w:rPr>
                <w:rFonts w:cs="Arial"/>
                <w:szCs w:val="24"/>
                <w:lang w:val="en" w:eastAsia="en-GB"/>
              </w:rPr>
            </w:pPr>
            <w:r w:rsidRPr="00B069D9">
              <w:rPr>
                <w:rFonts w:cs="Arial"/>
                <w:spacing w:val="-2"/>
                <w:szCs w:val="24"/>
                <w:lang w:eastAsia="en-GB"/>
              </w:rPr>
              <w:t>The Department for Education should review the process by which schools support individuals to gain and award Qualified Teacher Status to ensure that there are no systemic vulnerabilities to abuse.</w:t>
            </w:r>
          </w:p>
        </w:tc>
        <w:tc>
          <w:tcPr>
            <w:tcW w:w="7374" w:type="dxa"/>
          </w:tcPr>
          <w:p w:rsidR="00731C87" w:rsidRPr="00B069D9" w:rsidRDefault="00DD1E0D" w:rsidP="00F20805">
            <w:pPr>
              <w:rPr>
                <w:rFonts w:cs="Arial"/>
                <w:szCs w:val="24"/>
              </w:rPr>
            </w:pPr>
            <w:r w:rsidRPr="00B069D9">
              <w:rPr>
                <w:rFonts w:cs="Arial"/>
                <w:szCs w:val="24"/>
              </w:rPr>
              <w:t>The department strengthened the advice for initial teacher training providers in September 2014 to emphasise the need for rigour in the trainee assessment process.</w:t>
            </w:r>
            <w:r w:rsidR="00731C87">
              <w:rPr>
                <w:rFonts w:cs="Arial"/>
                <w:szCs w:val="24"/>
              </w:rPr>
              <w:t xml:space="preserve"> </w:t>
            </w:r>
            <w:r w:rsidRPr="00B069D9">
              <w:rPr>
                <w:rFonts w:cs="Arial"/>
                <w:szCs w:val="24"/>
              </w:rPr>
              <w:t xml:space="preserve">The accredited provider remains accountable for all assessment judgements and recommendations, and should ensure that this is understood across the partnership through the partnership agreement. </w:t>
            </w:r>
          </w:p>
        </w:tc>
        <w:tc>
          <w:tcPr>
            <w:tcW w:w="1701" w:type="dxa"/>
          </w:tcPr>
          <w:p w:rsidR="00DD1E0D" w:rsidRPr="00B069D9" w:rsidRDefault="00DD1E0D" w:rsidP="00B069D9">
            <w:pPr>
              <w:spacing w:line="480" w:lineRule="auto"/>
              <w:jc w:val="center"/>
              <w:rPr>
                <w:rFonts w:cs="Arial"/>
                <w:b/>
                <w:spacing w:val="-2"/>
                <w:szCs w:val="24"/>
                <w:lang w:eastAsia="en-GB"/>
              </w:rPr>
            </w:pPr>
            <w:r w:rsidRPr="00B069D9">
              <w:rPr>
                <w:rFonts w:cs="Arial"/>
                <w:b/>
                <w:spacing w:val="-2"/>
                <w:szCs w:val="24"/>
                <w:lang w:eastAsia="en-GB"/>
              </w:rPr>
              <w:t>Complete</w:t>
            </w:r>
          </w:p>
        </w:tc>
      </w:tr>
      <w:tr w:rsidR="00074000" w:rsidRPr="00074000" w:rsidTr="00DD1E0D">
        <w:trPr>
          <w:trHeight w:val="743"/>
        </w:trPr>
        <w:tc>
          <w:tcPr>
            <w:tcW w:w="426" w:type="dxa"/>
          </w:tcPr>
          <w:p w:rsidR="00DD1E0D" w:rsidRPr="00731C87" w:rsidRDefault="00DD1E0D" w:rsidP="00936929">
            <w:pPr>
              <w:widowControl/>
              <w:overflowPunct/>
              <w:autoSpaceDE/>
              <w:autoSpaceDN/>
              <w:adjustRightInd/>
              <w:textAlignment w:val="auto"/>
              <w:rPr>
                <w:rFonts w:asciiTheme="minorHAnsi" w:hAnsiTheme="minorHAnsi" w:cs="Arial"/>
                <w:spacing w:val="-2"/>
                <w:sz w:val="20"/>
                <w:lang w:eastAsia="en-GB"/>
              </w:rPr>
            </w:pPr>
            <w:r w:rsidRPr="00731C87">
              <w:rPr>
                <w:rFonts w:asciiTheme="minorHAnsi" w:hAnsiTheme="minorHAnsi" w:cs="Arial"/>
                <w:spacing w:val="-2"/>
                <w:sz w:val="20"/>
                <w:lang w:eastAsia="en-GB"/>
              </w:rPr>
              <w:t>2</w:t>
            </w:r>
          </w:p>
        </w:tc>
        <w:tc>
          <w:tcPr>
            <w:tcW w:w="4958" w:type="dxa"/>
          </w:tcPr>
          <w:p w:rsidR="00DD1E0D" w:rsidRPr="00936929" w:rsidRDefault="0067421A" w:rsidP="00936929">
            <w:pPr>
              <w:widowControl/>
              <w:overflowPunct/>
              <w:autoSpaceDE/>
              <w:autoSpaceDN/>
              <w:adjustRightInd/>
              <w:textAlignment w:val="auto"/>
              <w:rPr>
                <w:rFonts w:cs="Arial"/>
                <w:spacing w:val="-2"/>
                <w:szCs w:val="24"/>
                <w:lang w:eastAsia="en-GB"/>
              </w:rPr>
            </w:pPr>
            <w:r w:rsidRPr="00936929">
              <w:rPr>
                <w:rFonts w:cs="Arial"/>
                <w:spacing w:val="-2"/>
                <w:szCs w:val="24"/>
                <w:lang w:eastAsia="en-GB"/>
              </w:rPr>
              <w:t>The Department for Education should ensure that the governing body of every school extends the responsibilities of the teacher designated Child Protection Officer to include Prevent within his/her role. The mandatory Child Protection bi-annual update training undertaken by these responsible teachers should include the Prevent Strategy. This training should then be cascaded by the Child Protection Officer to every member of staff, governor or volunteer as an adult involved in the protection of children at the schoo</w:t>
            </w:r>
            <w:r w:rsidR="00DD1E0D" w:rsidRPr="00936929">
              <w:rPr>
                <w:rFonts w:cs="Arial"/>
                <w:spacing w:val="-2"/>
                <w:szCs w:val="24"/>
                <w:lang w:eastAsia="en-GB"/>
              </w:rPr>
              <w:t>l.</w:t>
            </w:r>
          </w:p>
        </w:tc>
        <w:tc>
          <w:tcPr>
            <w:tcW w:w="7374" w:type="dxa"/>
          </w:tcPr>
          <w:p w:rsidR="00DD1E0D" w:rsidRPr="00B069D9" w:rsidRDefault="00074000" w:rsidP="00F20805">
            <w:pPr>
              <w:rPr>
                <w:rFonts w:cs="Arial"/>
                <w:szCs w:val="24"/>
              </w:rPr>
            </w:pPr>
            <w:r w:rsidRPr="00B069D9">
              <w:rPr>
                <w:rFonts w:cs="Arial"/>
                <w:szCs w:val="24"/>
              </w:rPr>
              <w:t>This recommendation will be addressed later this year in planned changes to the department’s statutory guidance, “</w:t>
            </w:r>
            <w:r w:rsidRPr="00B069D9">
              <w:rPr>
                <w:rFonts w:cs="Arial"/>
                <w:iCs/>
                <w:szCs w:val="24"/>
              </w:rPr>
              <w:t>Keeping Children Safe in Education”</w:t>
            </w:r>
            <w:r w:rsidRPr="00B069D9">
              <w:rPr>
                <w:rFonts w:cs="Arial"/>
                <w:szCs w:val="24"/>
              </w:rPr>
              <w:t>, which sets out the role of the Designated Safeguarding Lead.</w:t>
            </w:r>
          </w:p>
          <w:p w:rsidR="00074000" w:rsidRPr="00B069D9" w:rsidRDefault="00074000" w:rsidP="00F20805">
            <w:pPr>
              <w:rPr>
                <w:rFonts w:cs="Arial"/>
                <w:szCs w:val="24"/>
                <w:lang w:eastAsia="en-GB"/>
              </w:rPr>
            </w:pPr>
          </w:p>
          <w:p w:rsidR="00DD1E0D" w:rsidRPr="00B069D9" w:rsidRDefault="00DD1E0D" w:rsidP="00F20805">
            <w:pPr>
              <w:rPr>
                <w:rFonts w:cs="Arial"/>
                <w:szCs w:val="24"/>
                <w:lang w:eastAsia="en-GB"/>
              </w:rPr>
            </w:pPr>
            <w:r w:rsidRPr="00B069D9">
              <w:rPr>
                <w:rFonts w:cs="Arial"/>
                <w:szCs w:val="24"/>
                <w:lang w:eastAsia="en-GB"/>
              </w:rPr>
              <w:t>The Counter Terrorism and Security Bill proposes a statutory duty for schools, among other bodies, to have due regard to the need to prevent people from being drawn into terrorism.</w:t>
            </w:r>
            <w:r w:rsidR="00731C87">
              <w:rPr>
                <w:rFonts w:cs="Arial"/>
                <w:szCs w:val="24"/>
                <w:lang w:eastAsia="en-GB"/>
              </w:rPr>
              <w:t xml:space="preserve"> </w:t>
            </w:r>
            <w:r w:rsidRPr="00B069D9">
              <w:rPr>
                <w:rFonts w:cs="Arial"/>
                <w:szCs w:val="24"/>
                <w:lang w:eastAsia="en-GB"/>
              </w:rPr>
              <w:t>Draft guidance on the duty which has been published for consultation makes clear that senior management and governors in school should make sure that staff have training that gives them the knowledge and confidence to identify children at risk of being drawn into terrorism and challenge extremist ideas.</w:t>
            </w:r>
          </w:p>
          <w:p w:rsidR="00F20805" w:rsidRPr="00B069D9" w:rsidRDefault="00F20805" w:rsidP="00F20805">
            <w:pPr>
              <w:widowControl/>
              <w:overflowPunct/>
              <w:autoSpaceDE/>
              <w:autoSpaceDN/>
              <w:adjustRightInd/>
              <w:textAlignment w:val="auto"/>
              <w:rPr>
                <w:rFonts w:cs="Arial"/>
                <w:spacing w:val="-2"/>
                <w:szCs w:val="24"/>
                <w:lang w:eastAsia="en-GB"/>
              </w:rPr>
            </w:pPr>
          </w:p>
        </w:tc>
        <w:tc>
          <w:tcPr>
            <w:tcW w:w="1701" w:type="dxa"/>
          </w:tcPr>
          <w:p w:rsidR="00DD1E0D" w:rsidRPr="00B069D9" w:rsidRDefault="00DD1E0D" w:rsidP="00B069D9">
            <w:pPr>
              <w:spacing w:line="480" w:lineRule="auto"/>
              <w:jc w:val="center"/>
              <w:rPr>
                <w:rFonts w:cs="Arial"/>
                <w:szCs w:val="24"/>
              </w:rPr>
            </w:pPr>
            <w:r w:rsidRPr="00B069D9">
              <w:rPr>
                <w:rFonts w:cs="Arial"/>
                <w:szCs w:val="24"/>
              </w:rPr>
              <w:t>Underway</w:t>
            </w:r>
          </w:p>
        </w:tc>
      </w:tr>
    </w:tbl>
    <w:p w:rsidR="00731C87" w:rsidRDefault="00731C87">
      <w:r>
        <w:br w:type="page"/>
      </w:r>
    </w:p>
    <w:tbl>
      <w:tblPr>
        <w:tblStyle w:val="TableGrid"/>
        <w:tblW w:w="14459" w:type="dxa"/>
        <w:tblInd w:w="-34" w:type="dxa"/>
        <w:tblLayout w:type="fixed"/>
        <w:tblLook w:val="04A0" w:firstRow="1" w:lastRow="0" w:firstColumn="1" w:lastColumn="0" w:noHBand="0" w:noVBand="1"/>
      </w:tblPr>
      <w:tblGrid>
        <w:gridCol w:w="426"/>
        <w:gridCol w:w="4958"/>
        <w:gridCol w:w="7374"/>
        <w:gridCol w:w="1701"/>
      </w:tblGrid>
      <w:tr w:rsidR="00074000" w:rsidRPr="00074000" w:rsidTr="00DD1E0D">
        <w:trPr>
          <w:trHeight w:val="743"/>
        </w:trPr>
        <w:tc>
          <w:tcPr>
            <w:tcW w:w="426" w:type="dxa"/>
          </w:tcPr>
          <w:p w:rsidR="00DD1E0D" w:rsidRPr="00731C87" w:rsidRDefault="00DD1E0D" w:rsidP="00936929">
            <w:pPr>
              <w:widowControl/>
              <w:overflowPunct/>
              <w:autoSpaceDE/>
              <w:autoSpaceDN/>
              <w:adjustRightInd/>
              <w:textAlignment w:val="auto"/>
              <w:rPr>
                <w:rFonts w:asciiTheme="minorHAnsi" w:hAnsiTheme="minorHAnsi" w:cs="Arial"/>
                <w:spacing w:val="-2"/>
                <w:sz w:val="20"/>
                <w:lang w:eastAsia="en-GB"/>
              </w:rPr>
            </w:pPr>
            <w:r w:rsidRPr="00731C87">
              <w:rPr>
                <w:rFonts w:asciiTheme="minorHAnsi" w:hAnsiTheme="minorHAnsi" w:cs="Arial"/>
                <w:spacing w:val="-2"/>
                <w:sz w:val="20"/>
                <w:lang w:eastAsia="en-GB"/>
              </w:rPr>
              <w:lastRenderedPageBreak/>
              <w:t>3</w:t>
            </w:r>
          </w:p>
        </w:tc>
        <w:tc>
          <w:tcPr>
            <w:tcW w:w="4958" w:type="dxa"/>
          </w:tcPr>
          <w:p w:rsidR="00DD1E0D" w:rsidRPr="00B069D9" w:rsidRDefault="009905FE" w:rsidP="00F20805">
            <w:pPr>
              <w:widowControl/>
              <w:overflowPunct/>
              <w:autoSpaceDE/>
              <w:autoSpaceDN/>
              <w:adjustRightInd/>
              <w:textAlignment w:val="auto"/>
              <w:rPr>
                <w:rFonts w:cs="Arial"/>
                <w:szCs w:val="24"/>
                <w:lang w:val="en" w:eastAsia="en-GB"/>
              </w:rPr>
            </w:pPr>
            <w:r w:rsidRPr="00B069D9">
              <w:rPr>
                <w:rFonts w:cs="Arial"/>
                <w:spacing w:val="-2"/>
                <w:szCs w:val="24"/>
                <w:lang w:eastAsia="en-GB"/>
              </w:rPr>
              <w:t xml:space="preserve">The </w:t>
            </w:r>
            <w:r w:rsidR="00DD1E0D" w:rsidRPr="00B069D9">
              <w:rPr>
                <w:rFonts w:cs="Arial"/>
                <w:spacing w:val="-2"/>
                <w:szCs w:val="24"/>
                <w:lang w:eastAsia="en-GB"/>
              </w:rPr>
              <w:t xml:space="preserve">Department for Education should consider taking action against teachers who may have breached the teacher standards. </w:t>
            </w:r>
          </w:p>
        </w:tc>
        <w:tc>
          <w:tcPr>
            <w:tcW w:w="7374" w:type="dxa"/>
          </w:tcPr>
          <w:p w:rsidR="00DD1E0D" w:rsidRPr="00B069D9" w:rsidRDefault="00DD1E0D" w:rsidP="00F20805">
            <w:pPr>
              <w:widowControl/>
              <w:overflowPunct/>
              <w:autoSpaceDE/>
              <w:autoSpaceDN/>
              <w:adjustRightInd/>
              <w:textAlignment w:val="auto"/>
              <w:rPr>
                <w:rFonts w:cs="Arial"/>
                <w:spacing w:val="-2"/>
                <w:szCs w:val="24"/>
                <w:lang w:eastAsia="en-GB"/>
              </w:rPr>
            </w:pPr>
            <w:r w:rsidRPr="00B069D9">
              <w:rPr>
                <w:rFonts w:cs="Arial"/>
                <w:spacing w:val="-2"/>
                <w:szCs w:val="24"/>
                <w:lang w:eastAsia="en-GB"/>
              </w:rPr>
              <w:t xml:space="preserve">Interim prohibition orders are in place for two individuals and further examination of evidence is ongoing in relation to a number of other teachers. </w:t>
            </w:r>
          </w:p>
          <w:p w:rsidR="00DD1E0D" w:rsidRPr="00B069D9" w:rsidRDefault="00DD1E0D" w:rsidP="00F20805">
            <w:pPr>
              <w:widowControl/>
              <w:overflowPunct/>
              <w:autoSpaceDE/>
              <w:autoSpaceDN/>
              <w:adjustRightInd/>
              <w:textAlignment w:val="auto"/>
              <w:rPr>
                <w:rFonts w:cs="Arial"/>
                <w:spacing w:val="-2"/>
                <w:szCs w:val="24"/>
                <w:lang w:eastAsia="en-GB"/>
              </w:rPr>
            </w:pPr>
          </w:p>
          <w:p w:rsidR="00DD1E0D" w:rsidRPr="00B069D9" w:rsidRDefault="00DD1E0D" w:rsidP="00F20805">
            <w:pPr>
              <w:widowControl/>
              <w:overflowPunct/>
              <w:autoSpaceDE/>
              <w:autoSpaceDN/>
              <w:adjustRightInd/>
              <w:textAlignment w:val="auto"/>
              <w:rPr>
                <w:rFonts w:cs="Arial"/>
                <w:spacing w:val="-2"/>
                <w:szCs w:val="24"/>
                <w:lang w:eastAsia="en-GB"/>
              </w:rPr>
            </w:pPr>
            <w:r w:rsidRPr="00B069D9">
              <w:rPr>
                <w:rFonts w:cs="Arial"/>
                <w:spacing w:val="-2"/>
                <w:szCs w:val="24"/>
                <w:lang w:eastAsia="en-GB"/>
              </w:rPr>
              <w:t xml:space="preserve">A number of staff have been suspended through the relevant trust’s own internal disciplinary processes, which continue in parallel with the </w:t>
            </w:r>
            <w:r w:rsidR="005A1A0D">
              <w:rPr>
                <w:rFonts w:cs="Arial"/>
                <w:spacing w:val="-2"/>
                <w:szCs w:val="24"/>
                <w:lang w:eastAsia="en-GB"/>
              </w:rPr>
              <w:t>National College for Teaching and Leadership (NCTL)</w:t>
            </w:r>
            <w:r w:rsidRPr="00B069D9">
              <w:rPr>
                <w:rFonts w:cs="Arial"/>
                <w:spacing w:val="-2"/>
                <w:szCs w:val="24"/>
                <w:lang w:eastAsia="en-GB"/>
              </w:rPr>
              <w:t xml:space="preserve"> considerations.</w:t>
            </w:r>
          </w:p>
        </w:tc>
        <w:tc>
          <w:tcPr>
            <w:tcW w:w="1701" w:type="dxa"/>
          </w:tcPr>
          <w:p w:rsidR="00DD1E0D" w:rsidRPr="00B069D9" w:rsidRDefault="00DD1E0D" w:rsidP="00B069D9">
            <w:pPr>
              <w:widowControl/>
              <w:overflowPunct/>
              <w:autoSpaceDE/>
              <w:autoSpaceDN/>
              <w:adjustRightInd/>
              <w:spacing w:line="480" w:lineRule="auto"/>
              <w:jc w:val="center"/>
              <w:textAlignment w:val="auto"/>
              <w:rPr>
                <w:rFonts w:cs="Arial"/>
                <w:spacing w:val="-2"/>
                <w:szCs w:val="24"/>
                <w:lang w:eastAsia="en-GB"/>
              </w:rPr>
            </w:pPr>
            <w:r w:rsidRPr="00B069D9">
              <w:rPr>
                <w:rFonts w:cs="Arial"/>
                <w:spacing w:val="-2"/>
                <w:szCs w:val="24"/>
                <w:lang w:eastAsia="en-GB"/>
              </w:rPr>
              <w:t>Underway</w:t>
            </w:r>
          </w:p>
        </w:tc>
      </w:tr>
      <w:tr w:rsidR="00074000" w:rsidRPr="00074000" w:rsidTr="00DD1E0D">
        <w:trPr>
          <w:trHeight w:val="697"/>
        </w:trPr>
        <w:tc>
          <w:tcPr>
            <w:tcW w:w="426" w:type="dxa"/>
          </w:tcPr>
          <w:p w:rsidR="00DD1E0D" w:rsidRPr="00731C87" w:rsidRDefault="00DD1E0D" w:rsidP="00074000">
            <w:pPr>
              <w:tabs>
                <w:tab w:val="left" w:pos="-720"/>
              </w:tabs>
              <w:suppressAutoHyphens/>
              <w:rPr>
                <w:rFonts w:asciiTheme="minorHAnsi" w:hAnsiTheme="minorHAnsi" w:cs="Arial"/>
                <w:spacing w:val="-2"/>
                <w:sz w:val="20"/>
                <w:lang w:eastAsia="en-GB"/>
              </w:rPr>
            </w:pPr>
            <w:r w:rsidRPr="00731C87">
              <w:rPr>
                <w:rFonts w:asciiTheme="minorHAnsi" w:hAnsiTheme="minorHAnsi" w:cs="Arial"/>
                <w:spacing w:val="-2"/>
                <w:sz w:val="20"/>
                <w:lang w:eastAsia="en-GB"/>
              </w:rPr>
              <w:t>4</w:t>
            </w:r>
          </w:p>
        </w:tc>
        <w:tc>
          <w:tcPr>
            <w:tcW w:w="4958" w:type="dxa"/>
          </w:tcPr>
          <w:p w:rsidR="0067421A" w:rsidRPr="00B069D9" w:rsidRDefault="00DD1E0D" w:rsidP="00F20805">
            <w:pPr>
              <w:tabs>
                <w:tab w:val="left" w:pos="-720"/>
              </w:tabs>
              <w:suppressAutoHyphens/>
              <w:rPr>
                <w:rFonts w:cs="Arial"/>
                <w:spacing w:val="-2"/>
                <w:szCs w:val="24"/>
                <w:lang w:eastAsia="en-GB"/>
              </w:rPr>
            </w:pPr>
            <w:r w:rsidRPr="00B069D9">
              <w:rPr>
                <w:rFonts w:cs="Arial"/>
                <w:spacing w:val="-2"/>
                <w:szCs w:val="24"/>
                <w:lang w:eastAsia="en-GB"/>
              </w:rPr>
              <w:t xml:space="preserve">Birmingham City Council should review its systems, processes and policies regarding the support it provides to maintained schools to ensure </w:t>
            </w:r>
            <w:r w:rsidR="009E6EC3" w:rsidRPr="00B069D9">
              <w:rPr>
                <w:rFonts w:cs="Arial"/>
                <w:spacing w:val="-2"/>
                <w:szCs w:val="24"/>
                <w:lang w:eastAsia="en-GB"/>
              </w:rPr>
              <w:t xml:space="preserve">that </w:t>
            </w:r>
            <w:r w:rsidRPr="00B069D9">
              <w:rPr>
                <w:rFonts w:cs="Arial"/>
                <w:spacing w:val="-2"/>
                <w:szCs w:val="24"/>
                <w:lang w:eastAsia="en-GB"/>
              </w:rPr>
              <w:t>they are more strategic and joined-up across the range of functions (including HR, governor support and school improvement).</w:t>
            </w:r>
            <w:r w:rsidR="00731C87">
              <w:rPr>
                <w:rFonts w:cs="Arial"/>
                <w:spacing w:val="-2"/>
                <w:szCs w:val="24"/>
                <w:lang w:eastAsia="en-GB"/>
              </w:rPr>
              <w:t xml:space="preserve"> </w:t>
            </w:r>
            <w:r w:rsidR="0067421A" w:rsidRPr="00B069D9">
              <w:rPr>
                <w:rFonts w:cs="Arial"/>
                <w:spacing w:val="-2"/>
                <w:szCs w:val="24"/>
                <w:lang w:eastAsia="en-GB"/>
              </w:rPr>
              <w:t xml:space="preserve">In particular, it should ensure that: </w:t>
            </w:r>
          </w:p>
          <w:p w:rsidR="0067421A" w:rsidRPr="00B069D9" w:rsidRDefault="0067421A" w:rsidP="00936929">
            <w:pPr>
              <w:pStyle w:val="ListParagraph"/>
              <w:numPr>
                <w:ilvl w:val="0"/>
                <w:numId w:val="19"/>
              </w:numPr>
              <w:tabs>
                <w:tab w:val="left" w:pos="-720"/>
              </w:tabs>
              <w:suppressAutoHyphens/>
              <w:ind w:left="357" w:hanging="357"/>
              <w:rPr>
                <w:rFonts w:cs="Arial"/>
                <w:spacing w:val="-2"/>
                <w:szCs w:val="24"/>
                <w:lang w:eastAsia="en-GB"/>
              </w:rPr>
            </w:pPr>
            <w:r w:rsidRPr="00B069D9">
              <w:rPr>
                <w:rFonts w:cs="Arial"/>
                <w:spacing w:val="-2"/>
                <w:szCs w:val="24"/>
                <w:lang w:eastAsia="en-GB"/>
              </w:rPr>
              <w:t xml:space="preserve">concerns are considered not just on a case by case basis, but reviewed to ensure that any emerging trend is identified and addressed; </w:t>
            </w:r>
          </w:p>
          <w:p w:rsidR="0067421A" w:rsidRPr="00B069D9" w:rsidRDefault="0067421A" w:rsidP="00936929">
            <w:pPr>
              <w:pStyle w:val="ListParagraph"/>
              <w:numPr>
                <w:ilvl w:val="0"/>
                <w:numId w:val="19"/>
              </w:numPr>
              <w:tabs>
                <w:tab w:val="left" w:pos="-720"/>
              </w:tabs>
              <w:suppressAutoHyphens/>
              <w:ind w:left="357" w:hanging="357"/>
              <w:rPr>
                <w:rFonts w:cs="Arial"/>
                <w:spacing w:val="-2"/>
                <w:szCs w:val="24"/>
                <w:lang w:eastAsia="en-GB"/>
              </w:rPr>
            </w:pPr>
            <w:r w:rsidRPr="00B069D9">
              <w:rPr>
                <w:rFonts w:cs="Arial"/>
                <w:spacing w:val="-2"/>
                <w:szCs w:val="24"/>
                <w:lang w:eastAsia="en-GB"/>
              </w:rPr>
              <w:t xml:space="preserve">intervention is considered in all cases; </w:t>
            </w:r>
          </w:p>
          <w:p w:rsidR="0067421A" w:rsidRPr="00B069D9" w:rsidRDefault="0067421A" w:rsidP="00936929">
            <w:pPr>
              <w:pStyle w:val="ListParagraph"/>
              <w:numPr>
                <w:ilvl w:val="0"/>
                <w:numId w:val="19"/>
              </w:numPr>
              <w:tabs>
                <w:tab w:val="left" w:pos="-720"/>
              </w:tabs>
              <w:suppressAutoHyphens/>
              <w:ind w:left="357" w:hanging="357"/>
              <w:rPr>
                <w:rFonts w:cs="Arial"/>
                <w:spacing w:val="-2"/>
                <w:szCs w:val="24"/>
                <w:lang w:eastAsia="en-GB"/>
              </w:rPr>
            </w:pPr>
            <w:r w:rsidRPr="00B069D9">
              <w:rPr>
                <w:rFonts w:cs="Arial"/>
                <w:spacing w:val="-2"/>
                <w:szCs w:val="24"/>
                <w:lang w:eastAsia="en-GB"/>
              </w:rPr>
              <w:t xml:space="preserve">the appropriate balance is struck in all cases where there is an actual or perceived tension between community cohesion concerns and educational or safeguarding issues, and that decision-making is not overly influenced by a vocal minority; and </w:t>
            </w:r>
          </w:p>
          <w:p w:rsidR="00F20805" w:rsidRPr="009A4ECE" w:rsidRDefault="0067421A" w:rsidP="00936929">
            <w:pPr>
              <w:pStyle w:val="ListParagraph"/>
              <w:numPr>
                <w:ilvl w:val="0"/>
                <w:numId w:val="19"/>
              </w:numPr>
              <w:tabs>
                <w:tab w:val="left" w:pos="-720"/>
              </w:tabs>
              <w:suppressAutoHyphens/>
              <w:ind w:left="357" w:hanging="357"/>
              <w:rPr>
                <w:rFonts w:cs="Arial"/>
                <w:spacing w:val="-2"/>
                <w:szCs w:val="24"/>
                <w:lang w:eastAsia="en-GB"/>
              </w:rPr>
            </w:pPr>
            <w:r w:rsidRPr="00B069D9">
              <w:rPr>
                <w:rFonts w:cs="Arial"/>
                <w:spacing w:val="-2"/>
                <w:szCs w:val="24"/>
                <w:lang w:eastAsia="en-GB"/>
              </w:rPr>
              <w:t>there is effective information sharing – including on criminal issues and safeguarding concerns – between all parts of Birmingham City Council and with other agencies such as the police, the Education Funding Agency and the Department for Education.</w:t>
            </w:r>
          </w:p>
        </w:tc>
        <w:tc>
          <w:tcPr>
            <w:tcW w:w="7374" w:type="dxa"/>
          </w:tcPr>
          <w:p w:rsidR="00DD1E0D" w:rsidRPr="00B069D9" w:rsidRDefault="00DD1E0D" w:rsidP="00F20805">
            <w:pPr>
              <w:tabs>
                <w:tab w:val="left" w:pos="-720"/>
              </w:tabs>
              <w:suppressAutoHyphens/>
              <w:ind w:left="30"/>
              <w:rPr>
                <w:rFonts w:cs="Arial"/>
                <w:spacing w:val="-2"/>
                <w:szCs w:val="24"/>
                <w:lang w:eastAsia="en-GB"/>
              </w:rPr>
            </w:pPr>
            <w:r w:rsidRPr="00B069D9">
              <w:rPr>
                <w:rFonts w:cs="Arial"/>
                <w:spacing w:val="-2"/>
                <w:szCs w:val="24"/>
                <w:lang w:eastAsia="en-GB"/>
              </w:rPr>
              <w:t xml:space="preserve">Sir Mike Tomlinson </w:t>
            </w:r>
            <w:r w:rsidR="00074000" w:rsidRPr="00B069D9">
              <w:rPr>
                <w:rFonts w:cs="Arial"/>
                <w:spacing w:val="-2"/>
                <w:szCs w:val="24"/>
                <w:lang w:eastAsia="en-GB"/>
              </w:rPr>
              <w:t xml:space="preserve">has been </w:t>
            </w:r>
            <w:r w:rsidRPr="00B069D9">
              <w:rPr>
                <w:rFonts w:cs="Arial"/>
                <w:spacing w:val="-2"/>
                <w:szCs w:val="24"/>
                <w:lang w:eastAsia="en-GB"/>
              </w:rPr>
              <w:t>appointed as Education Commissioner (announced b</w:t>
            </w:r>
            <w:r w:rsidR="00074000" w:rsidRPr="00B069D9">
              <w:rPr>
                <w:rFonts w:cs="Arial"/>
                <w:spacing w:val="-2"/>
                <w:szCs w:val="24"/>
                <w:lang w:eastAsia="en-GB"/>
              </w:rPr>
              <w:t>y the Secretary of State on 25</w:t>
            </w:r>
            <w:r w:rsidRPr="00B069D9">
              <w:rPr>
                <w:rFonts w:cs="Arial"/>
                <w:spacing w:val="-2"/>
                <w:szCs w:val="24"/>
                <w:lang w:eastAsia="en-GB"/>
              </w:rPr>
              <w:t xml:space="preserve"> September 2014), and his tenure has now been extended to March 2016.</w:t>
            </w:r>
          </w:p>
          <w:p w:rsidR="00DD1E0D" w:rsidRPr="00B069D9" w:rsidRDefault="00DD1E0D" w:rsidP="00F20805">
            <w:pPr>
              <w:tabs>
                <w:tab w:val="left" w:pos="-720"/>
              </w:tabs>
              <w:suppressAutoHyphens/>
              <w:ind w:left="30"/>
              <w:rPr>
                <w:rFonts w:cs="Arial"/>
                <w:spacing w:val="-2"/>
                <w:szCs w:val="24"/>
                <w:lang w:eastAsia="en-GB"/>
              </w:rPr>
            </w:pPr>
          </w:p>
          <w:p w:rsidR="00DD1E0D" w:rsidRPr="00B069D9" w:rsidRDefault="00074000" w:rsidP="00F20805">
            <w:pPr>
              <w:widowControl/>
              <w:overflowPunct/>
              <w:autoSpaceDE/>
              <w:autoSpaceDN/>
              <w:adjustRightInd/>
              <w:textAlignment w:val="auto"/>
              <w:rPr>
                <w:rFonts w:cs="Arial"/>
                <w:spacing w:val="-2"/>
                <w:szCs w:val="24"/>
                <w:lang w:eastAsia="en-GB"/>
              </w:rPr>
            </w:pPr>
            <w:r w:rsidRPr="00B069D9">
              <w:rPr>
                <w:rFonts w:cs="Arial"/>
                <w:spacing w:val="-2"/>
                <w:szCs w:val="24"/>
                <w:lang w:eastAsia="en-GB"/>
              </w:rPr>
              <w:t>Birmingham City Council’s single integrated improvement plan was signed off on 1 December and is underpinned by a detailed programme of work, which is being overseen by the Commissioner.</w:t>
            </w:r>
          </w:p>
        </w:tc>
        <w:tc>
          <w:tcPr>
            <w:tcW w:w="1701" w:type="dxa"/>
          </w:tcPr>
          <w:p w:rsidR="00DD1E0D" w:rsidRPr="00B069D9" w:rsidRDefault="00DD1E0D" w:rsidP="00936929">
            <w:pPr>
              <w:tabs>
                <w:tab w:val="left" w:pos="-720"/>
              </w:tabs>
              <w:suppressAutoHyphens/>
              <w:ind w:left="-108" w:right="-108"/>
              <w:jc w:val="center"/>
              <w:rPr>
                <w:rFonts w:cs="Arial"/>
                <w:spacing w:val="-2"/>
                <w:szCs w:val="24"/>
                <w:lang w:eastAsia="en-GB"/>
              </w:rPr>
            </w:pPr>
            <w:r w:rsidRPr="00B069D9">
              <w:rPr>
                <w:rFonts w:cs="Arial"/>
                <w:b/>
                <w:spacing w:val="-2"/>
                <w:szCs w:val="24"/>
                <w:lang w:eastAsia="en-GB"/>
              </w:rPr>
              <w:t xml:space="preserve">Review completed </w:t>
            </w:r>
            <w:r w:rsidRPr="00936929">
              <w:rPr>
                <w:rFonts w:cs="Arial"/>
                <w:spacing w:val="-2"/>
                <w:szCs w:val="24"/>
                <w:lang w:eastAsia="en-GB"/>
              </w:rPr>
              <w:t>I</w:t>
            </w:r>
            <w:r w:rsidRPr="00B069D9">
              <w:rPr>
                <w:rFonts w:cs="Arial"/>
                <w:spacing w:val="-2"/>
                <w:szCs w:val="24"/>
                <w:lang w:eastAsia="en-GB"/>
              </w:rPr>
              <w:t>mplementation underway</w:t>
            </w:r>
          </w:p>
        </w:tc>
      </w:tr>
      <w:tr w:rsidR="00074000" w:rsidRPr="00074000" w:rsidTr="00DD1E0D">
        <w:trPr>
          <w:trHeight w:val="556"/>
        </w:trPr>
        <w:tc>
          <w:tcPr>
            <w:tcW w:w="426" w:type="dxa"/>
          </w:tcPr>
          <w:p w:rsidR="00DD1E0D" w:rsidRPr="0074256E" w:rsidRDefault="00DD1E0D" w:rsidP="00074000">
            <w:pPr>
              <w:tabs>
                <w:tab w:val="left" w:pos="-720"/>
              </w:tabs>
              <w:suppressAutoHyphens/>
              <w:rPr>
                <w:rFonts w:asciiTheme="minorHAnsi" w:hAnsiTheme="minorHAnsi" w:cs="Arial"/>
                <w:spacing w:val="-2"/>
                <w:sz w:val="20"/>
                <w:lang w:eastAsia="en-GB"/>
              </w:rPr>
            </w:pPr>
            <w:r w:rsidRPr="0074256E">
              <w:rPr>
                <w:rFonts w:asciiTheme="minorHAnsi" w:hAnsiTheme="minorHAnsi" w:cs="Arial"/>
                <w:spacing w:val="-2"/>
                <w:sz w:val="20"/>
                <w:lang w:eastAsia="en-GB"/>
              </w:rPr>
              <w:lastRenderedPageBreak/>
              <w:t>5</w:t>
            </w:r>
          </w:p>
        </w:tc>
        <w:tc>
          <w:tcPr>
            <w:tcW w:w="4958" w:type="dxa"/>
          </w:tcPr>
          <w:p w:rsidR="0067421A" w:rsidRPr="00B069D9" w:rsidRDefault="00DD1E0D" w:rsidP="00F20805">
            <w:pPr>
              <w:tabs>
                <w:tab w:val="left" w:pos="-720"/>
              </w:tabs>
              <w:suppressAutoHyphens/>
              <w:rPr>
                <w:rFonts w:cs="Arial"/>
                <w:spacing w:val="-2"/>
                <w:szCs w:val="24"/>
                <w:lang w:eastAsia="en-GB"/>
              </w:rPr>
            </w:pPr>
            <w:r w:rsidRPr="00B069D9">
              <w:rPr>
                <w:rFonts w:cs="Arial"/>
                <w:spacing w:val="-2"/>
                <w:szCs w:val="24"/>
                <w:lang w:eastAsia="en-GB"/>
              </w:rPr>
              <w:t xml:space="preserve">Birmingham City Council, </w:t>
            </w:r>
            <w:r w:rsidR="009E6EC3" w:rsidRPr="00B069D9">
              <w:rPr>
                <w:rFonts w:cs="Arial"/>
                <w:spacing w:val="-2"/>
                <w:szCs w:val="24"/>
                <w:lang w:eastAsia="en-GB"/>
              </w:rPr>
              <w:t xml:space="preserve">the </w:t>
            </w:r>
            <w:r w:rsidRPr="00B069D9">
              <w:rPr>
                <w:rFonts w:cs="Arial"/>
                <w:spacing w:val="-2"/>
                <w:szCs w:val="24"/>
                <w:lang w:eastAsia="en-GB"/>
              </w:rPr>
              <w:t xml:space="preserve">Department for Education, </w:t>
            </w:r>
            <w:r w:rsidR="009E6EC3" w:rsidRPr="00B069D9">
              <w:rPr>
                <w:rFonts w:cs="Arial"/>
                <w:spacing w:val="-2"/>
                <w:szCs w:val="24"/>
                <w:lang w:eastAsia="en-GB"/>
              </w:rPr>
              <w:t xml:space="preserve">the </w:t>
            </w:r>
            <w:r w:rsidRPr="00B069D9">
              <w:rPr>
                <w:rFonts w:cs="Arial"/>
                <w:spacing w:val="-2"/>
                <w:szCs w:val="24"/>
                <w:lang w:eastAsia="en-GB"/>
              </w:rPr>
              <w:t xml:space="preserve">Education Funding Agency and Ofsted should review their </w:t>
            </w:r>
            <w:r w:rsidR="009E6EC3" w:rsidRPr="00B069D9">
              <w:rPr>
                <w:rFonts w:cs="Arial"/>
                <w:spacing w:val="-2"/>
                <w:szCs w:val="24"/>
                <w:lang w:eastAsia="en-GB"/>
              </w:rPr>
              <w:t xml:space="preserve">respective </w:t>
            </w:r>
            <w:r w:rsidRPr="00B069D9">
              <w:rPr>
                <w:rFonts w:cs="Arial"/>
                <w:spacing w:val="-2"/>
                <w:szCs w:val="24"/>
                <w:lang w:eastAsia="en-GB"/>
              </w:rPr>
              <w:t>existing channels for raising issues of concern and ensure that they</w:t>
            </w:r>
            <w:r w:rsidR="0067421A" w:rsidRPr="00B069D9">
              <w:rPr>
                <w:rFonts w:cs="Arial"/>
                <w:spacing w:val="-2"/>
                <w:szCs w:val="24"/>
                <w:lang w:eastAsia="en-GB"/>
              </w:rPr>
              <w:t>:</w:t>
            </w:r>
          </w:p>
          <w:p w:rsidR="0067421A" w:rsidRPr="00B069D9" w:rsidRDefault="00DD1E0D" w:rsidP="00936929">
            <w:pPr>
              <w:pStyle w:val="ListParagraph"/>
              <w:numPr>
                <w:ilvl w:val="0"/>
                <w:numId w:val="20"/>
              </w:numPr>
              <w:tabs>
                <w:tab w:val="left" w:pos="-720"/>
              </w:tabs>
              <w:suppressAutoHyphens/>
              <w:ind w:left="357" w:hanging="357"/>
              <w:rPr>
                <w:rFonts w:cs="Arial"/>
                <w:spacing w:val="-2"/>
                <w:szCs w:val="24"/>
                <w:lang w:eastAsia="en-GB"/>
              </w:rPr>
            </w:pPr>
            <w:r w:rsidRPr="00B069D9">
              <w:rPr>
                <w:rFonts w:cs="Arial"/>
                <w:spacing w:val="-2"/>
                <w:szCs w:val="24"/>
                <w:lang w:eastAsia="en-GB"/>
              </w:rPr>
              <w:t>are robust</w:t>
            </w:r>
            <w:r w:rsidR="009E6EC3" w:rsidRPr="00B069D9">
              <w:rPr>
                <w:rFonts w:cs="Arial"/>
                <w:spacing w:val="-2"/>
                <w:szCs w:val="24"/>
                <w:lang w:eastAsia="en-GB"/>
              </w:rPr>
              <w:t>, responsive</w:t>
            </w:r>
            <w:r w:rsidRPr="00B069D9">
              <w:rPr>
                <w:rFonts w:cs="Arial"/>
                <w:spacing w:val="-2"/>
                <w:szCs w:val="24"/>
                <w:lang w:eastAsia="en-GB"/>
              </w:rPr>
              <w:t xml:space="preserve"> and provide proper protection for those coming forward with sensitive concerns; and </w:t>
            </w:r>
          </w:p>
          <w:p w:rsidR="00DD1E0D" w:rsidRPr="00B069D9" w:rsidRDefault="00DD1E0D" w:rsidP="00936929">
            <w:pPr>
              <w:pStyle w:val="ListParagraph"/>
              <w:numPr>
                <w:ilvl w:val="0"/>
                <w:numId w:val="20"/>
              </w:numPr>
              <w:tabs>
                <w:tab w:val="left" w:pos="-720"/>
              </w:tabs>
              <w:suppressAutoHyphens/>
              <w:ind w:left="357" w:hanging="357"/>
              <w:rPr>
                <w:rFonts w:cs="Arial"/>
                <w:spacing w:val="-2"/>
                <w:szCs w:val="24"/>
                <w:lang w:eastAsia="en-GB"/>
              </w:rPr>
            </w:pPr>
            <w:r w:rsidRPr="00B069D9">
              <w:rPr>
                <w:rFonts w:cs="Arial"/>
                <w:spacing w:val="-2"/>
                <w:szCs w:val="24"/>
                <w:lang w:eastAsia="en-GB"/>
              </w:rPr>
              <w:t>judge properly whether there are indicators of extremism, and refer the cases to the relevant authority to consider.</w:t>
            </w:r>
          </w:p>
          <w:p w:rsidR="00DD1E0D" w:rsidRPr="00B069D9" w:rsidRDefault="00DD1E0D" w:rsidP="00F20805">
            <w:pPr>
              <w:widowControl/>
              <w:tabs>
                <w:tab w:val="left" w:pos="-720"/>
              </w:tabs>
              <w:suppressAutoHyphens/>
              <w:overflowPunct/>
              <w:autoSpaceDE/>
              <w:autoSpaceDN/>
              <w:adjustRightInd/>
              <w:textAlignment w:val="auto"/>
              <w:rPr>
                <w:rFonts w:cs="Arial"/>
                <w:spacing w:val="-2"/>
                <w:szCs w:val="24"/>
                <w:lang w:eastAsia="en-GB"/>
              </w:rPr>
            </w:pPr>
          </w:p>
          <w:p w:rsidR="00DD1E0D" w:rsidRPr="00B069D9" w:rsidRDefault="0067421A" w:rsidP="00F20805">
            <w:pPr>
              <w:widowControl/>
              <w:tabs>
                <w:tab w:val="left" w:pos="-720"/>
              </w:tabs>
              <w:suppressAutoHyphens/>
              <w:overflowPunct/>
              <w:autoSpaceDE/>
              <w:autoSpaceDN/>
              <w:adjustRightInd/>
              <w:textAlignment w:val="auto"/>
              <w:rPr>
                <w:rFonts w:cs="Arial"/>
                <w:spacing w:val="-2"/>
                <w:szCs w:val="24"/>
                <w:lang w:eastAsia="en-GB"/>
              </w:rPr>
            </w:pPr>
            <w:r w:rsidRPr="00B069D9">
              <w:rPr>
                <w:rFonts w:cs="Arial"/>
                <w:spacing w:val="-2"/>
                <w:szCs w:val="24"/>
                <w:lang w:eastAsia="en-GB"/>
              </w:rPr>
              <w:t xml:space="preserve">In particular, Birmingham City Council should consider the establishment of an independent process for teachers and governors to raise concerns. </w:t>
            </w:r>
            <w:r w:rsidR="00DD1E0D" w:rsidRPr="00B069D9">
              <w:rPr>
                <w:rFonts w:cs="Arial"/>
                <w:spacing w:val="-2"/>
                <w:szCs w:val="24"/>
                <w:lang w:eastAsia="en-GB"/>
              </w:rPr>
              <w:t>The Department for Education should ensure that the receipt of sensitive complaints forms part of the new Regional Schools Commissioners’ responsibilities, and that the Regional Schools Commissioners are able to refer complaints and concerns to the relevant agency for further investigation.</w:t>
            </w:r>
            <w:r w:rsidR="00731C87">
              <w:rPr>
                <w:rFonts w:cs="Arial"/>
                <w:spacing w:val="-2"/>
                <w:szCs w:val="24"/>
                <w:lang w:eastAsia="en-GB"/>
              </w:rPr>
              <w:t xml:space="preserve"> </w:t>
            </w:r>
          </w:p>
        </w:tc>
        <w:tc>
          <w:tcPr>
            <w:tcW w:w="7374" w:type="dxa"/>
          </w:tcPr>
          <w:p w:rsidR="00DD1E0D" w:rsidRPr="00B069D9" w:rsidRDefault="00DD1E0D" w:rsidP="00F20805">
            <w:pPr>
              <w:rPr>
                <w:rFonts w:cs="Arial"/>
                <w:szCs w:val="24"/>
              </w:rPr>
            </w:pPr>
            <w:r w:rsidRPr="00B069D9">
              <w:rPr>
                <w:rFonts w:cs="Arial"/>
                <w:szCs w:val="24"/>
              </w:rPr>
              <w:t xml:space="preserve">Ofsted is reviewing its arrangements for handling all forms of complaint. </w:t>
            </w:r>
          </w:p>
          <w:p w:rsidR="00DD1E0D" w:rsidRPr="00B069D9" w:rsidRDefault="00DD1E0D" w:rsidP="00F20805">
            <w:pPr>
              <w:rPr>
                <w:rFonts w:cs="Arial"/>
                <w:szCs w:val="24"/>
              </w:rPr>
            </w:pPr>
          </w:p>
          <w:p w:rsidR="00DD1E0D" w:rsidRPr="00B069D9" w:rsidRDefault="00DD1E0D" w:rsidP="00F20805">
            <w:pPr>
              <w:widowControl/>
              <w:overflowPunct/>
              <w:autoSpaceDE/>
              <w:autoSpaceDN/>
              <w:adjustRightInd/>
              <w:textAlignment w:val="auto"/>
              <w:rPr>
                <w:rFonts w:cs="Arial"/>
                <w:szCs w:val="24"/>
              </w:rPr>
            </w:pPr>
            <w:r w:rsidRPr="00B069D9">
              <w:rPr>
                <w:rFonts w:cs="Arial"/>
                <w:szCs w:val="24"/>
              </w:rPr>
              <w:t xml:space="preserve">The department is planning improvements to the process for school staff and the general public to contact the department to help ensure safeguarding concerns, including radicalisation and extremism, are acted on promptly. </w:t>
            </w:r>
          </w:p>
          <w:p w:rsidR="00DD1E0D" w:rsidRPr="00B069D9" w:rsidRDefault="00DD1E0D" w:rsidP="00F20805">
            <w:pPr>
              <w:widowControl/>
              <w:overflowPunct/>
              <w:autoSpaceDE/>
              <w:autoSpaceDN/>
              <w:adjustRightInd/>
              <w:textAlignment w:val="auto"/>
              <w:rPr>
                <w:rFonts w:cs="Arial"/>
                <w:szCs w:val="24"/>
              </w:rPr>
            </w:pPr>
          </w:p>
          <w:p w:rsidR="00DD1E0D" w:rsidRPr="00B069D9" w:rsidRDefault="00DD1E0D" w:rsidP="00F20805">
            <w:pPr>
              <w:widowControl/>
              <w:overflowPunct/>
              <w:autoSpaceDE/>
              <w:autoSpaceDN/>
              <w:adjustRightInd/>
              <w:textAlignment w:val="auto"/>
              <w:rPr>
                <w:rFonts w:cs="Arial"/>
                <w:szCs w:val="24"/>
              </w:rPr>
            </w:pPr>
            <w:r w:rsidRPr="00B069D9">
              <w:rPr>
                <w:rFonts w:cs="Arial"/>
                <w:szCs w:val="24"/>
              </w:rPr>
              <w:t>The department intends to extend the legal protections in the Public Interest Disclosure Act</w:t>
            </w:r>
            <w:r w:rsidR="00731C87">
              <w:rPr>
                <w:rFonts w:cs="Arial"/>
                <w:szCs w:val="24"/>
              </w:rPr>
              <w:t xml:space="preserve"> </w:t>
            </w:r>
            <w:r w:rsidRPr="00B069D9">
              <w:rPr>
                <w:rFonts w:cs="Arial"/>
                <w:szCs w:val="24"/>
              </w:rPr>
              <w:t>2013 (PIDA)</w:t>
            </w:r>
            <w:r w:rsidR="00D605DC">
              <w:rPr>
                <w:rFonts w:cs="Arial"/>
                <w:szCs w:val="24"/>
              </w:rPr>
              <w:t xml:space="preserve"> </w:t>
            </w:r>
            <w:r w:rsidRPr="00B069D9">
              <w:rPr>
                <w:rFonts w:cs="Arial"/>
                <w:szCs w:val="24"/>
              </w:rPr>
              <w:t>so that school staff making whistleblowing allegations regarding extremism concerns to the department are protected, through the regulations owned by BIS in relation to designated bodies under PIDA</w:t>
            </w:r>
            <w:r w:rsidR="00A12C70" w:rsidRPr="00B069D9">
              <w:rPr>
                <w:rFonts w:cs="Arial"/>
                <w:szCs w:val="24"/>
              </w:rPr>
              <w:t>.</w:t>
            </w:r>
          </w:p>
          <w:p w:rsidR="00DD1E0D" w:rsidRPr="00B069D9" w:rsidRDefault="00DD1E0D" w:rsidP="00F20805">
            <w:pPr>
              <w:widowControl/>
              <w:overflowPunct/>
              <w:autoSpaceDE/>
              <w:autoSpaceDN/>
              <w:adjustRightInd/>
              <w:textAlignment w:val="auto"/>
              <w:rPr>
                <w:rFonts w:cs="Arial"/>
                <w:szCs w:val="24"/>
              </w:rPr>
            </w:pPr>
          </w:p>
          <w:p w:rsidR="00F20805" w:rsidRPr="00B069D9" w:rsidRDefault="00074000" w:rsidP="00F20805">
            <w:pPr>
              <w:pStyle w:val="NormalWeb"/>
              <w:spacing w:before="0" w:beforeAutospacing="0" w:after="0" w:afterAutospacing="0"/>
              <w:rPr>
                <w:rFonts w:ascii="Arial" w:hAnsi="Arial" w:cs="Arial"/>
                <w:b/>
                <w:bCs/>
              </w:rPr>
            </w:pPr>
            <w:r w:rsidRPr="00B069D9">
              <w:rPr>
                <w:rFonts w:ascii="Arial" w:hAnsi="Arial" w:cs="Arial"/>
                <w:spacing w:val="-2"/>
              </w:rPr>
              <w:t>Regional Schools Commissioners (</w:t>
            </w:r>
            <w:r w:rsidR="00DD1E0D" w:rsidRPr="00B069D9">
              <w:rPr>
                <w:rFonts w:ascii="Arial" w:hAnsi="Arial" w:cs="Arial"/>
                <w:spacing w:val="-2"/>
              </w:rPr>
              <w:t>RSCs</w:t>
            </w:r>
            <w:r w:rsidRPr="00B069D9">
              <w:rPr>
                <w:rFonts w:ascii="Arial" w:hAnsi="Arial" w:cs="Arial"/>
                <w:spacing w:val="-2"/>
              </w:rPr>
              <w:t>)</w:t>
            </w:r>
            <w:r w:rsidR="00DD1E0D" w:rsidRPr="00B069D9">
              <w:rPr>
                <w:rFonts w:ascii="Arial" w:hAnsi="Arial" w:cs="Arial"/>
                <w:spacing w:val="-2"/>
              </w:rPr>
              <w:t xml:space="preserve"> do not have a direct role in tackling extremism but</w:t>
            </w:r>
            <w:r w:rsidR="00DD1E0D" w:rsidRPr="00B069D9">
              <w:rPr>
                <w:rFonts w:ascii="Arial" w:hAnsi="Arial" w:cs="Arial"/>
              </w:rPr>
              <w:t xml:space="preserve"> are adding local intelligence to strengthen the DfE due diligence process.</w:t>
            </w:r>
            <w:r w:rsidR="00731C87">
              <w:rPr>
                <w:rFonts w:ascii="Arial" w:hAnsi="Arial" w:cs="Arial"/>
              </w:rPr>
              <w:t xml:space="preserve"> </w:t>
            </w:r>
            <w:r w:rsidR="00DD1E0D" w:rsidRPr="00B069D9">
              <w:rPr>
                <w:rFonts w:ascii="Arial" w:hAnsi="Arial" w:cs="Arial"/>
              </w:rPr>
              <w:t>All eight RSCs understand how to handle safeguarding concerns, which may include extremism, and have the structures and systems in place within their offices to respond promptly. RSCs report all complaints or concerns about extremism to the Due Diligence and Counter Extremism Group (DDCEG). RSCs are also working with local authorities, Ofsted and others to ensure all complaints are concerns are identified and reported to the DfE.</w:t>
            </w:r>
            <w:r w:rsidR="00731C87">
              <w:rPr>
                <w:rFonts w:ascii="Arial" w:hAnsi="Arial" w:cs="Arial"/>
              </w:rPr>
              <w:t xml:space="preserve"> </w:t>
            </w:r>
            <w:r w:rsidR="00DD1E0D" w:rsidRPr="00B069D9">
              <w:rPr>
                <w:rFonts w:ascii="Arial" w:hAnsi="Arial" w:cs="Arial"/>
              </w:rPr>
              <w:t xml:space="preserve">RSCs immediately report cases where there is a </w:t>
            </w:r>
            <w:r w:rsidR="00DD1E0D" w:rsidRPr="00B069D9">
              <w:rPr>
                <w:rFonts w:ascii="Arial" w:hAnsi="Arial" w:cs="Arial"/>
                <w:i/>
                <w:iCs/>
              </w:rPr>
              <w:t xml:space="preserve">child at immediate risk of danger or harm </w:t>
            </w:r>
            <w:r w:rsidR="00DD1E0D" w:rsidRPr="00B069D9">
              <w:rPr>
                <w:rFonts w:ascii="Arial" w:hAnsi="Arial" w:cs="Arial"/>
              </w:rPr>
              <w:t xml:space="preserve">to the Education Funding Agency (EFA) </w:t>
            </w:r>
            <w:r w:rsidRPr="00B069D9">
              <w:rPr>
                <w:rFonts w:ascii="Arial" w:hAnsi="Arial" w:cs="Arial"/>
              </w:rPr>
              <w:t>Territorial Director and the department</w:t>
            </w:r>
            <w:r w:rsidR="00DD1E0D" w:rsidRPr="00B069D9">
              <w:rPr>
                <w:rFonts w:ascii="Arial" w:hAnsi="Arial" w:cs="Arial"/>
              </w:rPr>
              <w:t>’s Children Services Team who will inform the Local Authority (LA) and request receipt of the case.</w:t>
            </w:r>
          </w:p>
        </w:tc>
        <w:tc>
          <w:tcPr>
            <w:tcW w:w="1701" w:type="dxa"/>
          </w:tcPr>
          <w:p w:rsidR="00DD1E0D" w:rsidRPr="00B069D9" w:rsidRDefault="00DD1E0D" w:rsidP="00B069D9">
            <w:pPr>
              <w:spacing w:line="480" w:lineRule="auto"/>
              <w:rPr>
                <w:rFonts w:cs="Arial"/>
                <w:szCs w:val="24"/>
              </w:rPr>
            </w:pPr>
            <w:r w:rsidRPr="00B069D9">
              <w:rPr>
                <w:rFonts w:cs="Arial"/>
                <w:szCs w:val="24"/>
              </w:rPr>
              <w:t>Underway</w:t>
            </w:r>
          </w:p>
        </w:tc>
      </w:tr>
      <w:tr w:rsidR="00074000" w:rsidRPr="00074000" w:rsidTr="00DD1E0D">
        <w:trPr>
          <w:trHeight w:val="1351"/>
        </w:trPr>
        <w:tc>
          <w:tcPr>
            <w:tcW w:w="426" w:type="dxa"/>
          </w:tcPr>
          <w:p w:rsidR="00DD1E0D" w:rsidRPr="0074256E" w:rsidRDefault="00DD1E0D" w:rsidP="00074000">
            <w:pPr>
              <w:tabs>
                <w:tab w:val="left" w:pos="-720"/>
              </w:tabs>
              <w:suppressAutoHyphens/>
              <w:rPr>
                <w:rFonts w:asciiTheme="minorHAnsi" w:hAnsiTheme="minorHAnsi" w:cs="Arial"/>
                <w:spacing w:val="-2"/>
                <w:sz w:val="20"/>
                <w:lang w:eastAsia="en-GB"/>
              </w:rPr>
            </w:pPr>
            <w:r w:rsidRPr="0074256E">
              <w:rPr>
                <w:rFonts w:asciiTheme="minorHAnsi" w:hAnsiTheme="minorHAnsi" w:cs="Arial"/>
                <w:spacing w:val="-2"/>
                <w:sz w:val="20"/>
                <w:lang w:eastAsia="en-GB"/>
              </w:rPr>
              <w:t>6</w:t>
            </w:r>
          </w:p>
        </w:tc>
        <w:tc>
          <w:tcPr>
            <w:tcW w:w="4958" w:type="dxa"/>
          </w:tcPr>
          <w:p w:rsidR="00F20805" w:rsidRPr="00B069D9" w:rsidRDefault="00DD1E0D" w:rsidP="00F20805">
            <w:pPr>
              <w:tabs>
                <w:tab w:val="left" w:pos="-720"/>
              </w:tabs>
              <w:suppressAutoHyphens/>
              <w:rPr>
                <w:rFonts w:cs="Arial"/>
                <w:spacing w:val="-2"/>
                <w:szCs w:val="24"/>
                <w:lang w:eastAsia="en-GB"/>
              </w:rPr>
            </w:pPr>
            <w:r w:rsidRPr="00B069D9">
              <w:rPr>
                <w:rFonts w:cs="Arial"/>
                <w:spacing w:val="-2"/>
                <w:szCs w:val="24"/>
                <w:lang w:eastAsia="en-GB"/>
              </w:rPr>
              <w:t xml:space="preserve">Birmingham City Council should review all compromise agreements signed with headteachers in the last five years to consider whether they were appropriate and whether </w:t>
            </w:r>
            <w:r w:rsidR="00D605DC" w:rsidRPr="00B069D9">
              <w:rPr>
                <w:rFonts w:cs="Arial"/>
                <w:spacing w:val="-2"/>
                <w:szCs w:val="24"/>
                <w:lang w:eastAsia="en-GB"/>
              </w:rPr>
              <w:t xml:space="preserve">Birmingham City Council </w:t>
            </w:r>
            <w:r w:rsidRPr="00B069D9">
              <w:rPr>
                <w:rFonts w:cs="Arial"/>
                <w:spacing w:val="-2"/>
                <w:szCs w:val="24"/>
                <w:lang w:eastAsia="en-GB"/>
              </w:rPr>
              <w:t>should have done more to exercise their duty of care.</w:t>
            </w:r>
          </w:p>
        </w:tc>
        <w:tc>
          <w:tcPr>
            <w:tcW w:w="7374" w:type="dxa"/>
          </w:tcPr>
          <w:p w:rsidR="00DD1E0D" w:rsidRPr="00B069D9" w:rsidRDefault="00DD1E0D" w:rsidP="00F20805">
            <w:pPr>
              <w:tabs>
                <w:tab w:val="left" w:pos="-720"/>
              </w:tabs>
              <w:suppressAutoHyphens/>
              <w:ind w:left="30"/>
              <w:rPr>
                <w:rFonts w:cs="Arial"/>
                <w:spacing w:val="-2"/>
                <w:szCs w:val="24"/>
                <w:lang w:eastAsia="en-GB"/>
              </w:rPr>
            </w:pPr>
            <w:r w:rsidRPr="00B069D9">
              <w:rPr>
                <w:rFonts w:cs="Arial"/>
                <w:spacing w:val="-2"/>
                <w:szCs w:val="24"/>
                <w:lang w:eastAsia="en-GB"/>
              </w:rPr>
              <w:t>B</w:t>
            </w:r>
            <w:r w:rsidR="00074000" w:rsidRPr="00B069D9">
              <w:rPr>
                <w:rFonts w:cs="Arial"/>
                <w:spacing w:val="-2"/>
                <w:szCs w:val="24"/>
                <w:lang w:eastAsia="en-GB"/>
              </w:rPr>
              <w:t xml:space="preserve">irmingham </w:t>
            </w:r>
            <w:r w:rsidRPr="00B069D9">
              <w:rPr>
                <w:rFonts w:cs="Arial"/>
                <w:spacing w:val="-2"/>
                <w:szCs w:val="24"/>
                <w:lang w:eastAsia="en-GB"/>
              </w:rPr>
              <w:t>C</w:t>
            </w:r>
            <w:r w:rsidR="00074000" w:rsidRPr="00B069D9">
              <w:rPr>
                <w:rFonts w:cs="Arial"/>
                <w:spacing w:val="-2"/>
                <w:szCs w:val="24"/>
                <w:lang w:eastAsia="en-GB"/>
              </w:rPr>
              <w:t xml:space="preserve">ity </w:t>
            </w:r>
            <w:r w:rsidRPr="00B069D9">
              <w:rPr>
                <w:rFonts w:cs="Arial"/>
                <w:spacing w:val="-2"/>
                <w:szCs w:val="24"/>
                <w:lang w:eastAsia="en-GB"/>
              </w:rPr>
              <w:t>C</w:t>
            </w:r>
            <w:r w:rsidR="00074000" w:rsidRPr="00B069D9">
              <w:rPr>
                <w:rFonts w:cs="Arial"/>
                <w:spacing w:val="-2"/>
                <w:szCs w:val="24"/>
                <w:lang w:eastAsia="en-GB"/>
              </w:rPr>
              <w:t>ouncil</w:t>
            </w:r>
            <w:r w:rsidRPr="00B069D9">
              <w:rPr>
                <w:rFonts w:cs="Arial"/>
                <w:spacing w:val="-2"/>
                <w:szCs w:val="24"/>
                <w:lang w:eastAsia="en-GB"/>
              </w:rPr>
              <w:t xml:space="preserve"> </w:t>
            </w:r>
            <w:r w:rsidR="00364A41" w:rsidRPr="00B069D9">
              <w:rPr>
                <w:rFonts w:cs="Arial"/>
                <w:spacing w:val="-2"/>
                <w:szCs w:val="24"/>
                <w:lang w:eastAsia="en-GB"/>
              </w:rPr>
              <w:t xml:space="preserve">is </w:t>
            </w:r>
            <w:r w:rsidRPr="00B069D9">
              <w:rPr>
                <w:rFonts w:cs="Arial"/>
                <w:spacing w:val="-2"/>
                <w:szCs w:val="24"/>
                <w:lang w:eastAsia="en-GB"/>
              </w:rPr>
              <w:t xml:space="preserve">reviewing </w:t>
            </w:r>
            <w:r w:rsidR="00364A41" w:rsidRPr="00B069D9">
              <w:rPr>
                <w:rFonts w:cs="Arial"/>
                <w:spacing w:val="-2"/>
                <w:szCs w:val="24"/>
                <w:lang w:eastAsia="en-GB"/>
              </w:rPr>
              <w:t xml:space="preserve">the </w:t>
            </w:r>
            <w:r w:rsidRPr="00B069D9">
              <w:rPr>
                <w:rFonts w:cs="Arial"/>
                <w:spacing w:val="-2"/>
                <w:szCs w:val="24"/>
                <w:lang w:eastAsia="en-GB"/>
              </w:rPr>
              <w:t xml:space="preserve">compromise agreements and Sir Mike Tomlinson will ensure lessons are learnt from the process. </w:t>
            </w:r>
          </w:p>
          <w:p w:rsidR="00DD1E0D" w:rsidRPr="00B069D9" w:rsidRDefault="00DD1E0D" w:rsidP="00F20805">
            <w:pPr>
              <w:tabs>
                <w:tab w:val="left" w:pos="-720"/>
              </w:tabs>
              <w:suppressAutoHyphens/>
              <w:ind w:left="30"/>
              <w:rPr>
                <w:rFonts w:cs="Arial"/>
                <w:spacing w:val="-2"/>
                <w:szCs w:val="24"/>
                <w:lang w:eastAsia="en-GB"/>
              </w:rPr>
            </w:pPr>
          </w:p>
        </w:tc>
        <w:tc>
          <w:tcPr>
            <w:tcW w:w="1701" w:type="dxa"/>
          </w:tcPr>
          <w:p w:rsidR="00DD1E0D" w:rsidRPr="00B069D9" w:rsidRDefault="00DD1E0D" w:rsidP="00B069D9">
            <w:pPr>
              <w:tabs>
                <w:tab w:val="left" w:pos="-720"/>
              </w:tabs>
              <w:suppressAutoHyphens/>
              <w:spacing w:line="480" w:lineRule="auto"/>
              <w:ind w:left="30"/>
              <w:rPr>
                <w:rFonts w:cs="Arial"/>
                <w:spacing w:val="-2"/>
                <w:szCs w:val="24"/>
                <w:lang w:eastAsia="en-GB"/>
              </w:rPr>
            </w:pPr>
            <w:r w:rsidRPr="00B069D9">
              <w:rPr>
                <w:rFonts w:cs="Arial"/>
                <w:spacing w:val="-2"/>
                <w:szCs w:val="24"/>
                <w:lang w:eastAsia="en-GB"/>
              </w:rPr>
              <w:t>Underway</w:t>
            </w:r>
          </w:p>
        </w:tc>
      </w:tr>
      <w:tr w:rsidR="00074000" w:rsidRPr="00074000" w:rsidTr="00DD1E0D">
        <w:trPr>
          <w:trHeight w:val="1351"/>
        </w:trPr>
        <w:tc>
          <w:tcPr>
            <w:tcW w:w="426" w:type="dxa"/>
          </w:tcPr>
          <w:p w:rsidR="00DD1E0D" w:rsidRPr="0074256E" w:rsidRDefault="00DD1E0D" w:rsidP="00074000">
            <w:pPr>
              <w:widowControl/>
              <w:overflowPunct/>
              <w:autoSpaceDE/>
              <w:autoSpaceDN/>
              <w:adjustRightInd/>
              <w:textAlignment w:val="auto"/>
              <w:rPr>
                <w:rFonts w:asciiTheme="minorHAnsi" w:hAnsiTheme="minorHAnsi" w:cs="Arial"/>
                <w:spacing w:val="-2"/>
                <w:sz w:val="20"/>
                <w:lang w:eastAsia="en-GB"/>
              </w:rPr>
            </w:pPr>
            <w:r w:rsidRPr="0074256E">
              <w:rPr>
                <w:rFonts w:asciiTheme="minorHAnsi" w:hAnsiTheme="minorHAnsi" w:cs="Arial"/>
                <w:spacing w:val="-2"/>
                <w:sz w:val="20"/>
                <w:lang w:eastAsia="en-GB"/>
              </w:rPr>
              <w:lastRenderedPageBreak/>
              <w:t>7</w:t>
            </w:r>
          </w:p>
        </w:tc>
        <w:tc>
          <w:tcPr>
            <w:tcW w:w="4958" w:type="dxa"/>
          </w:tcPr>
          <w:p w:rsidR="00F20805" w:rsidRPr="00B069D9" w:rsidRDefault="00DD1E0D" w:rsidP="00F20805">
            <w:pPr>
              <w:widowControl/>
              <w:overflowPunct/>
              <w:autoSpaceDE/>
              <w:autoSpaceDN/>
              <w:adjustRightInd/>
              <w:textAlignment w:val="auto"/>
              <w:rPr>
                <w:rFonts w:cs="Arial"/>
                <w:spacing w:val="-2"/>
                <w:szCs w:val="24"/>
                <w:lang w:eastAsia="en-GB"/>
              </w:rPr>
            </w:pPr>
            <w:r w:rsidRPr="00B069D9">
              <w:rPr>
                <w:rFonts w:cs="Arial"/>
                <w:spacing w:val="-2"/>
                <w:szCs w:val="24"/>
                <w:lang w:eastAsia="en-GB"/>
              </w:rPr>
              <w:t xml:space="preserve">The Department </w:t>
            </w:r>
            <w:r w:rsidR="009E6EC3" w:rsidRPr="00B069D9">
              <w:rPr>
                <w:rFonts w:cs="Arial"/>
                <w:spacing w:val="-2"/>
                <w:szCs w:val="24"/>
                <w:lang w:eastAsia="en-GB"/>
              </w:rPr>
              <w:t>for</w:t>
            </w:r>
            <w:r w:rsidRPr="00B069D9">
              <w:rPr>
                <w:rFonts w:cs="Arial"/>
                <w:spacing w:val="-2"/>
                <w:szCs w:val="24"/>
                <w:lang w:eastAsia="en-GB"/>
              </w:rPr>
              <w:t xml:space="preserve"> Education should review the process by which schools are a) able to convert to academy status; and b) become Multi Academy Trusts, to ensure that appropriate checks are conducted on the group and key individuals and that there is an accurate assessment of the trust’s capability and capacity.</w:t>
            </w:r>
            <w:r w:rsidR="00731C87">
              <w:rPr>
                <w:rFonts w:cs="Arial"/>
                <w:spacing w:val="-2"/>
                <w:szCs w:val="24"/>
                <w:lang w:eastAsia="en-GB"/>
              </w:rPr>
              <w:t xml:space="preserve"> </w:t>
            </w:r>
            <w:r w:rsidR="0067421A" w:rsidRPr="00B069D9">
              <w:rPr>
                <w:rFonts w:cs="Arial"/>
                <w:spacing w:val="-2"/>
                <w:szCs w:val="24"/>
                <w:lang w:eastAsia="en-GB"/>
              </w:rPr>
              <w:t>It should also consider urgently how best to capture local concerns during the conversion process, and review the brokerage (and re-brokerage) system through which schools are matched with academy sponsors to ensure that the process is transparent and understood by all parties.</w:t>
            </w:r>
          </w:p>
        </w:tc>
        <w:tc>
          <w:tcPr>
            <w:tcW w:w="7374" w:type="dxa"/>
          </w:tcPr>
          <w:p w:rsidR="00DD1E0D" w:rsidRPr="00B069D9" w:rsidRDefault="00DD1E0D" w:rsidP="00F20805">
            <w:pPr>
              <w:rPr>
                <w:rFonts w:cs="Arial"/>
                <w:spacing w:val="-2"/>
                <w:szCs w:val="24"/>
                <w:lang w:eastAsia="en-GB"/>
              </w:rPr>
            </w:pPr>
            <w:r w:rsidRPr="00B069D9">
              <w:rPr>
                <w:rFonts w:cs="Arial"/>
                <w:szCs w:val="24"/>
              </w:rPr>
              <w:t xml:space="preserve">There are robust processes in place to assess applications for academy status and for potential sponsors. Since 2014 </w:t>
            </w:r>
            <w:r w:rsidR="00074000" w:rsidRPr="00B069D9">
              <w:rPr>
                <w:rFonts w:cs="Arial"/>
                <w:szCs w:val="24"/>
              </w:rPr>
              <w:t>RSCs</w:t>
            </w:r>
            <w:r w:rsidRPr="00B069D9">
              <w:rPr>
                <w:rFonts w:cs="Arial"/>
                <w:szCs w:val="24"/>
              </w:rPr>
              <w:t xml:space="preserve"> now take decisions on </w:t>
            </w:r>
            <w:r w:rsidR="00364A41" w:rsidRPr="00B069D9">
              <w:rPr>
                <w:rFonts w:cs="Arial"/>
                <w:szCs w:val="24"/>
              </w:rPr>
              <w:t xml:space="preserve">academy </w:t>
            </w:r>
            <w:r w:rsidRPr="00B069D9">
              <w:rPr>
                <w:rFonts w:cs="Arial"/>
                <w:szCs w:val="24"/>
              </w:rPr>
              <w:t>convertor applications and with the help of their Head Teacher Boards they can bring to bear local intelligence on capacity and suitability. Organisations wishing to sponsor another school have to be formally approved</w:t>
            </w:r>
            <w:r w:rsidR="00364A41" w:rsidRPr="00B069D9">
              <w:rPr>
                <w:rFonts w:cs="Arial"/>
                <w:szCs w:val="24"/>
              </w:rPr>
              <w:t>.</w:t>
            </w:r>
            <w:r w:rsidR="00731C87">
              <w:rPr>
                <w:rFonts w:cs="Arial"/>
                <w:szCs w:val="24"/>
              </w:rPr>
              <w:t xml:space="preserve"> </w:t>
            </w:r>
            <w:r w:rsidR="00B069D9" w:rsidRPr="00B069D9">
              <w:rPr>
                <w:rFonts w:cs="Arial"/>
                <w:szCs w:val="24"/>
              </w:rPr>
              <w:t>This involves</w:t>
            </w:r>
            <w:r w:rsidRPr="00B069D9">
              <w:rPr>
                <w:rFonts w:cs="Arial"/>
                <w:szCs w:val="24"/>
              </w:rPr>
              <w:t xml:space="preserve"> an assessment of their capacity to bring about educational improvement and to run an organisation</w:t>
            </w:r>
            <w:r w:rsidR="00364A41" w:rsidRPr="00B069D9">
              <w:rPr>
                <w:rFonts w:cs="Arial"/>
                <w:szCs w:val="24"/>
              </w:rPr>
              <w:t xml:space="preserve"> successfully;</w:t>
            </w:r>
            <w:r w:rsidR="00731C87">
              <w:rPr>
                <w:rFonts w:cs="Arial"/>
                <w:szCs w:val="24"/>
              </w:rPr>
              <w:t xml:space="preserve"> </w:t>
            </w:r>
            <w:r w:rsidR="00364A41" w:rsidRPr="00B069D9">
              <w:rPr>
                <w:rFonts w:cs="Arial"/>
                <w:szCs w:val="24"/>
              </w:rPr>
              <w:t>it also involves due diligence checks</w:t>
            </w:r>
            <w:r w:rsidR="00731C87">
              <w:rPr>
                <w:rFonts w:cs="Arial"/>
                <w:szCs w:val="24"/>
              </w:rPr>
              <w:t xml:space="preserve"> </w:t>
            </w:r>
            <w:r w:rsidR="00364A41" w:rsidRPr="00B069D9">
              <w:rPr>
                <w:rFonts w:cs="Arial"/>
                <w:szCs w:val="24"/>
              </w:rPr>
              <w:t>on</w:t>
            </w:r>
            <w:r w:rsidR="00731C87">
              <w:rPr>
                <w:rFonts w:cs="Arial"/>
                <w:szCs w:val="24"/>
              </w:rPr>
              <w:t xml:space="preserve"> </w:t>
            </w:r>
            <w:r w:rsidRPr="00B069D9">
              <w:rPr>
                <w:rFonts w:cs="Arial"/>
                <w:szCs w:val="24"/>
              </w:rPr>
              <w:t>the background of key individuals</w:t>
            </w:r>
            <w:r w:rsidR="00364A41" w:rsidRPr="00B069D9">
              <w:rPr>
                <w:rFonts w:cs="Arial"/>
                <w:szCs w:val="24"/>
              </w:rPr>
              <w:t xml:space="preserve"> leading the proposed sponsor organisation</w:t>
            </w:r>
            <w:r w:rsidRPr="00B069D9">
              <w:rPr>
                <w:rFonts w:cs="Arial"/>
                <w:szCs w:val="24"/>
              </w:rPr>
              <w:t>. Checks are carried out on individuals who wish to be members or directors of a school converting to become an academy on a risk-based approach.</w:t>
            </w:r>
          </w:p>
        </w:tc>
        <w:tc>
          <w:tcPr>
            <w:tcW w:w="1701" w:type="dxa"/>
          </w:tcPr>
          <w:p w:rsidR="00DD1E0D" w:rsidRPr="00B069D9" w:rsidRDefault="00DD1E0D" w:rsidP="00B069D9">
            <w:pPr>
              <w:spacing w:line="480" w:lineRule="auto"/>
              <w:rPr>
                <w:rFonts w:cs="Arial"/>
                <w:b/>
                <w:szCs w:val="24"/>
              </w:rPr>
            </w:pPr>
            <w:r w:rsidRPr="00B069D9">
              <w:rPr>
                <w:rFonts w:cs="Arial"/>
                <w:b/>
                <w:szCs w:val="24"/>
              </w:rPr>
              <w:t xml:space="preserve">Complete </w:t>
            </w:r>
          </w:p>
        </w:tc>
      </w:tr>
      <w:tr w:rsidR="00074000" w:rsidRPr="00074000" w:rsidTr="00DD1E0D">
        <w:trPr>
          <w:trHeight w:val="758"/>
        </w:trPr>
        <w:tc>
          <w:tcPr>
            <w:tcW w:w="426" w:type="dxa"/>
          </w:tcPr>
          <w:p w:rsidR="00DD1E0D" w:rsidRPr="0074256E" w:rsidRDefault="00DD1E0D" w:rsidP="00074000">
            <w:pPr>
              <w:widowControl/>
              <w:overflowPunct/>
              <w:autoSpaceDE/>
              <w:autoSpaceDN/>
              <w:adjustRightInd/>
              <w:textAlignment w:val="auto"/>
              <w:rPr>
                <w:rFonts w:asciiTheme="minorHAnsi" w:hAnsiTheme="minorHAnsi" w:cs="Arial"/>
                <w:spacing w:val="-2"/>
                <w:sz w:val="20"/>
                <w:lang w:eastAsia="en-GB"/>
              </w:rPr>
            </w:pPr>
            <w:r w:rsidRPr="0074256E">
              <w:rPr>
                <w:rFonts w:asciiTheme="minorHAnsi" w:hAnsiTheme="minorHAnsi" w:cs="Arial"/>
                <w:spacing w:val="-2"/>
                <w:sz w:val="20"/>
                <w:lang w:eastAsia="en-GB"/>
              </w:rPr>
              <w:t>8</w:t>
            </w:r>
          </w:p>
        </w:tc>
        <w:tc>
          <w:tcPr>
            <w:tcW w:w="4958" w:type="dxa"/>
          </w:tcPr>
          <w:p w:rsidR="00DD1E0D" w:rsidRPr="00B069D9" w:rsidRDefault="00DD1E0D" w:rsidP="00F20805">
            <w:pPr>
              <w:widowControl/>
              <w:overflowPunct/>
              <w:autoSpaceDE/>
              <w:autoSpaceDN/>
              <w:adjustRightInd/>
              <w:textAlignment w:val="auto"/>
              <w:rPr>
                <w:rFonts w:cs="Arial"/>
                <w:spacing w:val="-2"/>
                <w:szCs w:val="24"/>
                <w:lang w:eastAsia="en-GB"/>
              </w:rPr>
            </w:pPr>
            <w:r w:rsidRPr="00B069D9">
              <w:rPr>
                <w:rFonts w:cs="Arial"/>
                <w:spacing w:val="-2"/>
                <w:szCs w:val="24"/>
                <w:lang w:eastAsia="en-GB"/>
              </w:rPr>
              <w:t xml:space="preserve">The Department for Education should consider the benefits of requiring academies to notify changes in the governing body to the </w:t>
            </w:r>
            <w:r w:rsidR="009E6EC3" w:rsidRPr="00B069D9">
              <w:rPr>
                <w:rFonts w:cs="Arial"/>
                <w:spacing w:val="-2"/>
                <w:szCs w:val="24"/>
                <w:lang w:eastAsia="en-GB"/>
              </w:rPr>
              <w:t>D</w:t>
            </w:r>
            <w:r w:rsidRPr="00B069D9">
              <w:rPr>
                <w:rFonts w:cs="Arial"/>
                <w:spacing w:val="-2"/>
                <w:szCs w:val="24"/>
                <w:lang w:eastAsia="en-GB"/>
              </w:rPr>
              <w:t>epartment along with stronger powers for the Secretary of State to bar an individual from taking part in the management of any type of school (including maintained schools and academies</w:t>
            </w:r>
            <w:r w:rsidR="009E6EC3" w:rsidRPr="00B069D9">
              <w:rPr>
                <w:rFonts w:cs="Arial"/>
                <w:spacing w:val="-2"/>
                <w:szCs w:val="24"/>
                <w:lang w:eastAsia="en-GB"/>
              </w:rPr>
              <w:t>).</w:t>
            </w:r>
            <w:r w:rsidR="0067421A" w:rsidRPr="00B069D9">
              <w:rPr>
                <w:rFonts w:cs="Arial"/>
                <w:spacing w:val="-2"/>
                <w:szCs w:val="24"/>
                <w:lang w:eastAsia="en-GB"/>
              </w:rPr>
              <w:t xml:space="preserve"> </w:t>
            </w:r>
          </w:p>
        </w:tc>
        <w:tc>
          <w:tcPr>
            <w:tcW w:w="7374" w:type="dxa"/>
          </w:tcPr>
          <w:p w:rsidR="00074000" w:rsidRPr="00B069D9" w:rsidRDefault="0073547E" w:rsidP="00F20805">
            <w:pPr>
              <w:rPr>
                <w:rFonts w:cs="Arial"/>
                <w:szCs w:val="24"/>
              </w:rPr>
            </w:pPr>
            <w:r w:rsidRPr="00B069D9">
              <w:rPr>
                <w:rFonts w:cs="Arial"/>
                <w:szCs w:val="24"/>
              </w:rPr>
              <w:t>A</w:t>
            </w:r>
            <w:r w:rsidR="00074000" w:rsidRPr="00B069D9">
              <w:rPr>
                <w:rFonts w:cs="Arial"/>
                <w:szCs w:val="24"/>
              </w:rPr>
              <w:t xml:space="preserve">cademies are required to </w:t>
            </w:r>
            <w:r w:rsidRPr="00B069D9">
              <w:rPr>
                <w:rFonts w:cs="Arial"/>
                <w:szCs w:val="24"/>
              </w:rPr>
              <w:t>provide the following information:</w:t>
            </w:r>
          </w:p>
          <w:p w:rsidR="0073547E" w:rsidRPr="00B069D9" w:rsidRDefault="009A4ECE" w:rsidP="00F20805">
            <w:pPr>
              <w:pStyle w:val="ListParagraph"/>
              <w:numPr>
                <w:ilvl w:val="0"/>
                <w:numId w:val="18"/>
              </w:numPr>
              <w:rPr>
                <w:rFonts w:cs="Arial"/>
                <w:szCs w:val="24"/>
              </w:rPr>
            </w:pPr>
            <w:r>
              <w:rPr>
                <w:rFonts w:cs="Arial"/>
                <w:szCs w:val="24"/>
              </w:rPr>
              <w:t>a</w:t>
            </w:r>
            <w:r w:rsidR="0073547E" w:rsidRPr="00B069D9">
              <w:rPr>
                <w:rFonts w:cs="Arial"/>
                <w:szCs w:val="24"/>
              </w:rPr>
              <w:t xml:space="preserve">cademy </w:t>
            </w:r>
            <w:r>
              <w:rPr>
                <w:rFonts w:cs="Arial"/>
                <w:szCs w:val="24"/>
              </w:rPr>
              <w:t>t</w:t>
            </w:r>
            <w:r w:rsidR="0073547E" w:rsidRPr="00B069D9">
              <w:rPr>
                <w:rFonts w:cs="Arial"/>
                <w:szCs w:val="24"/>
              </w:rPr>
              <w:t>rust annual accounts include disclosure of the names of serving trustees and members, including in-year changes;</w:t>
            </w:r>
            <w:r w:rsidR="00731C87">
              <w:rPr>
                <w:rFonts w:cs="Arial"/>
                <w:szCs w:val="24"/>
              </w:rPr>
              <w:t xml:space="preserve"> </w:t>
            </w:r>
          </w:p>
          <w:p w:rsidR="0073547E" w:rsidRPr="00B069D9" w:rsidRDefault="0073547E" w:rsidP="00F20805">
            <w:pPr>
              <w:pStyle w:val="ListParagraph"/>
              <w:numPr>
                <w:ilvl w:val="0"/>
                <w:numId w:val="18"/>
              </w:numPr>
              <w:rPr>
                <w:rFonts w:cs="Arial"/>
                <w:szCs w:val="24"/>
              </w:rPr>
            </w:pPr>
            <w:r w:rsidRPr="00B069D9">
              <w:rPr>
                <w:rFonts w:cs="Arial"/>
                <w:szCs w:val="24"/>
              </w:rPr>
              <w:t>the academies model funding agreement requires that trusts must notify the department of changes of members, and free schools must notify us of chan</w:t>
            </w:r>
            <w:r w:rsidR="009A4ECE">
              <w:rPr>
                <w:rFonts w:cs="Arial"/>
                <w:szCs w:val="24"/>
              </w:rPr>
              <w:t>ges to members and trustees; a</w:t>
            </w:r>
          </w:p>
          <w:p w:rsidR="0073547E" w:rsidRPr="00B069D9" w:rsidRDefault="0073547E" w:rsidP="00F20805">
            <w:pPr>
              <w:pStyle w:val="ListParagraph"/>
              <w:numPr>
                <w:ilvl w:val="0"/>
                <w:numId w:val="18"/>
              </w:numPr>
              <w:rPr>
                <w:rFonts w:cs="Arial"/>
                <w:szCs w:val="24"/>
              </w:rPr>
            </w:pPr>
            <w:r w:rsidRPr="00B069D9">
              <w:rPr>
                <w:rFonts w:cs="Arial"/>
                <w:szCs w:val="24"/>
              </w:rPr>
              <w:t>the Academies Financial Handbook requires trusts to inform the EFA of changes in chair of trustees, accounting officer and chief financial officer.</w:t>
            </w:r>
          </w:p>
          <w:p w:rsidR="00074000" w:rsidRPr="00B069D9" w:rsidRDefault="00074000" w:rsidP="00F20805">
            <w:pPr>
              <w:rPr>
                <w:rFonts w:cs="Arial"/>
                <w:szCs w:val="24"/>
              </w:rPr>
            </w:pPr>
          </w:p>
          <w:p w:rsidR="00074000" w:rsidRPr="00B069D9" w:rsidRDefault="00074000" w:rsidP="00F20805">
            <w:pPr>
              <w:tabs>
                <w:tab w:val="left" w:pos="-720"/>
              </w:tabs>
              <w:suppressAutoHyphens/>
              <w:rPr>
                <w:rFonts w:cs="Arial"/>
                <w:spacing w:val="-2"/>
                <w:szCs w:val="24"/>
                <w:lang w:eastAsia="en-GB"/>
              </w:rPr>
            </w:pPr>
            <w:r w:rsidRPr="00B069D9">
              <w:rPr>
                <w:rFonts w:cs="Arial"/>
                <w:szCs w:val="24"/>
              </w:rPr>
              <w:t>We have introduced new regulations for independent schools, including academies, enabling the Secretary of State to bar governors who have engaged in conduct aimed at undermining fundamental British values.</w:t>
            </w:r>
            <w:r w:rsidR="00731C87">
              <w:rPr>
                <w:rFonts w:cs="Arial"/>
                <w:szCs w:val="24"/>
              </w:rPr>
              <w:t xml:space="preserve"> </w:t>
            </w:r>
            <w:r w:rsidRPr="00B069D9">
              <w:rPr>
                <w:rFonts w:cs="Arial"/>
                <w:szCs w:val="24"/>
              </w:rPr>
              <w:t>We have also amended the disqualification schedule</w:t>
            </w:r>
            <w:r w:rsidR="009A4ECE">
              <w:rPr>
                <w:rFonts w:cs="Arial"/>
                <w:szCs w:val="24"/>
              </w:rPr>
              <w:t xml:space="preserve"> for maintained schools, so</w:t>
            </w:r>
            <w:r w:rsidRPr="00B069D9">
              <w:rPr>
                <w:rFonts w:cs="Arial"/>
                <w:szCs w:val="24"/>
              </w:rPr>
              <w:t xml:space="preserve"> an individual who is barred from the management of an independent school is automatically disqualified from holding a governor post at a maintained school</w:t>
            </w:r>
            <w:r w:rsidR="00731C87">
              <w:rPr>
                <w:rFonts w:cs="Arial"/>
                <w:szCs w:val="24"/>
              </w:rPr>
              <w:t>.</w:t>
            </w:r>
          </w:p>
        </w:tc>
        <w:tc>
          <w:tcPr>
            <w:tcW w:w="1701" w:type="dxa"/>
          </w:tcPr>
          <w:p w:rsidR="00DD1E0D" w:rsidRPr="00B069D9" w:rsidRDefault="00DD1E0D" w:rsidP="00B069D9">
            <w:pPr>
              <w:tabs>
                <w:tab w:val="left" w:pos="-720"/>
              </w:tabs>
              <w:suppressAutoHyphens/>
              <w:spacing w:line="480" w:lineRule="auto"/>
              <w:ind w:left="30"/>
              <w:rPr>
                <w:rFonts w:cs="Arial"/>
                <w:b/>
                <w:spacing w:val="-2"/>
                <w:szCs w:val="24"/>
                <w:lang w:eastAsia="en-GB"/>
              </w:rPr>
            </w:pPr>
            <w:r w:rsidRPr="00B069D9">
              <w:rPr>
                <w:rFonts w:cs="Arial"/>
                <w:b/>
                <w:spacing w:val="-2"/>
                <w:szCs w:val="24"/>
                <w:lang w:eastAsia="en-GB"/>
              </w:rPr>
              <w:t xml:space="preserve">Complete </w:t>
            </w:r>
          </w:p>
        </w:tc>
      </w:tr>
      <w:tr w:rsidR="00074000" w:rsidRPr="00074000" w:rsidTr="00DD1E0D">
        <w:trPr>
          <w:trHeight w:val="758"/>
        </w:trPr>
        <w:tc>
          <w:tcPr>
            <w:tcW w:w="426" w:type="dxa"/>
          </w:tcPr>
          <w:p w:rsidR="00DD1E0D" w:rsidRPr="0074256E" w:rsidRDefault="00DD1E0D" w:rsidP="00074000">
            <w:pPr>
              <w:widowControl/>
              <w:overflowPunct/>
              <w:autoSpaceDE/>
              <w:autoSpaceDN/>
              <w:adjustRightInd/>
              <w:textAlignment w:val="auto"/>
              <w:rPr>
                <w:rFonts w:asciiTheme="minorHAnsi" w:hAnsiTheme="minorHAnsi" w:cs="Arial"/>
                <w:spacing w:val="-2"/>
                <w:sz w:val="20"/>
                <w:lang w:eastAsia="en-GB"/>
              </w:rPr>
            </w:pPr>
            <w:r w:rsidRPr="00936929">
              <w:rPr>
                <w:rFonts w:cs="Arial"/>
                <w:spacing w:val="-2"/>
                <w:sz w:val="20"/>
                <w:lang w:eastAsia="en-GB"/>
              </w:rPr>
              <w:lastRenderedPageBreak/>
              <w:t>9</w:t>
            </w:r>
          </w:p>
        </w:tc>
        <w:tc>
          <w:tcPr>
            <w:tcW w:w="4958" w:type="dxa"/>
          </w:tcPr>
          <w:p w:rsidR="00DD1E0D" w:rsidRPr="00B069D9" w:rsidRDefault="00DD1E0D" w:rsidP="00F20805">
            <w:pPr>
              <w:widowControl/>
              <w:overflowPunct/>
              <w:autoSpaceDE/>
              <w:autoSpaceDN/>
              <w:adjustRightInd/>
              <w:textAlignment w:val="auto"/>
              <w:rPr>
                <w:rFonts w:cs="Arial"/>
                <w:spacing w:val="-2"/>
                <w:szCs w:val="24"/>
                <w:lang w:eastAsia="en-GB"/>
              </w:rPr>
            </w:pPr>
            <w:r w:rsidRPr="00B069D9">
              <w:rPr>
                <w:rFonts w:cs="Arial"/>
                <w:spacing w:val="-2"/>
                <w:szCs w:val="24"/>
                <w:lang w:eastAsia="en-GB"/>
              </w:rPr>
              <w:t>Ofsted should consider whether the existing inspection framework and associated guidance is capable of detecting indicators of extremism and ensuring that the character of a school is not changed substantively without following the proper process. This includes ensuring that the appropriate boundaries for a non-faith school are not breached. It should also ensure that headteachers’ responsibility for ensuring that bi-annual Child Protection training is undertaken is reflected in the inspection process.</w:t>
            </w:r>
          </w:p>
        </w:tc>
        <w:tc>
          <w:tcPr>
            <w:tcW w:w="7374" w:type="dxa"/>
          </w:tcPr>
          <w:p w:rsidR="00DD1E0D" w:rsidRPr="00B069D9" w:rsidRDefault="007B1758" w:rsidP="00F20805">
            <w:pPr>
              <w:tabs>
                <w:tab w:val="left" w:pos="-720"/>
              </w:tabs>
              <w:suppressAutoHyphens/>
              <w:ind w:left="30"/>
              <w:rPr>
                <w:rFonts w:cs="Arial"/>
                <w:spacing w:val="-2"/>
                <w:szCs w:val="24"/>
                <w:lang w:eastAsia="en-GB"/>
              </w:rPr>
            </w:pPr>
            <w:r w:rsidRPr="00B069D9">
              <w:rPr>
                <w:rFonts w:cs="Arial"/>
                <w:spacing w:val="-2"/>
                <w:szCs w:val="24"/>
                <w:lang w:eastAsia="en-GB"/>
              </w:rPr>
              <w:t>Changes to the Ofsted inspection framework were made in July 2014. This includes checking that schools are actively promoting fundamental British values and, that they offer a broad and balanced curriculum that prepares pupils for life in modern Britain.</w:t>
            </w:r>
            <w:r w:rsidR="00731C87">
              <w:rPr>
                <w:rFonts w:cs="Arial"/>
                <w:spacing w:val="-2"/>
                <w:szCs w:val="24"/>
                <w:lang w:eastAsia="en-GB"/>
              </w:rPr>
              <w:t xml:space="preserve"> </w:t>
            </w:r>
            <w:r w:rsidRPr="00B069D9">
              <w:rPr>
                <w:rFonts w:cs="Arial"/>
                <w:spacing w:val="-2"/>
                <w:szCs w:val="24"/>
                <w:lang w:eastAsia="en-GB"/>
              </w:rPr>
              <w:t>The assessment of governance considers whether they carry out their statutory duties, including on safeguarding.</w:t>
            </w:r>
            <w:r w:rsidR="00731C87">
              <w:rPr>
                <w:rFonts w:cs="Arial"/>
                <w:spacing w:val="-2"/>
                <w:szCs w:val="24"/>
                <w:lang w:eastAsia="en-GB"/>
              </w:rPr>
              <w:t xml:space="preserve"> </w:t>
            </w:r>
            <w:r w:rsidRPr="00B069D9">
              <w:rPr>
                <w:rFonts w:cs="Arial"/>
                <w:spacing w:val="-2"/>
                <w:szCs w:val="24"/>
                <w:lang w:eastAsia="en-GB"/>
              </w:rPr>
              <w:t>Ofsted has also widened its criteria for deciding when to undertake unannounced inspections and undertook 35 inspections without notice in the autumn term. The proposed duties in relation to</w:t>
            </w:r>
            <w:r w:rsidR="00731C87">
              <w:rPr>
                <w:rFonts w:cs="Arial"/>
                <w:spacing w:val="-2"/>
                <w:szCs w:val="24"/>
                <w:lang w:eastAsia="en-GB"/>
              </w:rPr>
              <w:t xml:space="preserve"> </w:t>
            </w:r>
            <w:r w:rsidRPr="00B069D9">
              <w:rPr>
                <w:rFonts w:cs="Arial"/>
                <w:spacing w:val="-2"/>
                <w:szCs w:val="24"/>
                <w:lang w:eastAsia="en-GB"/>
              </w:rPr>
              <w:t>Prevent and Channel contained in the Counter Terrorism &amp; Security Bill will, if made law, be covered in future inspections as part of the wider consideration of whether a school is meeting all its statutory duties, including in relation to safeguarding</w:t>
            </w:r>
            <w:r w:rsidR="00DD1E0D" w:rsidRPr="00B069D9">
              <w:rPr>
                <w:rFonts w:cs="Arial"/>
                <w:spacing w:val="-2"/>
                <w:szCs w:val="24"/>
                <w:lang w:eastAsia="en-GB"/>
              </w:rPr>
              <w:t xml:space="preserve">. </w:t>
            </w:r>
          </w:p>
          <w:p w:rsidR="00074000" w:rsidRPr="00B069D9" w:rsidRDefault="00074000" w:rsidP="00F20805">
            <w:pPr>
              <w:tabs>
                <w:tab w:val="left" w:pos="-720"/>
              </w:tabs>
              <w:suppressAutoHyphens/>
              <w:ind w:left="30"/>
              <w:rPr>
                <w:rFonts w:cs="Arial"/>
                <w:spacing w:val="-2"/>
                <w:szCs w:val="24"/>
                <w:lang w:eastAsia="en-GB"/>
              </w:rPr>
            </w:pPr>
          </w:p>
          <w:p w:rsidR="00F20805" w:rsidRPr="00B069D9" w:rsidRDefault="009A4ECE" w:rsidP="00F20805">
            <w:pPr>
              <w:tabs>
                <w:tab w:val="left" w:pos="-720"/>
              </w:tabs>
              <w:suppressAutoHyphens/>
              <w:rPr>
                <w:rFonts w:cs="Arial"/>
                <w:spacing w:val="-2"/>
                <w:szCs w:val="24"/>
                <w:lang w:eastAsia="en-GB"/>
              </w:rPr>
            </w:pPr>
            <w:r>
              <w:rPr>
                <w:rFonts w:cs="Arial"/>
                <w:spacing w:val="-2"/>
                <w:szCs w:val="24"/>
                <w:lang w:eastAsia="en-GB"/>
              </w:rPr>
              <w:t>The d</w:t>
            </w:r>
            <w:r w:rsidR="00DD1E0D" w:rsidRPr="00B069D9">
              <w:rPr>
                <w:rFonts w:cs="Arial"/>
                <w:spacing w:val="-2"/>
                <w:szCs w:val="24"/>
                <w:lang w:eastAsia="en-GB"/>
              </w:rPr>
              <w:t>epartment has set out safeguarding roles and responsibilities in the documents "Keeping Children Safe in Education" and "Working Together to Safeguard Children" ensuring that all bodies are clear about their role and responsibilities. This will be clarified further in the forthcoming revision of “Working Together”.</w:t>
            </w:r>
          </w:p>
        </w:tc>
        <w:tc>
          <w:tcPr>
            <w:tcW w:w="1701" w:type="dxa"/>
          </w:tcPr>
          <w:p w:rsidR="00DD1E0D" w:rsidRPr="00B069D9" w:rsidRDefault="00DD1E0D" w:rsidP="00B069D9">
            <w:pPr>
              <w:tabs>
                <w:tab w:val="left" w:pos="-720"/>
              </w:tabs>
              <w:suppressAutoHyphens/>
              <w:spacing w:line="480" w:lineRule="auto"/>
              <w:ind w:left="30"/>
              <w:rPr>
                <w:rFonts w:cs="Arial"/>
                <w:b/>
                <w:spacing w:val="-2"/>
                <w:szCs w:val="24"/>
                <w:lang w:eastAsia="en-GB"/>
              </w:rPr>
            </w:pPr>
            <w:r w:rsidRPr="00B069D9">
              <w:rPr>
                <w:rFonts w:cs="Arial"/>
                <w:b/>
                <w:spacing w:val="-2"/>
                <w:szCs w:val="24"/>
                <w:lang w:eastAsia="en-GB"/>
              </w:rPr>
              <w:t>Complete</w:t>
            </w:r>
          </w:p>
        </w:tc>
      </w:tr>
      <w:tr w:rsidR="00074000" w:rsidRPr="00074000" w:rsidTr="00DD1E0D">
        <w:trPr>
          <w:trHeight w:val="758"/>
        </w:trPr>
        <w:tc>
          <w:tcPr>
            <w:tcW w:w="426" w:type="dxa"/>
          </w:tcPr>
          <w:p w:rsidR="00DD1E0D" w:rsidRPr="00731C87" w:rsidRDefault="00DD1E0D" w:rsidP="00074000">
            <w:pPr>
              <w:widowControl/>
              <w:overflowPunct/>
              <w:autoSpaceDE/>
              <w:autoSpaceDN/>
              <w:adjustRightInd/>
              <w:textAlignment w:val="auto"/>
              <w:rPr>
                <w:rFonts w:asciiTheme="minorHAnsi" w:hAnsiTheme="minorHAnsi" w:cs="Arial"/>
                <w:spacing w:val="-2"/>
                <w:sz w:val="20"/>
                <w:lang w:eastAsia="en-GB"/>
              </w:rPr>
            </w:pPr>
            <w:r w:rsidRPr="00731C87">
              <w:rPr>
                <w:rFonts w:asciiTheme="minorHAnsi" w:hAnsiTheme="minorHAnsi" w:cs="Arial"/>
                <w:spacing w:val="-2"/>
                <w:sz w:val="20"/>
                <w:lang w:eastAsia="en-GB"/>
              </w:rPr>
              <w:t>10</w:t>
            </w:r>
          </w:p>
        </w:tc>
        <w:tc>
          <w:tcPr>
            <w:tcW w:w="4958" w:type="dxa"/>
          </w:tcPr>
          <w:p w:rsidR="0067421A" w:rsidRPr="00B069D9" w:rsidRDefault="00DD1E0D" w:rsidP="00F20805">
            <w:pPr>
              <w:tabs>
                <w:tab w:val="left" w:pos="-720"/>
              </w:tabs>
              <w:suppressAutoHyphens/>
              <w:rPr>
                <w:rFonts w:cs="Arial"/>
                <w:spacing w:val="-2"/>
                <w:szCs w:val="24"/>
                <w:lang w:eastAsia="en-GB"/>
              </w:rPr>
            </w:pPr>
            <w:r w:rsidRPr="00B069D9">
              <w:rPr>
                <w:rFonts w:cs="Arial"/>
                <w:spacing w:val="-2"/>
                <w:szCs w:val="24"/>
                <w:lang w:eastAsia="en-GB"/>
              </w:rPr>
              <w:t xml:space="preserve">Birmingham City Council should take immediate steps to improve the running of its governor support services, so that it makes effective appointments following a suitable vetting process, and provides effective support to governing bodies where issues arise. </w:t>
            </w:r>
            <w:r w:rsidR="0067421A" w:rsidRPr="00B069D9">
              <w:rPr>
                <w:rFonts w:cs="Arial"/>
                <w:spacing w:val="-2"/>
                <w:szCs w:val="24"/>
                <w:lang w:eastAsia="en-GB"/>
              </w:rPr>
              <w:t xml:space="preserve">In particular, it should ensure that: </w:t>
            </w:r>
          </w:p>
          <w:p w:rsidR="0067421A" w:rsidRPr="00B069D9" w:rsidRDefault="0067421A" w:rsidP="00936929">
            <w:pPr>
              <w:pStyle w:val="ListParagraph"/>
              <w:numPr>
                <w:ilvl w:val="0"/>
                <w:numId w:val="21"/>
              </w:numPr>
              <w:tabs>
                <w:tab w:val="left" w:pos="-720"/>
              </w:tabs>
              <w:suppressAutoHyphens/>
              <w:ind w:left="357" w:hanging="357"/>
              <w:rPr>
                <w:rFonts w:cs="Arial"/>
                <w:spacing w:val="-2"/>
                <w:szCs w:val="24"/>
                <w:lang w:eastAsia="en-GB"/>
              </w:rPr>
            </w:pPr>
            <w:r w:rsidRPr="00B069D9">
              <w:rPr>
                <w:rFonts w:cs="Arial"/>
                <w:spacing w:val="-2"/>
                <w:szCs w:val="24"/>
                <w:lang w:eastAsia="en-GB"/>
              </w:rPr>
              <w:t xml:space="preserve">training is suitable and delivered by appropriate individuals, so that new governors in particular understand the role of the governing body in setting the strategic direction of the school and holding the head to account in appropriate ways; and </w:t>
            </w:r>
          </w:p>
          <w:p w:rsidR="0067421A" w:rsidRPr="00B069D9" w:rsidRDefault="0067421A" w:rsidP="00936929">
            <w:pPr>
              <w:pStyle w:val="ListParagraph"/>
              <w:numPr>
                <w:ilvl w:val="0"/>
                <w:numId w:val="21"/>
              </w:numPr>
              <w:tabs>
                <w:tab w:val="left" w:pos="-720"/>
              </w:tabs>
              <w:suppressAutoHyphens/>
              <w:ind w:left="357" w:hanging="357"/>
              <w:rPr>
                <w:rFonts w:cs="Arial"/>
                <w:spacing w:val="-2"/>
                <w:szCs w:val="24"/>
                <w:lang w:eastAsia="en-GB"/>
              </w:rPr>
            </w:pPr>
            <w:r w:rsidRPr="00B069D9">
              <w:rPr>
                <w:rFonts w:cs="Arial"/>
                <w:spacing w:val="-2"/>
                <w:szCs w:val="24"/>
                <w:lang w:eastAsia="en-GB"/>
              </w:rPr>
              <w:t xml:space="preserve">it is able to intervene effectively where the governing body is failing to conduct itself </w:t>
            </w:r>
            <w:r w:rsidRPr="00B069D9">
              <w:rPr>
                <w:rFonts w:cs="Arial"/>
                <w:spacing w:val="-2"/>
                <w:szCs w:val="24"/>
                <w:lang w:eastAsia="en-GB"/>
              </w:rPr>
              <w:lastRenderedPageBreak/>
              <w:t>in the expected manner, including where it is making unrealistic demands on the headteacher or seeking to make fundamental changes to the character of the school without proper consultation with relevant parties or statutory permission.</w:t>
            </w:r>
          </w:p>
          <w:p w:rsidR="0067421A" w:rsidRPr="00B069D9" w:rsidRDefault="0067421A" w:rsidP="00F20805">
            <w:pPr>
              <w:tabs>
                <w:tab w:val="left" w:pos="-720"/>
              </w:tabs>
              <w:suppressAutoHyphens/>
              <w:rPr>
                <w:rFonts w:cs="Arial"/>
                <w:spacing w:val="-2"/>
                <w:szCs w:val="24"/>
                <w:lang w:eastAsia="en-GB"/>
              </w:rPr>
            </w:pPr>
          </w:p>
          <w:p w:rsidR="00F20805" w:rsidRPr="00B069D9" w:rsidRDefault="0067421A" w:rsidP="00F20805">
            <w:pPr>
              <w:tabs>
                <w:tab w:val="left" w:pos="-720"/>
              </w:tabs>
              <w:suppressAutoHyphens/>
              <w:rPr>
                <w:rFonts w:cs="Arial"/>
                <w:b/>
                <w:spacing w:val="-2"/>
                <w:szCs w:val="24"/>
                <w:lang w:eastAsia="en-GB"/>
              </w:rPr>
            </w:pPr>
            <w:r w:rsidRPr="00B069D9">
              <w:rPr>
                <w:rFonts w:cs="Arial"/>
                <w:spacing w:val="-2"/>
                <w:szCs w:val="24"/>
                <w:lang w:eastAsia="en-GB"/>
              </w:rPr>
              <w:t>This work should be completed before it reinstates the process for making Local Authority governor appointments.</w:t>
            </w:r>
          </w:p>
        </w:tc>
        <w:tc>
          <w:tcPr>
            <w:tcW w:w="7374" w:type="dxa"/>
          </w:tcPr>
          <w:p w:rsidR="00DD1E0D" w:rsidRPr="00B069D9" w:rsidRDefault="00D605DC" w:rsidP="00F20805">
            <w:pPr>
              <w:tabs>
                <w:tab w:val="left" w:pos="-720"/>
              </w:tabs>
              <w:suppressAutoHyphens/>
              <w:rPr>
                <w:rFonts w:cs="Arial"/>
                <w:spacing w:val="-2"/>
                <w:szCs w:val="24"/>
                <w:lang w:eastAsia="en-GB"/>
              </w:rPr>
            </w:pPr>
            <w:r w:rsidRPr="00B069D9">
              <w:rPr>
                <w:rFonts w:cs="Arial"/>
                <w:spacing w:val="-2"/>
                <w:szCs w:val="24"/>
                <w:lang w:eastAsia="en-GB"/>
              </w:rPr>
              <w:lastRenderedPageBreak/>
              <w:t>Birmingham City Council</w:t>
            </w:r>
            <w:r w:rsidR="00DD1E0D" w:rsidRPr="00B069D9">
              <w:rPr>
                <w:rFonts w:cs="Arial"/>
                <w:szCs w:val="24"/>
                <w:lang w:eastAsia="en-GB"/>
              </w:rPr>
              <w:t xml:space="preserve"> has revised the process for recruitment, appointment and training of governors using expertise of the N</w:t>
            </w:r>
            <w:r w:rsidR="00074000" w:rsidRPr="00B069D9">
              <w:rPr>
                <w:rFonts w:cs="Arial"/>
                <w:szCs w:val="24"/>
                <w:lang w:eastAsia="en-GB"/>
              </w:rPr>
              <w:t xml:space="preserve">ational </w:t>
            </w:r>
            <w:r w:rsidR="00DD1E0D" w:rsidRPr="00B069D9">
              <w:rPr>
                <w:rFonts w:cs="Arial"/>
                <w:szCs w:val="24"/>
                <w:lang w:eastAsia="en-GB"/>
              </w:rPr>
              <w:t>G</w:t>
            </w:r>
            <w:r w:rsidR="00074000" w:rsidRPr="00B069D9">
              <w:rPr>
                <w:rFonts w:cs="Arial"/>
                <w:szCs w:val="24"/>
                <w:lang w:eastAsia="en-GB"/>
              </w:rPr>
              <w:t xml:space="preserve">overnors </w:t>
            </w:r>
            <w:r w:rsidR="00DD1E0D" w:rsidRPr="00B069D9">
              <w:rPr>
                <w:rFonts w:cs="Arial"/>
                <w:szCs w:val="24"/>
                <w:lang w:eastAsia="en-GB"/>
              </w:rPr>
              <w:t>A</w:t>
            </w:r>
            <w:r w:rsidR="00074000" w:rsidRPr="00B069D9">
              <w:rPr>
                <w:rFonts w:cs="Arial"/>
                <w:szCs w:val="24"/>
                <w:lang w:eastAsia="en-GB"/>
              </w:rPr>
              <w:t>ssociation</w:t>
            </w:r>
            <w:r w:rsidR="00DD1E0D" w:rsidRPr="00B069D9">
              <w:rPr>
                <w:rFonts w:cs="Arial"/>
                <w:szCs w:val="24"/>
                <w:lang w:eastAsia="en-GB"/>
              </w:rPr>
              <w:t xml:space="preserve">. Induction training for new governors now incorporates the Code of Conduct for Governors and the Nolan principles. 600 governors have been trained so far. </w:t>
            </w:r>
          </w:p>
        </w:tc>
        <w:tc>
          <w:tcPr>
            <w:tcW w:w="1701" w:type="dxa"/>
          </w:tcPr>
          <w:p w:rsidR="00DD1E0D" w:rsidRPr="00B069D9" w:rsidRDefault="00DD1E0D" w:rsidP="00B069D9">
            <w:pPr>
              <w:tabs>
                <w:tab w:val="left" w:pos="-720"/>
              </w:tabs>
              <w:suppressAutoHyphens/>
              <w:spacing w:line="480" w:lineRule="auto"/>
              <w:ind w:left="30"/>
              <w:rPr>
                <w:rFonts w:cs="Arial"/>
                <w:szCs w:val="24"/>
                <w:lang w:eastAsia="en-GB"/>
              </w:rPr>
            </w:pPr>
            <w:r w:rsidRPr="00B069D9">
              <w:rPr>
                <w:rFonts w:cs="Arial"/>
                <w:szCs w:val="24"/>
                <w:lang w:eastAsia="en-GB"/>
              </w:rPr>
              <w:t>Underway</w:t>
            </w:r>
          </w:p>
        </w:tc>
      </w:tr>
      <w:tr w:rsidR="00074000" w:rsidRPr="00074000" w:rsidTr="00DD1E0D">
        <w:trPr>
          <w:trHeight w:val="758"/>
        </w:trPr>
        <w:tc>
          <w:tcPr>
            <w:tcW w:w="426" w:type="dxa"/>
          </w:tcPr>
          <w:p w:rsidR="00DD1E0D" w:rsidRPr="00731C87" w:rsidRDefault="00DD1E0D" w:rsidP="00074000">
            <w:pPr>
              <w:widowControl/>
              <w:overflowPunct/>
              <w:autoSpaceDE/>
              <w:autoSpaceDN/>
              <w:adjustRightInd/>
              <w:textAlignment w:val="auto"/>
              <w:rPr>
                <w:rFonts w:asciiTheme="minorHAnsi" w:hAnsiTheme="minorHAnsi" w:cs="Arial"/>
                <w:spacing w:val="-2"/>
                <w:sz w:val="20"/>
                <w:lang w:eastAsia="en-GB"/>
              </w:rPr>
            </w:pPr>
            <w:r w:rsidRPr="00731C87">
              <w:rPr>
                <w:rFonts w:asciiTheme="minorHAnsi" w:hAnsiTheme="minorHAnsi" w:cs="Arial"/>
                <w:spacing w:val="-2"/>
                <w:sz w:val="20"/>
                <w:lang w:eastAsia="en-GB"/>
              </w:rPr>
              <w:lastRenderedPageBreak/>
              <w:t>11</w:t>
            </w:r>
          </w:p>
        </w:tc>
        <w:tc>
          <w:tcPr>
            <w:tcW w:w="4958" w:type="dxa"/>
          </w:tcPr>
          <w:p w:rsidR="0067421A" w:rsidRPr="00B069D9" w:rsidRDefault="0067421A" w:rsidP="00F20805">
            <w:pPr>
              <w:widowControl/>
              <w:overflowPunct/>
              <w:autoSpaceDE/>
              <w:autoSpaceDN/>
              <w:adjustRightInd/>
              <w:textAlignment w:val="auto"/>
              <w:rPr>
                <w:rFonts w:cs="Arial"/>
                <w:spacing w:val="-2"/>
                <w:szCs w:val="24"/>
                <w:lang w:eastAsia="en-GB"/>
              </w:rPr>
            </w:pPr>
            <w:r w:rsidRPr="00B069D9">
              <w:rPr>
                <w:rFonts w:cs="Arial"/>
                <w:spacing w:val="-2"/>
                <w:szCs w:val="24"/>
                <w:lang w:eastAsia="en-GB"/>
              </w:rPr>
              <w:t xml:space="preserve">The Department for Education should review guidance on governor appointments to make clear the expectations of the role, including: </w:t>
            </w:r>
          </w:p>
          <w:p w:rsidR="0067421A" w:rsidRPr="00B069D9" w:rsidRDefault="0067421A" w:rsidP="00936929">
            <w:pPr>
              <w:pStyle w:val="ListParagraph"/>
              <w:widowControl/>
              <w:numPr>
                <w:ilvl w:val="0"/>
                <w:numId w:val="22"/>
              </w:numPr>
              <w:overflowPunct/>
              <w:autoSpaceDE/>
              <w:autoSpaceDN/>
              <w:adjustRightInd/>
              <w:ind w:left="357" w:hanging="357"/>
              <w:textAlignment w:val="auto"/>
              <w:rPr>
                <w:rFonts w:cs="Arial"/>
                <w:spacing w:val="-2"/>
                <w:szCs w:val="24"/>
                <w:lang w:eastAsia="en-GB"/>
              </w:rPr>
            </w:pPr>
            <w:r w:rsidRPr="00B069D9">
              <w:rPr>
                <w:rFonts w:cs="Arial"/>
                <w:spacing w:val="-2"/>
                <w:szCs w:val="24"/>
                <w:lang w:eastAsia="en-GB"/>
              </w:rPr>
              <w:t xml:space="preserve">the difference between setting the strategic direction and running the school; and </w:t>
            </w:r>
          </w:p>
          <w:p w:rsidR="0067421A" w:rsidRPr="00B069D9" w:rsidRDefault="0067421A" w:rsidP="00936929">
            <w:pPr>
              <w:pStyle w:val="ListParagraph"/>
              <w:widowControl/>
              <w:numPr>
                <w:ilvl w:val="0"/>
                <w:numId w:val="22"/>
              </w:numPr>
              <w:overflowPunct/>
              <w:autoSpaceDE/>
              <w:autoSpaceDN/>
              <w:adjustRightInd/>
              <w:ind w:left="357" w:hanging="357"/>
              <w:textAlignment w:val="auto"/>
              <w:rPr>
                <w:rFonts w:cs="Arial"/>
                <w:spacing w:val="-2"/>
                <w:szCs w:val="24"/>
                <w:lang w:eastAsia="en-GB"/>
              </w:rPr>
            </w:pPr>
            <w:r w:rsidRPr="00B069D9">
              <w:rPr>
                <w:rFonts w:cs="Arial"/>
                <w:spacing w:val="-2"/>
                <w:szCs w:val="24"/>
                <w:lang w:eastAsia="en-GB"/>
              </w:rPr>
              <w:t xml:space="preserve">the skills and expertise required, and what appropriate training to improve these skills should look like. </w:t>
            </w:r>
          </w:p>
          <w:p w:rsidR="0067421A" w:rsidRPr="00B069D9" w:rsidRDefault="0067421A" w:rsidP="00F20805">
            <w:pPr>
              <w:widowControl/>
              <w:overflowPunct/>
              <w:autoSpaceDE/>
              <w:autoSpaceDN/>
              <w:adjustRightInd/>
              <w:textAlignment w:val="auto"/>
              <w:rPr>
                <w:rFonts w:cs="Arial"/>
                <w:spacing w:val="-2"/>
                <w:szCs w:val="24"/>
                <w:lang w:eastAsia="en-GB"/>
              </w:rPr>
            </w:pPr>
          </w:p>
          <w:p w:rsidR="009A4ECE" w:rsidRPr="00B069D9" w:rsidRDefault="0067421A" w:rsidP="00F20805">
            <w:pPr>
              <w:widowControl/>
              <w:overflowPunct/>
              <w:autoSpaceDE/>
              <w:autoSpaceDN/>
              <w:adjustRightInd/>
              <w:textAlignment w:val="auto"/>
              <w:rPr>
                <w:rFonts w:cs="Arial"/>
                <w:spacing w:val="-2"/>
                <w:szCs w:val="24"/>
                <w:lang w:eastAsia="en-GB"/>
              </w:rPr>
            </w:pPr>
            <w:r w:rsidRPr="00B069D9">
              <w:rPr>
                <w:rFonts w:cs="Arial"/>
                <w:spacing w:val="-2"/>
                <w:szCs w:val="24"/>
                <w:lang w:eastAsia="en-GB"/>
              </w:rPr>
              <w:t>The Department should also consider the benefits of an accreditation scheme for governor training providers</w:t>
            </w:r>
            <w:r w:rsidR="00DD1E0D" w:rsidRPr="00B069D9">
              <w:rPr>
                <w:rFonts w:cs="Arial"/>
                <w:spacing w:val="-2"/>
                <w:szCs w:val="24"/>
                <w:lang w:eastAsia="en-GB"/>
              </w:rPr>
              <w:t>.</w:t>
            </w:r>
          </w:p>
        </w:tc>
        <w:tc>
          <w:tcPr>
            <w:tcW w:w="7374" w:type="dxa"/>
          </w:tcPr>
          <w:p w:rsidR="00DD1E0D" w:rsidRPr="00B069D9" w:rsidRDefault="00DD1E0D" w:rsidP="00F20805">
            <w:pPr>
              <w:tabs>
                <w:tab w:val="left" w:pos="-720"/>
              </w:tabs>
              <w:suppressAutoHyphens/>
              <w:ind w:left="30"/>
              <w:rPr>
                <w:rFonts w:cs="Arial"/>
                <w:spacing w:val="-2"/>
                <w:szCs w:val="24"/>
                <w:lang w:eastAsia="en-GB"/>
              </w:rPr>
            </w:pPr>
            <w:r w:rsidRPr="00B069D9">
              <w:rPr>
                <w:rFonts w:cs="Arial"/>
                <w:spacing w:val="-2"/>
                <w:szCs w:val="24"/>
              </w:rPr>
              <w:t xml:space="preserve">The Governor’s Handbook </w:t>
            </w:r>
            <w:r w:rsidR="006A0626" w:rsidRPr="00B069D9">
              <w:rPr>
                <w:rFonts w:cs="Arial"/>
                <w:spacing w:val="-2"/>
                <w:szCs w:val="24"/>
              </w:rPr>
              <w:t xml:space="preserve">was revised in light of the Peter Clarke report to ensure that </w:t>
            </w:r>
            <w:r w:rsidRPr="00B069D9">
              <w:rPr>
                <w:rFonts w:cs="Arial"/>
                <w:spacing w:val="-2"/>
                <w:szCs w:val="24"/>
              </w:rPr>
              <w:t xml:space="preserve">governors are aware of their responsibilities and the skills required for the position. This includes identifying a governor in each organisation responsible for training needs. The Handbook promotes the training and resources provided by the National College; the use of skills audits to identify skill gaps and training needs; and the suspension of governors who fail to undertake the training they needed to be effective, given this may bring the governing body into disrepute. </w:t>
            </w:r>
          </w:p>
        </w:tc>
        <w:tc>
          <w:tcPr>
            <w:tcW w:w="1701" w:type="dxa"/>
          </w:tcPr>
          <w:p w:rsidR="00DD1E0D" w:rsidRPr="00B069D9" w:rsidRDefault="00DD1E0D" w:rsidP="00B069D9">
            <w:pPr>
              <w:tabs>
                <w:tab w:val="left" w:pos="-720"/>
              </w:tabs>
              <w:suppressAutoHyphens/>
              <w:spacing w:line="480" w:lineRule="auto"/>
              <w:ind w:left="30"/>
              <w:rPr>
                <w:rFonts w:cs="Arial"/>
                <w:b/>
                <w:spacing w:val="-2"/>
                <w:szCs w:val="24"/>
              </w:rPr>
            </w:pPr>
            <w:r w:rsidRPr="00B069D9">
              <w:rPr>
                <w:rFonts w:cs="Arial"/>
                <w:b/>
                <w:spacing w:val="-2"/>
                <w:szCs w:val="24"/>
              </w:rPr>
              <w:t xml:space="preserve">Complete </w:t>
            </w:r>
          </w:p>
        </w:tc>
      </w:tr>
      <w:tr w:rsidR="00074000" w:rsidRPr="00074000" w:rsidTr="00936929">
        <w:trPr>
          <w:trHeight w:val="272"/>
        </w:trPr>
        <w:tc>
          <w:tcPr>
            <w:tcW w:w="426" w:type="dxa"/>
          </w:tcPr>
          <w:p w:rsidR="00DD1E0D" w:rsidRPr="00731C87" w:rsidRDefault="00DD1E0D" w:rsidP="00074000">
            <w:pPr>
              <w:widowControl/>
              <w:overflowPunct/>
              <w:autoSpaceDE/>
              <w:autoSpaceDN/>
              <w:adjustRightInd/>
              <w:textAlignment w:val="auto"/>
              <w:rPr>
                <w:rFonts w:asciiTheme="minorHAnsi" w:hAnsiTheme="minorHAnsi" w:cs="Arial"/>
                <w:spacing w:val="-2"/>
                <w:sz w:val="20"/>
                <w:lang w:eastAsia="en-GB"/>
              </w:rPr>
            </w:pPr>
            <w:r w:rsidRPr="00731C87">
              <w:rPr>
                <w:rFonts w:asciiTheme="minorHAnsi" w:hAnsiTheme="minorHAnsi" w:cs="Arial"/>
                <w:spacing w:val="-2"/>
                <w:sz w:val="20"/>
                <w:lang w:eastAsia="en-GB"/>
              </w:rPr>
              <w:t>12</w:t>
            </w:r>
          </w:p>
        </w:tc>
        <w:tc>
          <w:tcPr>
            <w:tcW w:w="4958" w:type="dxa"/>
          </w:tcPr>
          <w:p w:rsidR="00F20805" w:rsidRPr="00B069D9" w:rsidRDefault="00DD1E0D" w:rsidP="00F20805">
            <w:pPr>
              <w:widowControl/>
              <w:overflowPunct/>
              <w:autoSpaceDE/>
              <w:autoSpaceDN/>
              <w:adjustRightInd/>
              <w:textAlignment w:val="auto"/>
              <w:rPr>
                <w:rFonts w:cs="Arial"/>
                <w:spacing w:val="-2"/>
                <w:szCs w:val="24"/>
                <w:lang w:eastAsia="en-GB"/>
              </w:rPr>
            </w:pPr>
            <w:r w:rsidRPr="00B069D9">
              <w:rPr>
                <w:rFonts w:cs="Arial"/>
                <w:szCs w:val="24"/>
              </w:rPr>
              <w:t xml:space="preserve">Unless there are genuinely exceptional circumstances, there should be a presumption that an individual will only be a governor at a maximum of two schools at any one time. All local authorities and multi-academy trusts should review their current governor arrangements, and where they identify an individual holding multiple positions they should consider the appropriate steps to ensure that a wider range of people are able to hold governor </w:t>
            </w:r>
            <w:r w:rsidRPr="00B069D9">
              <w:rPr>
                <w:rFonts w:cs="Arial"/>
                <w:szCs w:val="24"/>
              </w:rPr>
              <w:lastRenderedPageBreak/>
              <w:t>positions and that no single individual has und</w:t>
            </w:r>
            <w:r w:rsidR="009E6EC3" w:rsidRPr="00B069D9">
              <w:rPr>
                <w:rFonts w:cs="Arial"/>
                <w:szCs w:val="24"/>
              </w:rPr>
              <w:t>u</w:t>
            </w:r>
            <w:r w:rsidRPr="00B069D9">
              <w:rPr>
                <w:rFonts w:cs="Arial"/>
                <w:szCs w:val="24"/>
              </w:rPr>
              <w:t>e influence over a number of schools.</w:t>
            </w:r>
          </w:p>
        </w:tc>
        <w:tc>
          <w:tcPr>
            <w:tcW w:w="7374" w:type="dxa"/>
          </w:tcPr>
          <w:p w:rsidR="00DD1E0D" w:rsidRPr="00B069D9" w:rsidRDefault="00DD1E0D" w:rsidP="00F20805">
            <w:pPr>
              <w:tabs>
                <w:tab w:val="left" w:pos="-720"/>
              </w:tabs>
              <w:suppressAutoHyphens/>
              <w:ind w:left="30"/>
              <w:rPr>
                <w:rFonts w:cs="Arial"/>
                <w:spacing w:val="-2"/>
                <w:szCs w:val="24"/>
                <w:lang w:eastAsia="en-GB"/>
              </w:rPr>
            </w:pPr>
            <w:r w:rsidRPr="00B069D9">
              <w:rPr>
                <w:rFonts w:cs="Arial"/>
                <w:spacing w:val="-2"/>
                <w:szCs w:val="24"/>
                <w:lang w:eastAsia="en-GB"/>
              </w:rPr>
              <w:lastRenderedPageBreak/>
              <w:t xml:space="preserve">The Governor’s Handbook </w:t>
            </w:r>
            <w:r w:rsidR="00074000" w:rsidRPr="00B069D9">
              <w:rPr>
                <w:rFonts w:cs="Arial"/>
                <w:spacing w:val="-2"/>
                <w:szCs w:val="24"/>
                <w:lang w:eastAsia="en-GB"/>
              </w:rPr>
              <w:t>was amended in September 2014 to now advise</w:t>
            </w:r>
            <w:r w:rsidRPr="00B069D9">
              <w:rPr>
                <w:rFonts w:cs="Arial"/>
                <w:spacing w:val="-2"/>
                <w:szCs w:val="24"/>
                <w:lang w:eastAsia="en-GB"/>
              </w:rPr>
              <w:t xml:space="preserve"> that prospective governors should have sufficient capacity to serve as a governor, especially if they are already a governor at other schools or academies.</w:t>
            </w:r>
            <w:r w:rsidRPr="00B069D9">
              <w:rPr>
                <w:rFonts w:cs="Arial"/>
                <w:spacing w:val="-2"/>
                <w:szCs w:val="24"/>
              </w:rPr>
              <w:t xml:space="preserve"> It recommends that the Chair takes references on new governors from any governing bodies on which they already serve, to be sure that they have the right skills and the capacity to take on the new role.</w:t>
            </w:r>
            <w:r w:rsidR="00731C87">
              <w:rPr>
                <w:rFonts w:cs="Arial"/>
                <w:spacing w:val="-2"/>
                <w:szCs w:val="24"/>
              </w:rPr>
              <w:t xml:space="preserve"> </w:t>
            </w:r>
            <w:r w:rsidRPr="00B069D9">
              <w:rPr>
                <w:rFonts w:cs="Arial"/>
                <w:spacing w:val="-2"/>
                <w:szCs w:val="24"/>
                <w:lang w:eastAsia="en-GB"/>
              </w:rPr>
              <w:t>It also recommends that chairs and strong governors move to a new school after a reasonable time (e.g. two terms of office) so that expertise can be s</w:t>
            </w:r>
            <w:r w:rsidR="00074000" w:rsidRPr="00B069D9">
              <w:rPr>
                <w:rFonts w:cs="Arial"/>
                <w:spacing w:val="-2"/>
                <w:szCs w:val="24"/>
                <w:lang w:eastAsia="en-GB"/>
              </w:rPr>
              <w:t>hared and spread more widely.</w:t>
            </w:r>
            <w:r w:rsidR="00731C87">
              <w:rPr>
                <w:rFonts w:cs="Arial"/>
                <w:spacing w:val="-2"/>
                <w:szCs w:val="24"/>
                <w:lang w:eastAsia="en-GB"/>
              </w:rPr>
              <w:t xml:space="preserve"> </w:t>
            </w:r>
          </w:p>
          <w:p w:rsidR="00DD1E0D" w:rsidRPr="00B069D9" w:rsidRDefault="00DD1E0D" w:rsidP="00F20805">
            <w:pPr>
              <w:tabs>
                <w:tab w:val="left" w:pos="-720"/>
              </w:tabs>
              <w:suppressAutoHyphens/>
              <w:rPr>
                <w:rFonts w:cs="Arial"/>
                <w:spacing w:val="-2"/>
                <w:szCs w:val="24"/>
                <w:lang w:eastAsia="en-GB"/>
              </w:rPr>
            </w:pPr>
          </w:p>
        </w:tc>
        <w:tc>
          <w:tcPr>
            <w:tcW w:w="1701" w:type="dxa"/>
          </w:tcPr>
          <w:p w:rsidR="00DD1E0D" w:rsidRPr="00B069D9" w:rsidRDefault="00DD1E0D" w:rsidP="00B069D9">
            <w:pPr>
              <w:tabs>
                <w:tab w:val="left" w:pos="-720"/>
              </w:tabs>
              <w:suppressAutoHyphens/>
              <w:spacing w:line="480" w:lineRule="auto"/>
              <w:ind w:left="30"/>
              <w:rPr>
                <w:rFonts w:cs="Arial"/>
                <w:b/>
                <w:spacing w:val="-2"/>
                <w:szCs w:val="24"/>
                <w:lang w:eastAsia="en-GB"/>
              </w:rPr>
            </w:pPr>
            <w:r w:rsidRPr="00B069D9">
              <w:rPr>
                <w:rFonts w:cs="Arial"/>
                <w:b/>
                <w:spacing w:val="-2"/>
                <w:szCs w:val="24"/>
                <w:lang w:eastAsia="en-GB"/>
              </w:rPr>
              <w:t xml:space="preserve">Complete </w:t>
            </w:r>
          </w:p>
        </w:tc>
      </w:tr>
      <w:tr w:rsidR="00074000" w:rsidRPr="00074000" w:rsidTr="00DD1E0D">
        <w:trPr>
          <w:trHeight w:val="1996"/>
        </w:trPr>
        <w:tc>
          <w:tcPr>
            <w:tcW w:w="426" w:type="dxa"/>
          </w:tcPr>
          <w:p w:rsidR="00DD1E0D" w:rsidRPr="00731C87" w:rsidRDefault="00DD1E0D" w:rsidP="00074000">
            <w:pPr>
              <w:widowControl/>
              <w:overflowPunct/>
              <w:autoSpaceDE/>
              <w:autoSpaceDN/>
              <w:adjustRightInd/>
              <w:textAlignment w:val="auto"/>
              <w:rPr>
                <w:rFonts w:asciiTheme="minorHAnsi" w:hAnsiTheme="minorHAnsi" w:cs="Arial"/>
                <w:spacing w:val="-2"/>
                <w:sz w:val="20"/>
                <w:lang w:eastAsia="en-GB"/>
              </w:rPr>
            </w:pPr>
            <w:r w:rsidRPr="00731C87">
              <w:rPr>
                <w:rFonts w:asciiTheme="minorHAnsi" w:hAnsiTheme="minorHAnsi" w:cs="Arial"/>
                <w:spacing w:val="-2"/>
                <w:sz w:val="20"/>
                <w:lang w:eastAsia="en-GB"/>
              </w:rPr>
              <w:lastRenderedPageBreak/>
              <w:t>13</w:t>
            </w:r>
          </w:p>
        </w:tc>
        <w:tc>
          <w:tcPr>
            <w:tcW w:w="4958" w:type="dxa"/>
          </w:tcPr>
          <w:p w:rsidR="00DD1E0D" w:rsidRPr="00B069D9" w:rsidRDefault="00DD1E0D" w:rsidP="00F20805">
            <w:pPr>
              <w:widowControl/>
              <w:overflowPunct/>
              <w:autoSpaceDE/>
              <w:autoSpaceDN/>
              <w:adjustRightInd/>
              <w:textAlignment w:val="auto"/>
              <w:rPr>
                <w:rFonts w:cs="Arial"/>
                <w:szCs w:val="24"/>
              </w:rPr>
            </w:pPr>
            <w:r w:rsidRPr="00B069D9">
              <w:rPr>
                <w:rFonts w:cs="Arial"/>
                <w:szCs w:val="24"/>
              </w:rPr>
              <w:t>All schools should include details on their website of their governing body. This should include the full name of the individuals, along with any committees they attend; the method of appointment (e</w:t>
            </w:r>
            <w:r w:rsidR="00E13B0F" w:rsidRPr="00B069D9">
              <w:rPr>
                <w:rFonts w:cs="Arial"/>
                <w:szCs w:val="24"/>
              </w:rPr>
              <w:t>.</w:t>
            </w:r>
            <w:r w:rsidRPr="00B069D9">
              <w:rPr>
                <w:rFonts w:cs="Arial"/>
                <w:szCs w:val="24"/>
              </w:rPr>
              <w:t>g</w:t>
            </w:r>
            <w:r w:rsidR="00E13B0F" w:rsidRPr="00B069D9">
              <w:rPr>
                <w:rFonts w:cs="Arial"/>
                <w:szCs w:val="24"/>
              </w:rPr>
              <w:t>.</w:t>
            </w:r>
            <w:r w:rsidRPr="00B069D9">
              <w:rPr>
                <w:rFonts w:cs="Arial"/>
                <w:szCs w:val="24"/>
              </w:rPr>
              <w:t xml:space="preserve"> whether a local authority appointment or an elected parent governor); and the expected period of the appointment, in order to promote transparency over the running of schools.</w:t>
            </w:r>
          </w:p>
        </w:tc>
        <w:tc>
          <w:tcPr>
            <w:tcW w:w="7374" w:type="dxa"/>
          </w:tcPr>
          <w:p w:rsidR="00FA5E22" w:rsidRPr="00B069D9" w:rsidRDefault="00FA5E22" w:rsidP="00F20805">
            <w:pPr>
              <w:ind w:left="30"/>
              <w:rPr>
                <w:rFonts w:cs="Arial"/>
                <w:spacing w:val="-2"/>
                <w:szCs w:val="24"/>
                <w:lang w:eastAsia="en-GB"/>
              </w:rPr>
            </w:pPr>
            <w:r w:rsidRPr="00B069D9">
              <w:rPr>
                <w:rFonts w:cs="Arial"/>
                <w:spacing w:val="-2"/>
                <w:szCs w:val="24"/>
                <w:lang w:eastAsia="en-GB"/>
              </w:rPr>
              <w:t xml:space="preserve">The Governors’ Handbook now advises all schools to publish this information on their website. Academies are required to publish details of their trustees and members in their annual accounts, and we are consulting on formalising a requirement through amended statutory guidance for maintained schools to publish these details on their websites. </w:t>
            </w:r>
          </w:p>
          <w:p w:rsidR="00FA5E22" w:rsidRPr="009A4ECE" w:rsidRDefault="00FA5E22" w:rsidP="00F20805">
            <w:pPr>
              <w:ind w:left="30"/>
              <w:rPr>
                <w:rFonts w:cs="Arial"/>
                <w:spacing w:val="-2"/>
                <w:sz w:val="16"/>
                <w:szCs w:val="16"/>
                <w:lang w:eastAsia="en-GB"/>
              </w:rPr>
            </w:pPr>
          </w:p>
          <w:p w:rsidR="00F20805" w:rsidRPr="009A4ECE" w:rsidRDefault="00FA5E22" w:rsidP="005A1A0D">
            <w:pPr>
              <w:tabs>
                <w:tab w:val="left" w:pos="-720"/>
              </w:tabs>
              <w:suppressAutoHyphens/>
              <w:ind w:left="30"/>
              <w:rPr>
                <w:rFonts w:cs="Arial"/>
                <w:spacing w:val="-2"/>
                <w:sz w:val="16"/>
                <w:szCs w:val="16"/>
                <w:lang w:eastAsia="en-GB"/>
              </w:rPr>
            </w:pPr>
            <w:r w:rsidRPr="00B069D9">
              <w:rPr>
                <w:rFonts w:cs="Arial"/>
                <w:spacing w:val="-2"/>
                <w:szCs w:val="24"/>
                <w:lang w:eastAsia="en-GB"/>
              </w:rPr>
              <w:t xml:space="preserve">The </w:t>
            </w:r>
            <w:r w:rsidR="00074000" w:rsidRPr="00B069D9">
              <w:rPr>
                <w:rFonts w:cs="Arial"/>
                <w:spacing w:val="-2"/>
                <w:szCs w:val="24"/>
                <w:lang w:eastAsia="en-GB"/>
              </w:rPr>
              <w:t>Academies Financial Handbook was</w:t>
            </w:r>
            <w:r w:rsidRPr="00B069D9">
              <w:rPr>
                <w:rFonts w:cs="Arial"/>
                <w:spacing w:val="-2"/>
                <w:szCs w:val="24"/>
                <w:lang w:eastAsia="en-GB"/>
              </w:rPr>
              <w:t xml:space="preserve"> amended </w:t>
            </w:r>
            <w:r w:rsidR="00074000" w:rsidRPr="00B069D9">
              <w:rPr>
                <w:rFonts w:cs="Arial"/>
                <w:spacing w:val="-2"/>
                <w:szCs w:val="24"/>
                <w:lang w:eastAsia="en-GB"/>
              </w:rPr>
              <w:t xml:space="preserve">in September 2014 </w:t>
            </w:r>
            <w:r w:rsidRPr="00B069D9">
              <w:rPr>
                <w:rFonts w:cs="Arial"/>
                <w:spacing w:val="-2"/>
                <w:szCs w:val="24"/>
                <w:lang w:eastAsia="en-GB"/>
              </w:rPr>
              <w:t>to require academies to also publish their register of relevant business interests and details of any other educational institutions they are governors or trustees of.</w:t>
            </w:r>
            <w:r w:rsidR="00731C87">
              <w:rPr>
                <w:rFonts w:cs="Arial"/>
                <w:spacing w:val="-2"/>
                <w:szCs w:val="24"/>
                <w:lang w:eastAsia="en-GB"/>
              </w:rPr>
              <w:t xml:space="preserve"> </w:t>
            </w:r>
            <w:r w:rsidRPr="00B069D9">
              <w:rPr>
                <w:rFonts w:cs="Arial"/>
                <w:spacing w:val="-2"/>
                <w:szCs w:val="24"/>
                <w:lang w:eastAsia="en-GB"/>
              </w:rPr>
              <w:t>We are consulting on a proposal to place a similar requirement on maintained schools.</w:t>
            </w:r>
          </w:p>
        </w:tc>
        <w:tc>
          <w:tcPr>
            <w:tcW w:w="1701" w:type="dxa"/>
          </w:tcPr>
          <w:p w:rsidR="00DD1E0D" w:rsidRPr="00B069D9" w:rsidRDefault="00DD1E0D" w:rsidP="00B069D9">
            <w:pPr>
              <w:tabs>
                <w:tab w:val="left" w:pos="-720"/>
              </w:tabs>
              <w:suppressAutoHyphens/>
              <w:spacing w:line="480" w:lineRule="auto"/>
              <w:ind w:left="30"/>
              <w:rPr>
                <w:rFonts w:cs="Arial"/>
                <w:b/>
                <w:spacing w:val="-2"/>
                <w:szCs w:val="24"/>
                <w:lang w:eastAsia="en-GB"/>
              </w:rPr>
            </w:pPr>
            <w:r w:rsidRPr="00B069D9">
              <w:rPr>
                <w:rFonts w:cs="Arial"/>
                <w:b/>
                <w:spacing w:val="-2"/>
                <w:szCs w:val="24"/>
                <w:lang w:eastAsia="en-GB"/>
              </w:rPr>
              <w:t xml:space="preserve">Complete </w:t>
            </w:r>
          </w:p>
        </w:tc>
      </w:tr>
      <w:tr w:rsidR="00074000" w:rsidRPr="00074000" w:rsidTr="00DD1E0D">
        <w:trPr>
          <w:trHeight w:val="758"/>
        </w:trPr>
        <w:tc>
          <w:tcPr>
            <w:tcW w:w="426" w:type="dxa"/>
          </w:tcPr>
          <w:p w:rsidR="00DD1E0D" w:rsidRPr="00731C87" w:rsidRDefault="00DD1E0D" w:rsidP="00074000">
            <w:pPr>
              <w:widowControl/>
              <w:overflowPunct/>
              <w:autoSpaceDE/>
              <w:autoSpaceDN/>
              <w:adjustRightInd/>
              <w:textAlignment w:val="auto"/>
              <w:rPr>
                <w:rFonts w:asciiTheme="minorHAnsi" w:hAnsiTheme="minorHAnsi" w:cs="Arial"/>
                <w:spacing w:val="-2"/>
                <w:sz w:val="20"/>
                <w:lang w:eastAsia="en-GB"/>
              </w:rPr>
            </w:pPr>
            <w:r w:rsidRPr="00731C87">
              <w:rPr>
                <w:rFonts w:asciiTheme="minorHAnsi" w:hAnsiTheme="minorHAnsi" w:cs="Arial"/>
                <w:spacing w:val="-2"/>
                <w:sz w:val="20"/>
                <w:lang w:eastAsia="en-GB"/>
              </w:rPr>
              <w:t>14</w:t>
            </w:r>
          </w:p>
        </w:tc>
        <w:tc>
          <w:tcPr>
            <w:tcW w:w="4958" w:type="dxa"/>
          </w:tcPr>
          <w:p w:rsidR="00DD1E0D" w:rsidRPr="00B069D9" w:rsidRDefault="00DD1E0D" w:rsidP="00F20805">
            <w:pPr>
              <w:widowControl/>
              <w:overflowPunct/>
              <w:autoSpaceDE/>
              <w:autoSpaceDN/>
              <w:adjustRightInd/>
              <w:textAlignment w:val="auto"/>
              <w:rPr>
                <w:rFonts w:cs="Arial"/>
                <w:szCs w:val="24"/>
              </w:rPr>
            </w:pPr>
            <w:r w:rsidRPr="00B069D9">
              <w:rPr>
                <w:rFonts w:cs="Arial"/>
                <w:szCs w:val="24"/>
              </w:rPr>
              <w:t>The Department for Education should consider whether there is a case for preventing certain individuals from being involved in the management of schools.</w:t>
            </w:r>
          </w:p>
        </w:tc>
        <w:tc>
          <w:tcPr>
            <w:tcW w:w="7374" w:type="dxa"/>
          </w:tcPr>
          <w:p w:rsidR="00DD1E0D" w:rsidRPr="00B069D9" w:rsidRDefault="009A4ECE" w:rsidP="00F20805">
            <w:pPr>
              <w:pStyle w:val="DeptBullets"/>
              <w:numPr>
                <w:ilvl w:val="0"/>
                <w:numId w:val="0"/>
              </w:numPr>
              <w:spacing w:after="0"/>
              <w:rPr>
                <w:rFonts w:cs="Arial"/>
                <w:szCs w:val="24"/>
              </w:rPr>
            </w:pPr>
            <w:r>
              <w:rPr>
                <w:rFonts w:cs="Arial"/>
                <w:szCs w:val="24"/>
              </w:rPr>
              <w:t>N</w:t>
            </w:r>
            <w:r w:rsidR="0082089A" w:rsidRPr="00B069D9">
              <w:rPr>
                <w:rFonts w:cs="Arial"/>
                <w:szCs w:val="24"/>
              </w:rPr>
              <w:t xml:space="preserve">ew regulations </w:t>
            </w:r>
            <w:r>
              <w:rPr>
                <w:rFonts w:cs="Arial"/>
                <w:szCs w:val="24"/>
              </w:rPr>
              <w:t xml:space="preserve">were made </w:t>
            </w:r>
            <w:r w:rsidR="0082089A" w:rsidRPr="00B069D9">
              <w:rPr>
                <w:rFonts w:cs="Arial"/>
                <w:szCs w:val="24"/>
              </w:rPr>
              <w:t xml:space="preserve">in September 2014 to allow the Secretary of State to make directions barring individuals from taking part in the management of independent schools, </w:t>
            </w:r>
            <w:r>
              <w:rPr>
                <w:rFonts w:cs="Arial"/>
                <w:szCs w:val="24"/>
              </w:rPr>
              <w:t xml:space="preserve">including </w:t>
            </w:r>
            <w:r w:rsidRPr="00B069D9">
              <w:rPr>
                <w:rFonts w:cs="Arial"/>
                <w:szCs w:val="24"/>
              </w:rPr>
              <w:t>academies and free schools</w:t>
            </w:r>
            <w:r>
              <w:rPr>
                <w:rFonts w:cs="Arial"/>
                <w:szCs w:val="24"/>
              </w:rPr>
              <w:t xml:space="preserve">, </w:t>
            </w:r>
            <w:r w:rsidR="0082089A" w:rsidRPr="00B069D9">
              <w:rPr>
                <w:rFonts w:cs="Arial"/>
                <w:szCs w:val="24"/>
              </w:rPr>
              <w:t>whether as a governor or employee.</w:t>
            </w:r>
            <w:r w:rsidR="00731C87">
              <w:rPr>
                <w:rFonts w:cs="Arial"/>
                <w:szCs w:val="24"/>
              </w:rPr>
              <w:t xml:space="preserve"> </w:t>
            </w:r>
            <w:r w:rsidR="0082089A" w:rsidRPr="00B069D9">
              <w:rPr>
                <w:rFonts w:cs="Arial"/>
                <w:szCs w:val="24"/>
              </w:rPr>
              <w:t xml:space="preserve">Regulations to disqualify people subject to such a bar from being a governor of a local authority maintained school were made last year and, similarly, came into force in September. </w:t>
            </w:r>
            <w:r w:rsidR="00B61137" w:rsidRPr="00B069D9">
              <w:rPr>
                <w:rFonts w:cs="Arial"/>
                <w:szCs w:val="24"/>
              </w:rPr>
              <w:t xml:space="preserve">The department is currently considering the evidence in order to take action against governors who were implicated in the ‘Trojan Horse’ allegations. </w:t>
            </w:r>
          </w:p>
        </w:tc>
        <w:tc>
          <w:tcPr>
            <w:tcW w:w="1701" w:type="dxa"/>
          </w:tcPr>
          <w:p w:rsidR="00DD1E0D" w:rsidRPr="00B069D9" w:rsidRDefault="00DD1E0D" w:rsidP="00B069D9">
            <w:pPr>
              <w:pStyle w:val="DeptBullets"/>
              <w:numPr>
                <w:ilvl w:val="0"/>
                <w:numId w:val="0"/>
              </w:numPr>
              <w:spacing w:after="0" w:line="480" w:lineRule="auto"/>
              <w:rPr>
                <w:rFonts w:cs="Arial"/>
                <w:szCs w:val="24"/>
              </w:rPr>
            </w:pPr>
            <w:r w:rsidRPr="00B069D9">
              <w:rPr>
                <w:rFonts w:cs="Arial"/>
                <w:szCs w:val="24"/>
              </w:rPr>
              <w:t>Underway</w:t>
            </w:r>
          </w:p>
        </w:tc>
      </w:tr>
      <w:tr w:rsidR="00074000" w:rsidRPr="00074000" w:rsidTr="00DD1E0D">
        <w:trPr>
          <w:trHeight w:val="758"/>
        </w:trPr>
        <w:tc>
          <w:tcPr>
            <w:tcW w:w="426" w:type="dxa"/>
          </w:tcPr>
          <w:p w:rsidR="00DD1E0D" w:rsidRPr="00731C87" w:rsidRDefault="00DD1E0D" w:rsidP="00074000">
            <w:pPr>
              <w:widowControl/>
              <w:overflowPunct/>
              <w:autoSpaceDE/>
              <w:autoSpaceDN/>
              <w:adjustRightInd/>
              <w:textAlignment w:val="auto"/>
              <w:rPr>
                <w:rFonts w:asciiTheme="minorHAnsi" w:hAnsiTheme="minorHAnsi" w:cs="Arial"/>
                <w:spacing w:val="-2"/>
                <w:sz w:val="20"/>
                <w:lang w:eastAsia="en-GB"/>
              </w:rPr>
            </w:pPr>
            <w:r w:rsidRPr="00731C87">
              <w:rPr>
                <w:rFonts w:asciiTheme="minorHAnsi" w:hAnsiTheme="minorHAnsi" w:cs="Arial"/>
                <w:spacing w:val="-2"/>
                <w:sz w:val="20"/>
                <w:lang w:eastAsia="en-GB"/>
              </w:rPr>
              <w:t>15</w:t>
            </w:r>
          </w:p>
        </w:tc>
        <w:tc>
          <w:tcPr>
            <w:tcW w:w="4958" w:type="dxa"/>
          </w:tcPr>
          <w:p w:rsidR="00DD1E0D" w:rsidRPr="00B069D9" w:rsidRDefault="00E13B0F" w:rsidP="00F20805">
            <w:pPr>
              <w:widowControl/>
              <w:overflowPunct/>
              <w:autoSpaceDE/>
              <w:autoSpaceDN/>
              <w:adjustRightInd/>
              <w:textAlignment w:val="auto"/>
              <w:rPr>
                <w:rFonts w:cs="Arial"/>
                <w:b/>
                <w:szCs w:val="24"/>
              </w:rPr>
            </w:pPr>
            <w:r w:rsidRPr="00B069D9">
              <w:rPr>
                <w:rFonts w:cs="Arial"/>
                <w:spacing w:val="-2"/>
                <w:szCs w:val="24"/>
                <w:lang w:eastAsia="en-GB"/>
              </w:rPr>
              <w:t>The Department for Education should continue to review and analyse the evidence gathered during the investigation; take further steps to understand issues of concern (including potential financial malpractice); and consider appropriate further actions. It should also consider whether other areas of the country may be similarly vulnerable, and respond promptly and effectively if concerns are raised, ensuring that there is sufficient resource and capacity to do so.</w:t>
            </w:r>
          </w:p>
        </w:tc>
        <w:tc>
          <w:tcPr>
            <w:tcW w:w="7374" w:type="dxa"/>
          </w:tcPr>
          <w:p w:rsidR="00DD1E0D" w:rsidRPr="00B069D9" w:rsidRDefault="00DD1E0D" w:rsidP="00F20805">
            <w:pPr>
              <w:tabs>
                <w:tab w:val="left" w:pos="-720"/>
              </w:tabs>
              <w:suppressAutoHyphens/>
              <w:rPr>
                <w:rFonts w:cs="Arial"/>
                <w:spacing w:val="-2"/>
                <w:szCs w:val="24"/>
                <w:lang w:eastAsia="en-GB"/>
              </w:rPr>
            </w:pPr>
            <w:r w:rsidRPr="00B069D9">
              <w:rPr>
                <w:rFonts w:cs="Arial"/>
                <w:spacing w:val="-2"/>
                <w:szCs w:val="24"/>
                <w:lang w:eastAsia="en-GB"/>
              </w:rPr>
              <w:t>The department is continuing to analyse and review the evidence from the investigation</w:t>
            </w:r>
            <w:r w:rsidR="005A59D2" w:rsidRPr="00B069D9">
              <w:rPr>
                <w:rFonts w:cs="Arial"/>
                <w:spacing w:val="-2"/>
                <w:szCs w:val="24"/>
                <w:lang w:eastAsia="en-GB"/>
              </w:rPr>
              <w:t xml:space="preserve"> and has discussed the preventative strategies of a number of local areas with the senior leadership teams of the relevant local authorities.</w:t>
            </w:r>
            <w:r w:rsidR="00731C87">
              <w:rPr>
                <w:rFonts w:cs="Arial"/>
                <w:spacing w:val="-2"/>
                <w:szCs w:val="24"/>
                <w:lang w:eastAsia="en-GB"/>
              </w:rPr>
              <w:t xml:space="preserve"> </w:t>
            </w:r>
            <w:r w:rsidR="005A59D2" w:rsidRPr="00B069D9">
              <w:rPr>
                <w:rFonts w:cs="Arial"/>
                <w:spacing w:val="-2"/>
                <w:szCs w:val="24"/>
                <w:lang w:eastAsia="en-GB"/>
              </w:rPr>
              <w:t>It has found no area to have the same extent of vulnerabilities in its state schools as Birmingham</w:t>
            </w:r>
            <w:r w:rsidR="00BA5956" w:rsidRPr="00B069D9">
              <w:rPr>
                <w:rFonts w:cs="Arial"/>
                <w:spacing w:val="-2"/>
                <w:szCs w:val="24"/>
                <w:lang w:eastAsia="en-GB"/>
              </w:rPr>
              <w:t>,</w:t>
            </w:r>
            <w:r w:rsidR="005A59D2" w:rsidRPr="00B069D9">
              <w:rPr>
                <w:rFonts w:cs="Arial"/>
                <w:spacing w:val="-2"/>
                <w:szCs w:val="24"/>
                <w:lang w:eastAsia="en-GB"/>
              </w:rPr>
              <w:t xml:space="preserve"> but </w:t>
            </w:r>
            <w:r w:rsidR="00BA5956" w:rsidRPr="00B069D9">
              <w:rPr>
                <w:rFonts w:cs="Arial"/>
                <w:spacing w:val="-2"/>
                <w:szCs w:val="24"/>
                <w:lang w:eastAsia="en-GB"/>
              </w:rPr>
              <w:t xml:space="preserve">it has emphasised that </w:t>
            </w:r>
            <w:r w:rsidR="005A59D2" w:rsidRPr="00B069D9">
              <w:rPr>
                <w:rFonts w:cs="Arial"/>
                <w:spacing w:val="-2"/>
                <w:szCs w:val="24"/>
                <w:lang w:eastAsia="en-GB"/>
              </w:rPr>
              <w:t xml:space="preserve">active local leadership is required </w:t>
            </w:r>
            <w:r w:rsidR="00BA5956" w:rsidRPr="00B069D9">
              <w:rPr>
                <w:rFonts w:cs="Arial"/>
                <w:spacing w:val="-2"/>
                <w:szCs w:val="24"/>
                <w:lang w:eastAsia="en-GB"/>
              </w:rPr>
              <w:t xml:space="preserve">constantly </w:t>
            </w:r>
            <w:r w:rsidR="005A59D2" w:rsidRPr="00B069D9">
              <w:rPr>
                <w:rFonts w:cs="Arial"/>
                <w:spacing w:val="-2"/>
                <w:szCs w:val="24"/>
                <w:lang w:eastAsia="en-GB"/>
              </w:rPr>
              <w:t>to</w:t>
            </w:r>
            <w:r w:rsidR="00BA5956" w:rsidRPr="00B069D9">
              <w:rPr>
                <w:rFonts w:cs="Arial"/>
                <w:spacing w:val="-2"/>
                <w:szCs w:val="24"/>
                <w:lang w:eastAsia="en-GB"/>
              </w:rPr>
              <w:t xml:space="preserve"> assess and act on risk</w:t>
            </w:r>
            <w:r w:rsidR="00D605DC">
              <w:rPr>
                <w:rFonts w:cs="Arial"/>
                <w:spacing w:val="-2"/>
                <w:szCs w:val="24"/>
                <w:lang w:eastAsia="en-GB"/>
              </w:rPr>
              <w:t>.</w:t>
            </w:r>
          </w:p>
          <w:p w:rsidR="00DD1E0D" w:rsidRPr="00B069D9" w:rsidRDefault="00DD1E0D" w:rsidP="00F20805">
            <w:pPr>
              <w:tabs>
                <w:tab w:val="left" w:pos="-720"/>
              </w:tabs>
              <w:suppressAutoHyphens/>
              <w:rPr>
                <w:rFonts w:cs="Arial"/>
                <w:spacing w:val="-2"/>
                <w:szCs w:val="24"/>
                <w:lang w:eastAsia="en-GB"/>
              </w:rPr>
            </w:pPr>
          </w:p>
          <w:p w:rsidR="00F20805" w:rsidRPr="00B069D9" w:rsidRDefault="00DD1E0D" w:rsidP="005A1A0D">
            <w:pPr>
              <w:tabs>
                <w:tab w:val="left" w:pos="-720"/>
                <w:tab w:val="left" w:pos="1721"/>
              </w:tabs>
              <w:suppressAutoHyphens/>
              <w:ind w:left="30"/>
              <w:rPr>
                <w:rFonts w:cs="Arial"/>
                <w:spacing w:val="-2"/>
                <w:szCs w:val="24"/>
              </w:rPr>
            </w:pPr>
            <w:r w:rsidRPr="00B069D9">
              <w:rPr>
                <w:rFonts w:cs="Arial"/>
                <w:spacing w:val="-2"/>
                <w:szCs w:val="24"/>
                <w:lang w:eastAsia="en-GB"/>
              </w:rPr>
              <w:t xml:space="preserve">DDCEG is now building its capacity, </w:t>
            </w:r>
            <w:r w:rsidR="008029B1" w:rsidRPr="00B069D9">
              <w:rPr>
                <w:rFonts w:cs="Arial"/>
                <w:spacing w:val="-2"/>
                <w:szCs w:val="24"/>
                <w:lang w:eastAsia="en-GB"/>
              </w:rPr>
              <w:t xml:space="preserve">including through external recruitment, </w:t>
            </w:r>
            <w:r w:rsidRPr="00B069D9">
              <w:rPr>
                <w:rFonts w:cs="Arial"/>
                <w:spacing w:val="-2"/>
                <w:szCs w:val="24"/>
                <w:lang w:eastAsia="en-GB"/>
              </w:rPr>
              <w:t>and setting an outward looking, proactive culture</w:t>
            </w:r>
            <w:r w:rsidR="008029B1" w:rsidRPr="00B069D9">
              <w:rPr>
                <w:rFonts w:cs="Arial"/>
                <w:spacing w:val="-2"/>
                <w:szCs w:val="24"/>
                <w:lang w:eastAsia="en-GB"/>
              </w:rPr>
              <w:t xml:space="preserve"> within the Group and the wider department</w:t>
            </w:r>
            <w:r w:rsidRPr="00B069D9">
              <w:rPr>
                <w:rFonts w:cs="Arial"/>
                <w:spacing w:val="-2"/>
                <w:szCs w:val="24"/>
                <w:lang w:eastAsia="en-GB"/>
              </w:rPr>
              <w:t>.</w:t>
            </w:r>
            <w:r w:rsidR="00731C87">
              <w:rPr>
                <w:rFonts w:cs="Arial"/>
                <w:spacing w:val="-2"/>
                <w:szCs w:val="24"/>
                <w:lang w:eastAsia="en-GB"/>
              </w:rPr>
              <w:t xml:space="preserve"> </w:t>
            </w:r>
          </w:p>
        </w:tc>
        <w:tc>
          <w:tcPr>
            <w:tcW w:w="1701" w:type="dxa"/>
          </w:tcPr>
          <w:p w:rsidR="00DD1E0D" w:rsidRPr="00B069D9" w:rsidRDefault="00DD1E0D" w:rsidP="00B069D9">
            <w:pPr>
              <w:tabs>
                <w:tab w:val="left" w:pos="-720"/>
              </w:tabs>
              <w:suppressAutoHyphens/>
              <w:spacing w:line="480" w:lineRule="auto"/>
              <w:rPr>
                <w:rFonts w:cs="Arial"/>
                <w:spacing w:val="-2"/>
                <w:szCs w:val="24"/>
                <w:lang w:eastAsia="en-GB"/>
              </w:rPr>
            </w:pPr>
            <w:r w:rsidRPr="00B069D9">
              <w:rPr>
                <w:rFonts w:cs="Arial"/>
                <w:spacing w:val="-2"/>
                <w:szCs w:val="24"/>
                <w:lang w:eastAsia="en-GB"/>
              </w:rPr>
              <w:t>Underway</w:t>
            </w:r>
          </w:p>
        </w:tc>
      </w:tr>
    </w:tbl>
    <w:p w:rsidR="00AF1C07" w:rsidRPr="00074000" w:rsidRDefault="00AF1C07" w:rsidP="00074000">
      <w:pPr>
        <w:pStyle w:val="DeptBullets"/>
        <w:numPr>
          <w:ilvl w:val="0"/>
          <w:numId w:val="0"/>
        </w:numPr>
        <w:spacing w:after="0"/>
        <w:rPr>
          <w:rFonts w:asciiTheme="minorHAnsi" w:hAnsiTheme="minorHAnsi"/>
          <w:sz w:val="20"/>
        </w:rPr>
      </w:pPr>
    </w:p>
    <w:sectPr w:rsidR="00AF1C07" w:rsidRPr="00074000" w:rsidSect="00F20805">
      <w:headerReference w:type="default" r:id="rId10"/>
      <w:footerReference w:type="default" r:id="rId11"/>
      <w:pgSz w:w="16838" w:h="11906" w:orient="landscape"/>
      <w:pgMar w:top="567" w:right="1440" w:bottom="993" w:left="1440" w:header="708"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C6" w:rsidRDefault="000340C6">
      <w:r>
        <w:separator/>
      </w:r>
    </w:p>
  </w:endnote>
  <w:endnote w:type="continuationSeparator" w:id="0">
    <w:p w:rsidR="000340C6" w:rsidRDefault="0003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14405"/>
      <w:docPartObj>
        <w:docPartGallery w:val="Page Numbers (Bottom of Page)"/>
        <w:docPartUnique/>
      </w:docPartObj>
    </w:sdtPr>
    <w:sdtEndPr>
      <w:rPr>
        <w:noProof/>
        <w:sz w:val="16"/>
      </w:rPr>
    </w:sdtEndPr>
    <w:sdtContent>
      <w:p w:rsidR="00F20805" w:rsidRPr="00F20805" w:rsidRDefault="00F20805">
        <w:pPr>
          <w:pStyle w:val="Footer"/>
          <w:jc w:val="center"/>
          <w:rPr>
            <w:sz w:val="16"/>
          </w:rPr>
        </w:pPr>
        <w:r w:rsidRPr="00F20805">
          <w:rPr>
            <w:sz w:val="16"/>
          </w:rPr>
          <w:fldChar w:fldCharType="begin"/>
        </w:r>
        <w:r w:rsidRPr="00F20805">
          <w:rPr>
            <w:sz w:val="16"/>
          </w:rPr>
          <w:instrText xml:space="preserve"> PAGE   \* MERGEFORMAT </w:instrText>
        </w:r>
        <w:r w:rsidRPr="00F20805">
          <w:rPr>
            <w:sz w:val="16"/>
          </w:rPr>
          <w:fldChar w:fldCharType="separate"/>
        </w:r>
        <w:r w:rsidR="00936929">
          <w:rPr>
            <w:noProof/>
            <w:sz w:val="16"/>
          </w:rPr>
          <w:t>7</w:t>
        </w:r>
        <w:r w:rsidRPr="00F20805">
          <w:rPr>
            <w:noProof/>
            <w:sz w:val="16"/>
          </w:rPr>
          <w:fldChar w:fldCharType="end"/>
        </w:r>
      </w:p>
    </w:sdtContent>
  </w:sdt>
  <w:p w:rsidR="001C2A18" w:rsidRDefault="001C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C6" w:rsidRDefault="000340C6">
      <w:r>
        <w:separator/>
      </w:r>
    </w:p>
  </w:footnote>
  <w:footnote w:type="continuationSeparator" w:id="0">
    <w:p w:rsidR="000340C6" w:rsidRDefault="00034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A18" w:rsidRPr="001C2A18" w:rsidRDefault="001C2A18" w:rsidP="001C2A1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9BB"/>
    <w:multiLevelType w:val="hybridMultilevel"/>
    <w:tmpl w:val="B6CE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85746"/>
    <w:multiLevelType w:val="hybridMultilevel"/>
    <w:tmpl w:val="A48C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4457E1"/>
    <w:multiLevelType w:val="hybridMultilevel"/>
    <w:tmpl w:val="69DE0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86738"/>
    <w:multiLevelType w:val="hybridMultilevel"/>
    <w:tmpl w:val="54C8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63354"/>
    <w:multiLevelType w:val="hybridMultilevel"/>
    <w:tmpl w:val="D518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D2FAF"/>
    <w:multiLevelType w:val="hybridMultilevel"/>
    <w:tmpl w:val="5E7E6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F6113E0"/>
    <w:multiLevelType w:val="hybridMultilevel"/>
    <w:tmpl w:val="5226F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DE099E"/>
    <w:multiLevelType w:val="hybridMultilevel"/>
    <w:tmpl w:val="6434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36504C72"/>
    <w:multiLevelType w:val="multilevel"/>
    <w:tmpl w:val="E50A3440"/>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nsid w:val="373C3335"/>
    <w:multiLevelType w:val="hybridMultilevel"/>
    <w:tmpl w:val="B6A09E48"/>
    <w:lvl w:ilvl="0" w:tplc="9344417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D397CBC"/>
    <w:multiLevelType w:val="hybridMultilevel"/>
    <w:tmpl w:val="0BE83C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B9C59AE"/>
    <w:multiLevelType w:val="multilevel"/>
    <w:tmpl w:val="815A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683A03"/>
    <w:multiLevelType w:val="hybridMultilevel"/>
    <w:tmpl w:val="6610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CD30FB"/>
    <w:multiLevelType w:val="hybridMultilevel"/>
    <w:tmpl w:val="154A1EF2"/>
    <w:lvl w:ilvl="0" w:tplc="DB14159A">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9D2ABD"/>
    <w:multiLevelType w:val="hybridMultilevel"/>
    <w:tmpl w:val="63B8F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9"/>
  </w:num>
  <w:num w:numId="3">
    <w:abstractNumId w:val="21"/>
  </w:num>
  <w:num w:numId="4">
    <w:abstractNumId w:val="6"/>
  </w:num>
  <w:num w:numId="5">
    <w:abstractNumId w:val="16"/>
  </w:num>
  <w:num w:numId="6">
    <w:abstractNumId w:val="18"/>
  </w:num>
  <w:num w:numId="7">
    <w:abstractNumId w:val="17"/>
  </w:num>
  <w:num w:numId="8">
    <w:abstractNumId w:val="14"/>
  </w:num>
  <w:num w:numId="9">
    <w:abstractNumId w:val="11"/>
  </w:num>
  <w:num w:numId="10">
    <w:abstractNumId w:val="5"/>
  </w:num>
  <w:num w:numId="11">
    <w:abstractNumId w:val="12"/>
  </w:num>
  <w:num w:numId="12">
    <w:abstractNumId w:val="20"/>
  </w:num>
  <w:num w:numId="13">
    <w:abstractNumId w:val="1"/>
  </w:num>
  <w:num w:numId="14">
    <w:abstractNumId w:val="2"/>
  </w:num>
  <w:num w:numId="15">
    <w:abstractNumId w:val="10"/>
  </w:num>
  <w:num w:numId="16">
    <w:abstractNumId w:val="3"/>
  </w:num>
  <w:num w:numId="17">
    <w:abstractNumId w:val="19"/>
  </w:num>
  <w:num w:numId="18">
    <w:abstractNumId w:val="7"/>
  </w:num>
  <w:num w:numId="19">
    <w:abstractNumId w:val="4"/>
  </w:num>
  <w:num w:numId="20">
    <w:abstractNumId w:val="15"/>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01"/>
    <w:rsid w:val="00011F78"/>
    <w:rsid w:val="00022DB6"/>
    <w:rsid w:val="000340C6"/>
    <w:rsid w:val="00041864"/>
    <w:rsid w:val="0004776A"/>
    <w:rsid w:val="00074000"/>
    <w:rsid w:val="000833EF"/>
    <w:rsid w:val="000A0C1B"/>
    <w:rsid w:val="000A5906"/>
    <w:rsid w:val="000B1468"/>
    <w:rsid w:val="000B607A"/>
    <w:rsid w:val="000F4E59"/>
    <w:rsid w:val="00116F59"/>
    <w:rsid w:val="001362FD"/>
    <w:rsid w:val="001366BB"/>
    <w:rsid w:val="001372F2"/>
    <w:rsid w:val="00137FCF"/>
    <w:rsid w:val="00140335"/>
    <w:rsid w:val="00153F85"/>
    <w:rsid w:val="00180A06"/>
    <w:rsid w:val="00182783"/>
    <w:rsid w:val="001839CD"/>
    <w:rsid w:val="001844C3"/>
    <w:rsid w:val="00195F8E"/>
    <w:rsid w:val="001A54FA"/>
    <w:rsid w:val="001A5D30"/>
    <w:rsid w:val="001B05C8"/>
    <w:rsid w:val="001B6DF9"/>
    <w:rsid w:val="001C2A18"/>
    <w:rsid w:val="001D55BC"/>
    <w:rsid w:val="001D7FB3"/>
    <w:rsid w:val="001E0675"/>
    <w:rsid w:val="001F4096"/>
    <w:rsid w:val="002009C2"/>
    <w:rsid w:val="00211C37"/>
    <w:rsid w:val="00212D24"/>
    <w:rsid w:val="00217581"/>
    <w:rsid w:val="002335B0"/>
    <w:rsid w:val="002338A1"/>
    <w:rsid w:val="00266064"/>
    <w:rsid w:val="0027611C"/>
    <w:rsid w:val="002840D0"/>
    <w:rsid w:val="00295EFC"/>
    <w:rsid w:val="002B651E"/>
    <w:rsid w:val="002D2A7A"/>
    <w:rsid w:val="002E28FA"/>
    <w:rsid w:val="002E33E6"/>
    <w:rsid w:val="002E58D0"/>
    <w:rsid w:val="00310708"/>
    <w:rsid w:val="00312BD3"/>
    <w:rsid w:val="00347A3B"/>
    <w:rsid w:val="003510D4"/>
    <w:rsid w:val="00364A41"/>
    <w:rsid w:val="00367EEB"/>
    <w:rsid w:val="00370895"/>
    <w:rsid w:val="00392AE9"/>
    <w:rsid w:val="003B78F9"/>
    <w:rsid w:val="003D463B"/>
    <w:rsid w:val="003D74A2"/>
    <w:rsid w:val="003D7A13"/>
    <w:rsid w:val="003E1B86"/>
    <w:rsid w:val="003E57ED"/>
    <w:rsid w:val="00402829"/>
    <w:rsid w:val="00430DC5"/>
    <w:rsid w:val="00442C28"/>
    <w:rsid w:val="00450D89"/>
    <w:rsid w:val="004533A7"/>
    <w:rsid w:val="00460505"/>
    <w:rsid w:val="00463122"/>
    <w:rsid w:val="00474A3A"/>
    <w:rsid w:val="00480E77"/>
    <w:rsid w:val="00484C39"/>
    <w:rsid w:val="004955D9"/>
    <w:rsid w:val="004A39C4"/>
    <w:rsid w:val="004D26F1"/>
    <w:rsid w:val="004E633C"/>
    <w:rsid w:val="00505F32"/>
    <w:rsid w:val="00511CA5"/>
    <w:rsid w:val="005150CE"/>
    <w:rsid w:val="00530814"/>
    <w:rsid w:val="005358E2"/>
    <w:rsid w:val="00545301"/>
    <w:rsid w:val="00556C15"/>
    <w:rsid w:val="00565333"/>
    <w:rsid w:val="00582D88"/>
    <w:rsid w:val="00591B39"/>
    <w:rsid w:val="005A1A0D"/>
    <w:rsid w:val="005A59D2"/>
    <w:rsid w:val="005B1CC3"/>
    <w:rsid w:val="005B5A07"/>
    <w:rsid w:val="005C1372"/>
    <w:rsid w:val="005D1376"/>
    <w:rsid w:val="005E7837"/>
    <w:rsid w:val="005F5148"/>
    <w:rsid w:val="00607A4B"/>
    <w:rsid w:val="0062704E"/>
    <w:rsid w:val="00634682"/>
    <w:rsid w:val="0063507E"/>
    <w:rsid w:val="006363E9"/>
    <w:rsid w:val="00661C1E"/>
    <w:rsid w:val="0067421A"/>
    <w:rsid w:val="0068034E"/>
    <w:rsid w:val="00685005"/>
    <w:rsid w:val="006858D6"/>
    <w:rsid w:val="00687908"/>
    <w:rsid w:val="00692930"/>
    <w:rsid w:val="006A0189"/>
    <w:rsid w:val="006A0626"/>
    <w:rsid w:val="006A1127"/>
    <w:rsid w:val="006A2F72"/>
    <w:rsid w:val="006A3278"/>
    <w:rsid w:val="006D3EBD"/>
    <w:rsid w:val="006E6F0B"/>
    <w:rsid w:val="006F733B"/>
    <w:rsid w:val="007104E4"/>
    <w:rsid w:val="00731C87"/>
    <w:rsid w:val="00734EB5"/>
    <w:rsid w:val="0073547E"/>
    <w:rsid w:val="00742559"/>
    <w:rsid w:val="0074256E"/>
    <w:rsid w:val="007442BB"/>
    <w:rsid w:val="007463C5"/>
    <w:rsid w:val="00746846"/>
    <w:rsid w:val="007510C3"/>
    <w:rsid w:val="0076458E"/>
    <w:rsid w:val="00767063"/>
    <w:rsid w:val="00787157"/>
    <w:rsid w:val="007940AE"/>
    <w:rsid w:val="007A10F9"/>
    <w:rsid w:val="007A4C02"/>
    <w:rsid w:val="007B1758"/>
    <w:rsid w:val="007B49CD"/>
    <w:rsid w:val="007B593B"/>
    <w:rsid w:val="007B5A46"/>
    <w:rsid w:val="007C1BC2"/>
    <w:rsid w:val="007D0DBA"/>
    <w:rsid w:val="007D4DB0"/>
    <w:rsid w:val="007E4FEC"/>
    <w:rsid w:val="007F073B"/>
    <w:rsid w:val="007F721C"/>
    <w:rsid w:val="008029B1"/>
    <w:rsid w:val="00805C72"/>
    <w:rsid w:val="0082089A"/>
    <w:rsid w:val="00831225"/>
    <w:rsid w:val="0083259D"/>
    <w:rsid w:val="008428AB"/>
    <w:rsid w:val="00842DBA"/>
    <w:rsid w:val="0085608F"/>
    <w:rsid w:val="00863664"/>
    <w:rsid w:val="0088151C"/>
    <w:rsid w:val="008817AB"/>
    <w:rsid w:val="008843A4"/>
    <w:rsid w:val="008B1C49"/>
    <w:rsid w:val="008B67CC"/>
    <w:rsid w:val="008D1228"/>
    <w:rsid w:val="008E3BDA"/>
    <w:rsid w:val="008F452F"/>
    <w:rsid w:val="009033CE"/>
    <w:rsid w:val="00905ADC"/>
    <w:rsid w:val="00906C33"/>
    <w:rsid w:val="009173AF"/>
    <w:rsid w:val="00932946"/>
    <w:rsid w:val="00936929"/>
    <w:rsid w:val="009424FA"/>
    <w:rsid w:val="009426CB"/>
    <w:rsid w:val="00963073"/>
    <w:rsid w:val="0097315A"/>
    <w:rsid w:val="009905FE"/>
    <w:rsid w:val="009A3F0A"/>
    <w:rsid w:val="009A4ECE"/>
    <w:rsid w:val="009B3EFE"/>
    <w:rsid w:val="009B4552"/>
    <w:rsid w:val="009B493A"/>
    <w:rsid w:val="009C4F72"/>
    <w:rsid w:val="009D3D73"/>
    <w:rsid w:val="009D7DB9"/>
    <w:rsid w:val="009E6EC3"/>
    <w:rsid w:val="009E73AD"/>
    <w:rsid w:val="009F4320"/>
    <w:rsid w:val="009F5357"/>
    <w:rsid w:val="009F7653"/>
    <w:rsid w:val="00A00569"/>
    <w:rsid w:val="00A12C70"/>
    <w:rsid w:val="00A1500C"/>
    <w:rsid w:val="00A208A1"/>
    <w:rsid w:val="00A21E85"/>
    <w:rsid w:val="00A2712A"/>
    <w:rsid w:val="00A3306B"/>
    <w:rsid w:val="00A36044"/>
    <w:rsid w:val="00A366A9"/>
    <w:rsid w:val="00A46912"/>
    <w:rsid w:val="00A5564D"/>
    <w:rsid w:val="00A64099"/>
    <w:rsid w:val="00A96425"/>
    <w:rsid w:val="00AB6016"/>
    <w:rsid w:val="00AC2A37"/>
    <w:rsid w:val="00AD0E50"/>
    <w:rsid w:val="00AD632D"/>
    <w:rsid w:val="00AF0554"/>
    <w:rsid w:val="00AF1C07"/>
    <w:rsid w:val="00AF737F"/>
    <w:rsid w:val="00B006DF"/>
    <w:rsid w:val="00B05ECD"/>
    <w:rsid w:val="00B06172"/>
    <w:rsid w:val="00B069D9"/>
    <w:rsid w:val="00B16A24"/>
    <w:rsid w:val="00B16A8C"/>
    <w:rsid w:val="00B275C1"/>
    <w:rsid w:val="00B40D11"/>
    <w:rsid w:val="00B61137"/>
    <w:rsid w:val="00B6522B"/>
    <w:rsid w:val="00B65709"/>
    <w:rsid w:val="00B67DF2"/>
    <w:rsid w:val="00B74166"/>
    <w:rsid w:val="00B85BF7"/>
    <w:rsid w:val="00B939CC"/>
    <w:rsid w:val="00BA5956"/>
    <w:rsid w:val="00BC547B"/>
    <w:rsid w:val="00BD3B8A"/>
    <w:rsid w:val="00BD4B6C"/>
    <w:rsid w:val="00C12721"/>
    <w:rsid w:val="00C37933"/>
    <w:rsid w:val="00C408C7"/>
    <w:rsid w:val="00C47EEA"/>
    <w:rsid w:val="00C519D0"/>
    <w:rsid w:val="00C6419C"/>
    <w:rsid w:val="00C70ACB"/>
    <w:rsid w:val="00C87153"/>
    <w:rsid w:val="00CA4FEC"/>
    <w:rsid w:val="00CC72CC"/>
    <w:rsid w:val="00CD7921"/>
    <w:rsid w:val="00CE084B"/>
    <w:rsid w:val="00D02D57"/>
    <w:rsid w:val="00D118D6"/>
    <w:rsid w:val="00D20266"/>
    <w:rsid w:val="00D20C29"/>
    <w:rsid w:val="00D33842"/>
    <w:rsid w:val="00D47915"/>
    <w:rsid w:val="00D47CC3"/>
    <w:rsid w:val="00D57D6E"/>
    <w:rsid w:val="00D605DC"/>
    <w:rsid w:val="00D61F5A"/>
    <w:rsid w:val="00D656C2"/>
    <w:rsid w:val="00DA61C2"/>
    <w:rsid w:val="00DB4094"/>
    <w:rsid w:val="00DB4C12"/>
    <w:rsid w:val="00DD1E0D"/>
    <w:rsid w:val="00DD3301"/>
    <w:rsid w:val="00E0081E"/>
    <w:rsid w:val="00E02094"/>
    <w:rsid w:val="00E10F4C"/>
    <w:rsid w:val="00E13B0F"/>
    <w:rsid w:val="00E2419F"/>
    <w:rsid w:val="00E366D6"/>
    <w:rsid w:val="00E54853"/>
    <w:rsid w:val="00E61836"/>
    <w:rsid w:val="00E63D8B"/>
    <w:rsid w:val="00E81F4B"/>
    <w:rsid w:val="00EA11BE"/>
    <w:rsid w:val="00EC644A"/>
    <w:rsid w:val="00EC6A3F"/>
    <w:rsid w:val="00F11BD3"/>
    <w:rsid w:val="00F20805"/>
    <w:rsid w:val="00F22601"/>
    <w:rsid w:val="00F30554"/>
    <w:rsid w:val="00F348D2"/>
    <w:rsid w:val="00F4485F"/>
    <w:rsid w:val="00F44B6A"/>
    <w:rsid w:val="00F521C7"/>
    <w:rsid w:val="00F60BF8"/>
    <w:rsid w:val="00F64863"/>
    <w:rsid w:val="00F960C1"/>
    <w:rsid w:val="00FA0331"/>
    <w:rsid w:val="00FA5E22"/>
    <w:rsid w:val="00FB788D"/>
    <w:rsid w:val="00FC049C"/>
    <w:rsid w:val="00FC1C0E"/>
    <w:rsid w:val="00FC26A8"/>
    <w:rsid w:val="00FC5ED8"/>
    <w:rsid w:val="00FE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unhideWhenUsed/>
    <w:rsid w:val="00F22601"/>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basedOn w:val="DefaultParagraphFont"/>
    <w:uiPriority w:val="99"/>
    <w:unhideWhenUsed/>
    <w:rsid w:val="00F22601"/>
    <w:rPr>
      <w:color w:val="0000FF"/>
      <w:u w:val="single"/>
    </w:rPr>
  </w:style>
  <w:style w:type="table" w:styleId="TableGrid">
    <w:name w:val="Table Grid"/>
    <w:basedOn w:val="TableNormal"/>
    <w:rsid w:val="006F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2DBA"/>
    <w:rPr>
      <w:rFonts w:ascii="Tahoma" w:hAnsi="Tahoma" w:cs="Tahoma"/>
      <w:sz w:val="16"/>
      <w:szCs w:val="16"/>
    </w:rPr>
  </w:style>
  <w:style w:type="character" w:customStyle="1" w:styleId="BalloonTextChar">
    <w:name w:val="Balloon Text Char"/>
    <w:basedOn w:val="DefaultParagraphFont"/>
    <w:link w:val="BalloonText"/>
    <w:rsid w:val="00842DBA"/>
    <w:rPr>
      <w:rFonts w:ascii="Tahoma" w:hAnsi="Tahoma" w:cs="Tahoma"/>
      <w:sz w:val="16"/>
      <w:szCs w:val="16"/>
      <w:lang w:eastAsia="en-US"/>
    </w:rPr>
  </w:style>
  <w:style w:type="paragraph" w:customStyle="1" w:styleId="Default">
    <w:name w:val="Default"/>
    <w:basedOn w:val="Normal"/>
    <w:uiPriority w:val="99"/>
    <w:semiHidden/>
    <w:rsid w:val="001839CD"/>
    <w:pPr>
      <w:widowControl/>
      <w:overflowPunct/>
      <w:adjustRightInd/>
      <w:textAlignment w:val="auto"/>
    </w:pPr>
    <w:rPr>
      <w:rFonts w:eastAsiaTheme="minorHAnsi" w:cs="Arial"/>
      <w:color w:val="000000"/>
      <w:szCs w:val="24"/>
      <w:lang w:eastAsia="en-GB"/>
    </w:rPr>
  </w:style>
  <w:style w:type="character" w:styleId="CommentReference">
    <w:name w:val="annotation reference"/>
    <w:basedOn w:val="DefaultParagraphFont"/>
    <w:rsid w:val="00364A41"/>
    <w:rPr>
      <w:sz w:val="16"/>
      <w:szCs w:val="16"/>
    </w:rPr>
  </w:style>
  <w:style w:type="paragraph" w:styleId="CommentText">
    <w:name w:val="annotation text"/>
    <w:basedOn w:val="Normal"/>
    <w:link w:val="CommentTextChar"/>
    <w:rsid w:val="00364A41"/>
    <w:rPr>
      <w:sz w:val="20"/>
    </w:rPr>
  </w:style>
  <w:style w:type="character" w:customStyle="1" w:styleId="CommentTextChar">
    <w:name w:val="Comment Text Char"/>
    <w:basedOn w:val="DefaultParagraphFont"/>
    <w:link w:val="CommentText"/>
    <w:rsid w:val="00364A41"/>
    <w:rPr>
      <w:rFonts w:ascii="Arial" w:hAnsi="Arial"/>
      <w:lang w:eastAsia="en-US"/>
    </w:rPr>
  </w:style>
  <w:style w:type="paragraph" w:styleId="CommentSubject">
    <w:name w:val="annotation subject"/>
    <w:basedOn w:val="CommentText"/>
    <w:next w:val="CommentText"/>
    <w:link w:val="CommentSubjectChar"/>
    <w:rsid w:val="00364A41"/>
    <w:rPr>
      <w:b/>
      <w:bCs/>
    </w:rPr>
  </w:style>
  <w:style w:type="character" w:customStyle="1" w:styleId="CommentSubjectChar">
    <w:name w:val="Comment Subject Char"/>
    <w:basedOn w:val="CommentTextChar"/>
    <w:link w:val="CommentSubject"/>
    <w:rsid w:val="00364A41"/>
    <w:rPr>
      <w:rFonts w:ascii="Arial" w:hAnsi="Arial"/>
      <w:b/>
      <w:bCs/>
      <w:lang w:eastAsia="en-US"/>
    </w:rPr>
  </w:style>
  <w:style w:type="character" w:customStyle="1" w:styleId="FooterChar">
    <w:name w:val="Footer Char"/>
    <w:basedOn w:val="DefaultParagraphFont"/>
    <w:link w:val="Footer"/>
    <w:uiPriority w:val="99"/>
    <w:rsid w:val="00F20805"/>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unhideWhenUsed/>
    <w:rsid w:val="00F22601"/>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basedOn w:val="DefaultParagraphFont"/>
    <w:uiPriority w:val="99"/>
    <w:unhideWhenUsed/>
    <w:rsid w:val="00F22601"/>
    <w:rPr>
      <w:color w:val="0000FF"/>
      <w:u w:val="single"/>
    </w:rPr>
  </w:style>
  <w:style w:type="table" w:styleId="TableGrid">
    <w:name w:val="Table Grid"/>
    <w:basedOn w:val="TableNormal"/>
    <w:rsid w:val="006F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2DBA"/>
    <w:rPr>
      <w:rFonts w:ascii="Tahoma" w:hAnsi="Tahoma" w:cs="Tahoma"/>
      <w:sz w:val="16"/>
      <w:szCs w:val="16"/>
    </w:rPr>
  </w:style>
  <w:style w:type="character" w:customStyle="1" w:styleId="BalloonTextChar">
    <w:name w:val="Balloon Text Char"/>
    <w:basedOn w:val="DefaultParagraphFont"/>
    <w:link w:val="BalloonText"/>
    <w:rsid w:val="00842DBA"/>
    <w:rPr>
      <w:rFonts w:ascii="Tahoma" w:hAnsi="Tahoma" w:cs="Tahoma"/>
      <w:sz w:val="16"/>
      <w:szCs w:val="16"/>
      <w:lang w:eastAsia="en-US"/>
    </w:rPr>
  </w:style>
  <w:style w:type="paragraph" w:customStyle="1" w:styleId="Default">
    <w:name w:val="Default"/>
    <w:basedOn w:val="Normal"/>
    <w:uiPriority w:val="99"/>
    <w:semiHidden/>
    <w:rsid w:val="001839CD"/>
    <w:pPr>
      <w:widowControl/>
      <w:overflowPunct/>
      <w:adjustRightInd/>
      <w:textAlignment w:val="auto"/>
    </w:pPr>
    <w:rPr>
      <w:rFonts w:eastAsiaTheme="minorHAnsi" w:cs="Arial"/>
      <w:color w:val="000000"/>
      <w:szCs w:val="24"/>
      <w:lang w:eastAsia="en-GB"/>
    </w:rPr>
  </w:style>
  <w:style w:type="character" w:styleId="CommentReference">
    <w:name w:val="annotation reference"/>
    <w:basedOn w:val="DefaultParagraphFont"/>
    <w:rsid w:val="00364A41"/>
    <w:rPr>
      <w:sz w:val="16"/>
      <w:szCs w:val="16"/>
    </w:rPr>
  </w:style>
  <w:style w:type="paragraph" w:styleId="CommentText">
    <w:name w:val="annotation text"/>
    <w:basedOn w:val="Normal"/>
    <w:link w:val="CommentTextChar"/>
    <w:rsid w:val="00364A41"/>
    <w:rPr>
      <w:sz w:val="20"/>
    </w:rPr>
  </w:style>
  <w:style w:type="character" w:customStyle="1" w:styleId="CommentTextChar">
    <w:name w:val="Comment Text Char"/>
    <w:basedOn w:val="DefaultParagraphFont"/>
    <w:link w:val="CommentText"/>
    <w:rsid w:val="00364A41"/>
    <w:rPr>
      <w:rFonts w:ascii="Arial" w:hAnsi="Arial"/>
      <w:lang w:eastAsia="en-US"/>
    </w:rPr>
  </w:style>
  <w:style w:type="paragraph" w:styleId="CommentSubject">
    <w:name w:val="annotation subject"/>
    <w:basedOn w:val="CommentText"/>
    <w:next w:val="CommentText"/>
    <w:link w:val="CommentSubjectChar"/>
    <w:rsid w:val="00364A41"/>
    <w:rPr>
      <w:b/>
      <w:bCs/>
    </w:rPr>
  </w:style>
  <w:style w:type="character" w:customStyle="1" w:styleId="CommentSubjectChar">
    <w:name w:val="Comment Subject Char"/>
    <w:basedOn w:val="CommentTextChar"/>
    <w:link w:val="CommentSubject"/>
    <w:rsid w:val="00364A41"/>
    <w:rPr>
      <w:rFonts w:ascii="Arial" w:hAnsi="Arial"/>
      <w:b/>
      <w:bCs/>
      <w:lang w:eastAsia="en-US"/>
    </w:rPr>
  </w:style>
  <w:style w:type="character" w:customStyle="1" w:styleId="FooterChar">
    <w:name w:val="Footer Char"/>
    <w:basedOn w:val="DefaultParagraphFont"/>
    <w:link w:val="Footer"/>
    <w:uiPriority w:val="99"/>
    <w:rsid w:val="00F2080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4739">
      <w:bodyDiv w:val="1"/>
      <w:marLeft w:val="0"/>
      <w:marRight w:val="0"/>
      <w:marTop w:val="0"/>
      <w:marBottom w:val="0"/>
      <w:divBdr>
        <w:top w:val="none" w:sz="0" w:space="0" w:color="auto"/>
        <w:left w:val="none" w:sz="0" w:space="0" w:color="auto"/>
        <w:bottom w:val="none" w:sz="0" w:space="0" w:color="auto"/>
        <w:right w:val="none" w:sz="0" w:space="0" w:color="auto"/>
      </w:divBdr>
    </w:div>
    <w:div w:id="316612171">
      <w:bodyDiv w:val="1"/>
      <w:marLeft w:val="0"/>
      <w:marRight w:val="0"/>
      <w:marTop w:val="0"/>
      <w:marBottom w:val="0"/>
      <w:divBdr>
        <w:top w:val="none" w:sz="0" w:space="0" w:color="auto"/>
        <w:left w:val="none" w:sz="0" w:space="0" w:color="auto"/>
        <w:bottom w:val="none" w:sz="0" w:space="0" w:color="auto"/>
        <w:right w:val="none" w:sz="0" w:space="0" w:color="auto"/>
      </w:divBdr>
    </w:div>
    <w:div w:id="366031319">
      <w:bodyDiv w:val="1"/>
      <w:marLeft w:val="0"/>
      <w:marRight w:val="0"/>
      <w:marTop w:val="0"/>
      <w:marBottom w:val="0"/>
      <w:divBdr>
        <w:top w:val="none" w:sz="0" w:space="0" w:color="auto"/>
        <w:left w:val="none" w:sz="0" w:space="0" w:color="auto"/>
        <w:bottom w:val="none" w:sz="0" w:space="0" w:color="auto"/>
        <w:right w:val="none" w:sz="0" w:space="0" w:color="auto"/>
      </w:divBdr>
    </w:div>
    <w:div w:id="730662622">
      <w:bodyDiv w:val="1"/>
      <w:marLeft w:val="0"/>
      <w:marRight w:val="0"/>
      <w:marTop w:val="0"/>
      <w:marBottom w:val="0"/>
      <w:divBdr>
        <w:top w:val="none" w:sz="0" w:space="0" w:color="auto"/>
        <w:left w:val="none" w:sz="0" w:space="0" w:color="auto"/>
        <w:bottom w:val="none" w:sz="0" w:space="0" w:color="auto"/>
        <w:right w:val="none" w:sz="0" w:space="0" w:color="auto"/>
      </w:divBdr>
      <w:divsChild>
        <w:div w:id="1303385281">
          <w:marLeft w:val="0"/>
          <w:marRight w:val="0"/>
          <w:marTop w:val="0"/>
          <w:marBottom w:val="0"/>
          <w:divBdr>
            <w:top w:val="none" w:sz="0" w:space="0" w:color="auto"/>
            <w:left w:val="none" w:sz="0" w:space="0" w:color="auto"/>
            <w:bottom w:val="none" w:sz="0" w:space="0" w:color="auto"/>
            <w:right w:val="none" w:sz="0" w:space="0" w:color="auto"/>
          </w:divBdr>
          <w:divsChild>
            <w:div w:id="1261334658">
              <w:marLeft w:val="0"/>
              <w:marRight w:val="0"/>
              <w:marTop w:val="0"/>
              <w:marBottom w:val="0"/>
              <w:divBdr>
                <w:top w:val="none" w:sz="0" w:space="0" w:color="auto"/>
                <w:left w:val="none" w:sz="0" w:space="0" w:color="auto"/>
                <w:bottom w:val="none" w:sz="0" w:space="0" w:color="auto"/>
                <w:right w:val="none" w:sz="0" w:space="0" w:color="auto"/>
              </w:divBdr>
              <w:divsChild>
                <w:div w:id="46537698">
                  <w:marLeft w:val="0"/>
                  <w:marRight w:val="0"/>
                  <w:marTop w:val="0"/>
                  <w:marBottom w:val="0"/>
                  <w:divBdr>
                    <w:top w:val="none" w:sz="0" w:space="0" w:color="auto"/>
                    <w:left w:val="none" w:sz="0" w:space="0" w:color="auto"/>
                    <w:bottom w:val="none" w:sz="0" w:space="0" w:color="auto"/>
                    <w:right w:val="none" w:sz="0" w:space="0" w:color="auto"/>
                  </w:divBdr>
                  <w:divsChild>
                    <w:div w:id="742681718">
                      <w:marLeft w:val="0"/>
                      <w:marRight w:val="0"/>
                      <w:marTop w:val="0"/>
                      <w:marBottom w:val="0"/>
                      <w:divBdr>
                        <w:top w:val="none" w:sz="0" w:space="0" w:color="auto"/>
                        <w:left w:val="none" w:sz="0" w:space="0" w:color="auto"/>
                        <w:bottom w:val="none" w:sz="0" w:space="0" w:color="auto"/>
                        <w:right w:val="none" w:sz="0" w:space="0" w:color="auto"/>
                      </w:divBdr>
                      <w:divsChild>
                        <w:div w:id="1299260917">
                          <w:marLeft w:val="0"/>
                          <w:marRight w:val="0"/>
                          <w:marTop w:val="0"/>
                          <w:marBottom w:val="0"/>
                          <w:divBdr>
                            <w:top w:val="none" w:sz="0" w:space="0" w:color="auto"/>
                            <w:left w:val="none" w:sz="0" w:space="0" w:color="auto"/>
                            <w:bottom w:val="none" w:sz="0" w:space="0" w:color="auto"/>
                            <w:right w:val="none" w:sz="0" w:space="0" w:color="auto"/>
                          </w:divBdr>
                          <w:divsChild>
                            <w:div w:id="18402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0653">
      <w:bodyDiv w:val="1"/>
      <w:marLeft w:val="0"/>
      <w:marRight w:val="0"/>
      <w:marTop w:val="0"/>
      <w:marBottom w:val="0"/>
      <w:divBdr>
        <w:top w:val="none" w:sz="0" w:space="0" w:color="auto"/>
        <w:left w:val="none" w:sz="0" w:space="0" w:color="auto"/>
        <w:bottom w:val="none" w:sz="0" w:space="0" w:color="auto"/>
        <w:right w:val="none" w:sz="0" w:space="0" w:color="auto"/>
      </w:divBdr>
    </w:div>
    <w:div w:id="897859063">
      <w:bodyDiv w:val="1"/>
      <w:marLeft w:val="0"/>
      <w:marRight w:val="0"/>
      <w:marTop w:val="0"/>
      <w:marBottom w:val="0"/>
      <w:divBdr>
        <w:top w:val="none" w:sz="0" w:space="0" w:color="auto"/>
        <w:left w:val="none" w:sz="0" w:space="0" w:color="auto"/>
        <w:bottom w:val="none" w:sz="0" w:space="0" w:color="auto"/>
        <w:right w:val="none" w:sz="0" w:space="0" w:color="auto"/>
      </w:divBdr>
    </w:div>
    <w:div w:id="1061322453">
      <w:bodyDiv w:val="1"/>
      <w:marLeft w:val="0"/>
      <w:marRight w:val="0"/>
      <w:marTop w:val="0"/>
      <w:marBottom w:val="0"/>
      <w:divBdr>
        <w:top w:val="none" w:sz="0" w:space="0" w:color="auto"/>
        <w:left w:val="none" w:sz="0" w:space="0" w:color="auto"/>
        <w:bottom w:val="none" w:sz="0" w:space="0" w:color="auto"/>
        <w:right w:val="none" w:sz="0" w:space="0" w:color="auto"/>
      </w:divBdr>
    </w:div>
    <w:div w:id="1290237205">
      <w:bodyDiv w:val="1"/>
      <w:marLeft w:val="0"/>
      <w:marRight w:val="0"/>
      <w:marTop w:val="0"/>
      <w:marBottom w:val="0"/>
      <w:divBdr>
        <w:top w:val="none" w:sz="0" w:space="0" w:color="auto"/>
        <w:left w:val="none" w:sz="0" w:space="0" w:color="auto"/>
        <w:bottom w:val="none" w:sz="0" w:space="0" w:color="auto"/>
        <w:right w:val="none" w:sz="0" w:space="0" w:color="auto"/>
      </w:divBdr>
    </w:div>
    <w:div w:id="15140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BB98-5618-4582-9B9B-0B5D7716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49C107FB</Template>
  <TotalTime>8</TotalTime>
  <Pages>7</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Halmshaw</dc:creator>
  <cp:lastModifiedBy>Eligio CERVAL-PENA</cp:lastModifiedBy>
  <cp:revision>6</cp:revision>
  <cp:lastPrinted>2015-01-28T12:02:00Z</cp:lastPrinted>
  <dcterms:created xsi:type="dcterms:W3CDTF">2015-01-28T17:00:00Z</dcterms:created>
  <dcterms:modified xsi:type="dcterms:W3CDTF">2015-01-29T07:54:00Z</dcterms:modified>
</cp:coreProperties>
</file>