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B4" w:rsidRPr="006250BE" w:rsidRDefault="00C84E41" w:rsidP="00166BA8">
      <w:pPr>
        <w:autoSpaceDE w:val="0"/>
        <w:autoSpaceDN w:val="0"/>
        <w:adjustRightInd w:val="0"/>
        <w:spacing w:after="0"/>
        <w:jc w:val="both"/>
        <w:rPr>
          <w:rFonts w:ascii="Arial" w:hAnsi="Arial" w:cs="Arial"/>
          <w:b/>
          <w:bCs/>
          <w:sz w:val="24"/>
          <w:szCs w:val="24"/>
        </w:rPr>
      </w:pPr>
      <w:bookmarkStart w:id="0" w:name="_GoBack"/>
      <w:bookmarkEnd w:id="0"/>
      <w:r>
        <w:rPr>
          <w:rFonts w:ascii="Arial" w:hAnsi="Arial" w:cs="Arial"/>
          <w:b/>
          <w:bCs/>
          <w:sz w:val="24"/>
          <w:szCs w:val="24"/>
        </w:rPr>
        <w:t>Report on Departmental Open D</w:t>
      </w:r>
      <w:r w:rsidR="002D56B4" w:rsidRPr="006250BE">
        <w:rPr>
          <w:rFonts w:ascii="Arial" w:hAnsi="Arial" w:cs="Arial"/>
          <w:b/>
          <w:bCs/>
          <w:sz w:val="24"/>
          <w:szCs w:val="24"/>
        </w:rPr>
        <w:t>ata Commitments and adherence to Public Data Princip</w:t>
      </w:r>
      <w:r w:rsidR="00AF71DB" w:rsidRPr="006250BE">
        <w:rPr>
          <w:rFonts w:ascii="Arial" w:hAnsi="Arial" w:cs="Arial"/>
          <w:b/>
          <w:bCs/>
          <w:sz w:val="24"/>
          <w:szCs w:val="24"/>
        </w:rPr>
        <w:t xml:space="preserve">les for the period between </w:t>
      </w:r>
      <w:r w:rsidR="00AE57E6" w:rsidRPr="00AE57E6">
        <w:rPr>
          <w:rFonts w:ascii="Arial" w:hAnsi="Arial" w:cs="Arial"/>
          <w:b/>
          <w:bCs/>
          <w:sz w:val="24"/>
          <w:szCs w:val="24"/>
        </w:rPr>
        <w:t>January</w:t>
      </w:r>
      <w:r w:rsidR="00AF71DB" w:rsidRPr="00AE57E6">
        <w:rPr>
          <w:rFonts w:ascii="Arial" w:hAnsi="Arial" w:cs="Arial"/>
          <w:b/>
          <w:bCs/>
          <w:sz w:val="24"/>
          <w:szCs w:val="24"/>
        </w:rPr>
        <w:t xml:space="preserve"> and </w:t>
      </w:r>
      <w:r w:rsidR="00AE57E6" w:rsidRPr="00AE57E6">
        <w:rPr>
          <w:rFonts w:ascii="Arial" w:hAnsi="Arial" w:cs="Arial"/>
          <w:b/>
          <w:bCs/>
          <w:sz w:val="24"/>
          <w:szCs w:val="24"/>
        </w:rPr>
        <w:t>March 2014</w:t>
      </w:r>
    </w:p>
    <w:p w:rsidR="002D56B4" w:rsidRPr="006250BE" w:rsidRDefault="002D56B4" w:rsidP="00166BA8">
      <w:pPr>
        <w:autoSpaceDE w:val="0"/>
        <w:autoSpaceDN w:val="0"/>
        <w:adjustRightInd w:val="0"/>
        <w:spacing w:after="0"/>
        <w:jc w:val="both"/>
        <w:rPr>
          <w:rFonts w:ascii="Arial" w:hAnsi="Arial" w:cs="Arial"/>
          <w:b/>
          <w:bCs/>
          <w:sz w:val="24"/>
          <w:szCs w:val="24"/>
        </w:rPr>
      </w:pPr>
    </w:p>
    <w:p w:rsidR="002D56B4" w:rsidRPr="006250BE" w:rsidRDefault="00AF71DB" w:rsidP="00166BA8">
      <w:pPr>
        <w:autoSpaceDE w:val="0"/>
        <w:autoSpaceDN w:val="0"/>
        <w:adjustRightInd w:val="0"/>
        <w:spacing w:after="0"/>
        <w:jc w:val="both"/>
        <w:rPr>
          <w:rFonts w:ascii="Arial" w:hAnsi="Arial" w:cs="Arial"/>
          <w:sz w:val="24"/>
          <w:szCs w:val="24"/>
        </w:rPr>
      </w:pPr>
      <w:r w:rsidRPr="006250BE">
        <w:rPr>
          <w:rFonts w:ascii="Arial" w:hAnsi="Arial" w:cs="Arial"/>
          <w:sz w:val="24"/>
          <w:szCs w:val="24"/>
        </w:rPr>
        <w:t xml:space="preserve">This is the </w:t>
      </w:r>
      <w:r w:rsidR="00AE57E6">
        <w:rPr>
          <w:rFonts w:ascii="Arial" w:hAnsi="Arial" w:cs="Arial"/>
          <w:sz w:val="24"/>
          <w:szCs w:val="24"/>
        </w:rPr>
        <w:t>seventh</w:t>
      </w:r>
      <w:r w:rsidR="00A908C9">
        <w:rPr>
          <w:rFonts w:ascii="Arial" w:hAnsi="Arial" w:cs="Arial"/>
          <w:sz w:val="24"/>
          <w:szCs w:val="24"/>
        </w:rPr>
        <w:t xml:space="preserve"> report on departmental Open D</w:t>
      </w:r>
      <w:r w:rsidR="002D56B4" w:rsidRPr="006250BE">
        <w:rPr>
          <w:rFonts w:ascii="Arial" w:hAnsi="Arial" w:cs="Arial"/>
          <w:sz w:val="24"/>
          <w:szCs w:val="24"/>
        </w:rPr>
        <w:t>ata commitments and adherence to public da</w:t>
      </w:r>
      <w:r w:rsidRPr="006250BE">
        <w:rPr>
          <w:rFonts w:ascii="Arial" w:hAnsi="Arial" w:cs="Arial"/>
          <w:sz w:val="24"/>
          <w:szCs w:val="24"/>
        </w:rPr>
        <w:t xml:space="preserve">ta principles </w:t>
      </w:r>
      <w:r w:rsidRPr="00AE57E6">
        <w:rPr>
          <w:rFonts w:ascii="Arial" w:hAnsi="Arial" w:cs="Arial"/>
          <w:sz w:val="24"/>
          <w:szCs w:val="24"/>
        </w:rPr>
        <w:t xml:space="preserve">covering </w:t>
      </w:r>
      <w:r w:rsidR="00AE57E6" w:rsidRPr="00AE57E6">
        <w:rPr>
          <w:rFonts w:ascii="Arial" w:hAnsi="Arial" w:cs="Arial"/>
          <w:sz w:val="24"/>
          <w:szCs w:val="24"/>
        </w:rPr>
        <w:t>Quarter 4</w:t>
      </w:r>
      <w:r w:rsidR="002D56B4" w:rsidRPr="00AE57E6">
        <w:rPr>
          <w:rFonts w:ascii="Arial" w:hAnsi="Arial" w:cs="Arial"/>
          <w:sz w:val="24"/>
          <w:szCs w:val="24"/>
        </w:rPr>
        <w:t xml:space="preserve"> 2013/14.</w:t>
      </w:r>
      <w:r w:rsidR="002D56B4" w:rsidRPr="006250BE">
        <w:rPr>
          <w:rFonts w:ascii="Arial" w:hAnsi="Arial" w:cs="Arial"/>
          <w:sz w:val="24"/>
          <w:szCs w:val="24"/>
        </w:rPr>
        <w:t xml:space="preserve"> </w:t>
      </w:r>
    </w:p>
    <w:p w:rsidR="002D56B4" w:rsidRPr="006250BE" w:rsidRDefault="002D56B4" w:rsidP="00166BA8">
      <w:pPr>
        <w:autoSpaceDE w:val="0"/>
        <w:autoSpaceDN w:val="0"/>
        <w:adjustRightInd w:val="0"/>
        <w:spacing w:after="0"/>
        <w:jc w:val="both"/>
        <w:rPr>
          <w:rFonts w:ascii="Arial" w:hAnsi="Arial" w:cs="Arial"/>
          <w:sz w:val="24"/>
          <w:szCs w:val="24"/>
        </w:rPr>
      </w:pPr>
      <w:r w:rsidRPr="006250BE">
        <w:rPr>
          <w:rFonts w:ascii="Arial" w:hAnsi="Arial" w:cs="Arial"/>
          <w:sz w:val="24"/>
          <w:szCs w:val="24"/>
        </w:rPr>
        <w:br/>
        <w:t>Open Data is not just about releasing datasets. The Public Data Principles (Annex A) are designed to encourage departments and government organisations to look at their processes and make improvements to enable the release of data</w:t>
      </w:r>
      <w:r w:rsidR="00044B1B" w:rsidRPr="006250BE">
        <w:rPr>
          <w:rFonts w:ascii="Arial" w:hAnsi="Arial" w:cs="Arial"/>
          <w:sz w:val="24"/>
          <w:szCs w:val="24"/>
        </w:rPr>
        <w:t xml:space="preserve"> </w:t>
      </w:r>
      <w:r w:rsidRPr="006250BE">
        <w:rPr>
          <w:rFonts w:ascii="Arial" w:hAnsi="Arial" w:cs="Arial"/>
          <w:sz w:val="24"/>
          <w:szCs w:val="24"/>
        </w:rPr>
        <w:t>in open and reusable formats.</w:t>
      </w:r>
    </w:p>
    <w:p w:rsidR="002D56B4" w:rsidRPr="006250BE" w:rsidRDefault="002D56B4" w:rsidP="00166BA8">
      <w:pPr>
        <w:autoSpaceDE w:val="0"/>
        <w:autoSpaceDN w:val="0"/>
        <w:adjustRightInd w:val="0"/>
        <w:spacing w:after="0"/>
        <w:jc w:val="both"/>
        <w:rPr>
          <w:rFonts w:ascii="Arial" w:hAnsi="Arial" w:cs="Arial"/>
          <w:sz w:val="24"/>
          <w:szCs w:val="24"/>
        </w:rPr>
      </w:pPr>
    </w:p>
    <w:p w:rsidR="002D56B4" w:rsidRPr="006250BE" w:rsidRDefault="002D56B4" w:rsidP="00166BA8">
      <w:pPr>
        <w:autoSpaceDE w:val="0"/>
        <w:autoSpaceDN w:val="0"/>
        <w:adjustRightInd w:val="0"/>
        <w:spacing w:after="0"/>
        <w:jc w:val="both"/>
        <w:rPr>
          <w:rFonts w:ascii="Arial" w:hAnsi="Arial" w:cs="Arial"/>
          <w:sz w:val="24"/>
          <w:szCs w:val="24"/>
        </w:rPr>
      </w:pPr>
      <w:r w:rsidRPr="006250BE">
        <w:rPr>
          <w:rFonts w:ascii="Arial" w:hAnsi="Arial" w:cs="Arial"/>
          <w:sz w:val="24"/>
          <w:szCs w:val="24"/>
        </w:rPr>
        <w:t>During this reporting quarter</w:t>
      </w:r>
      <w:r w:rsidR="000C0174">
        <w:rPr>
          <w:rFonts w:ascii="Arial" w:hAnsi="Arial" w:cs="Arial"/>
          <w:sz w:val="24"/>
          <w:szCs w:val="24"/>
        </w:rPr>
        <w:t xml:space="preserve">, the following notable achievements </w:t>
      </w:r>
      <w:r w:rsidRPr="006250BE">
        <w:rPr>
          <w:rFonts w:ascii="Arial" w:hAnsi="Arial" w:cs="Arial"/>
          <w:sz w:val="24"/>
          <w:szCs w:val="24"/>
        </w:rPr>
        <w:t xml:space="preserve">were </w:t>
      </w:r>
      <w:r w:rsidR="000C0174">
        <w:rPr>
          <w:rFonts w:ascii="Arial" w:hAnsi="Arial" w:cs="Arial"/>
          <w:sz w:val="24"/>
          <w:szCs w:val="24"/>
        </w:rPr>
        <w:t>accomplished</w:t>
      </w:r>
      <w:r w:rsidRPr="006250BE">
        <w:rPr>
          <w:rFonts w:ascii="Arial" w:hAnsi="Arial" w:cs="Arial"/>
          <w:sz w:val="24"/>
          <w:szCs w:val="24"/>
        </w:rPr>
        <w:t>:</w:t>
      </w:r>
    </w:p>
    <w:p w:rsidR="009A20CA" w:rsidRPr="009E4A6D" w:rsidRDefault="00346975" w:rsidP="00166BA8">
      <w:pPr>
        <w:autoSpaceDE w:val="0"/>
        <w:autoSpaceDN w:val="0"/>
        <w:adjustRightInd w:val="0"/>
        <w:spacing w:after="0"/>
        <w:jc w:val="both"/>
        <w:rPr>
          <w:rFonts w:ascii="Arial" w:hAnsi="Arial" w:cs="Arial"/>
          <w:b/>
          <w:bCs/>
          <w:sz w:val="24"/>
          <w:szCs w:val="24"/>
          <w:u w:val="single"/>
        </w:rPr>
      </w:pPr>
      <w:r w:rsidRPr="006250BE">
        <w:rPr>
          <w:rFonts w:ascii="Arial" w:hAnsi="Arial" w:cs="Arial"/>
          <w:sz w:val="24"/>
          <w:szCs w:val="24"/>
        </w:rPr>
        <w:t xml:space="preserve"> </w:t>
      </w:r>
    </w:p>
    <w:p w:rsidR="00516712" w:rsidRPr="002E08CF" w:rsidRDefault="009A20CA" w:rsidP="00166BA8">
      <w:pPr>
        <w:pStyle w:val="ListParagraph"/>
        <w:numPr>
          <w:ilvl w:val="0"/>
          <w:numId w:val="1"/>
        </w:numPr>
        <w:autoSpaceDE w:val="0"/>
        <w:autoSpaceDN w:val="0"/>
        <w:adjustRightInd w:val="0"/>
        <w:spacing w:after="0"/>
        <w:jc w:val="both"/>
        <w:rPr>
          <w:rFonts w:ascii="Arial" w:hAnsi="Arial" w:cs="Arial"/>
          <w:sz w:val="24"/>
          <w:szCs w:val="24"/>
        </w:rPr>
      </w:pPr>
      <w:r w:rsidRPr="00661F8A">
        <w:rPr>
          <w:rFonts w:ascii="Arial" w:hAnsi="Arial" w:cs="Arial"/>
          <w:b/>
          <w:sz w:val="24"/>
          <w:szCs w:val="24"/>
        </w:rPr>
        <w:t xml:space="preserve">Senior Officials Travel </w:t>
      </w:r>
      <w:r w:rsidR="000661AB" w:rsidRPr="00661F8A">
        <w:rPr>
          <w:rFonts w:ascii="Arial" w:hAnsi="Arial" w:cs="Arial"/>
          <w:b/>
          <w:sz w:val="24"/>
          <w:szCs w:val="24"/>
        </w:rPr>
        <w:t>Reports</w:t>
      </w:r>
      <w:r w:rsidR="000661AB">
        <w:rPr>
          <w:rFonts w:ascii="Arial" w:hAnsi="Arial" w:cs="Arial"/>
          <w:sz w:val="24"/>
          <w:szCs w:val="24"/>
        </w:rPr>
        <w:t xml:space="preserve"> </w:t>
      </w:r>
      <w:r w:rsidR="00934942">
        <w:rPr>
          <w:rFonts w:ascii="Arial" w:hAnsi="Arial" w:cs="Arial"/>
          <w:sz w:val="24"/>
          <w:szCs w:val="24"/>
        </w:rPr>
        <w:t>have started</w:t>
      </w:r>
      <w:r w:rsidR="000661AB">
        <w:rPr>
          <w:rFonts w:ascii="Arial" w:hAnsi="Arial" w:cs="Arial"/>
          <w:sz w:val="24"/>
          <w:szCs w:val="24"/>
        </w:rPr>
        <w:t xml:space="preserve"> being published</w:t>
      </w:r>
      <w:r w:rsidR="00934942">
        <w:rPr>
          <w:rFonts w:ascii="Arial" w:hAnsi="Arial" w:cs="Arial"/>
          <w:sz w:val="24"/>
          <w:szCs w:val="24"/>
        </w:rPr>
        <w:t xml:space="preserve"> in Q4</w:t>
      </w:r>
      <w:r w:rsidR="000661AB">
        <w:rPr>
          <w:rFonts w:ascii="Arial" w:hAnsi="Arial" w:cs="Arial"/>
          <w:sz w:val="24"/>
          <w:szCs w:val="24"/>
        </w:rPr>
        <w:t xml:space="preserve"> by most departments. These include</w:t>
      </w:r>
      <w:r w:rsidRPr="009E4A6D">
        <w:rPr>
          <w:rFonts w:ascii="Arial" w:hAnsi="Arial" w:cs="Arial"/>
          <w:sz w:val="24"/>
          <w:szCs w:val="24"/>
        </w:rPr>
        <w:t xml:space="preserve"> details for travel, expenses and hospitality for a large number </w:t>
      </w:r>
      <w:r w:rsidRPr="002E08CF">
        <w:rPr>
          <w:rFonts w:ascii="Arial" w:hAnsi="Arial" w:cs="Arial"/>
          <w:sz w:val="24"/>
          <w:szCs w:val="24"/>
        </w:rPr>
        <w:t xml:space="preserve">of senior officials across departments. </w:t>
      </w:r>
    </w:p>
    <w:p w:rsidR="00516712" w:rsidRPr="002E08CF" w:rsidRDefault="00516712" w:rsidP="00166BA8">
      <w:pPr>
        <w:autoSpaceDE w:val="0"/>
        <w:autoSpaceDN w:val="0"/>
        <w:adjustRightInd w:val="0"/>
        <w:spacing w:after="0"/>
        <w:jc w:val="both"/>
        <w:rPr>
          <w:rFonts w:ascii="Arial" w:hAnsi="Arial" w:cs="Arial"/>
          <w:sz w:val="24"/>
          <w:szCs w:val="24"/>
        </w:rPr>
      </w:pPr>
    </w:p>
    <w:p w:rsidR="00516712" w:rsidRDefault="00316866" w:rsidP="00166BA8">
      <w:pPr>
        <w:pStyle w:val="ListParagraph"/>
        <w:numPr>
          <w:ilvl w:val="0"/>
          <w:numId w:val="1"/>
        </w:numPr>
        <w:autoSpaceDE w:val="0"/>
        <w:autoSpaceDN w:val="0"/>
        <w:adjustRightInd w:val="0"/>
        <w:spacing w:after="0"/>
        <w:jc w:val="both"/>
        <w:rPr>
          <w:rFonts w:ascii="Arial" w:hAnsi="Arial" w:cs="Arial"/>
          <w:sz w:val="24"/>
          <w:szCs w:val="24"/>
        </w:rPr>
      </w:pPr>
      <w:r w:rsidRPr="002E08CF">
        <w:rPr>
          <w:rFonts w:ascii="Arial" w:hAnsi="Arial" w:cs="Arial"/>
          <w:b/>
          <w:sz w:val="24"/>
          <w:szCs w:val="24"/>
        </w:rPr>
        <w:t>DCLG</w:t>
      </w:r>
      <w:r w:rsidRPr="002E08CF">
        <w:rPr>
          <w:rFonts w:ascii="Arial" w:hAnsi="Arial" w:cs="Arial"/>
          <w:sz w:val="24"/>
          <w:szCs w:val="24"/>
        </w:rPr>
        <w:t xml:space="preserve"> published the detailed list of services provided by Local Authorities with associated links to further information about each service on individual council websites. This project was developed in</w:t>
      </w:r>
      <w:r w:rsidR="000661AB" w:rsidRPr="002E08CF">
        <w:rPr>
          <w:rFonts w:ascii="Arial" w:hAnsi="Arial" w:cs="Arial"/>
          <w:sz w:val="24"/>
          <w:szCs w:val="24"/>
        </w:rPr>
        <w:t xml:space="preserve">-house at zero </w:t>
      </w:r>
      <w:r w:rsidR="00362B44">
        <w:rPr>
          <w:rFonts w:ascii="Arial" w:hAnsi="Arial" w:cs="Arial"/>
          <w:sz w:val="24"/>
          <w:szCs w:val="24"/>
        </w:rPr>
        <w:t xml:space="preserve">additional </w:t>
      </w:r>
      <w:r w:rsidR="000661AB" w:rsidRPr="002E08CF">
        <w:rPr>
          <w:rFonts w:ascii="Arial" w:hAnsi="Arial" w:cs="Arial"/>
          <w:sz w:val="24"/>
          <w:szCs w:val="24"/>
        </w:rPr>
        <w:t>cost, and meets</w:t>
      </w:r>
      <w:r w:rsidRPr="002E08CF">
        <w:rPr>
          <w:rFonts w:ascii="Arial" w:hAnsi="Arial" w:cs="Arial"/>
          <w:sz w:val="24"/>
          <w:szCs w:val="24"/>
        </w:rPr>
        <w:t xml:space="preserve"> high </w:t>
      </w:r>
      <w:r w:rsidR="000661AB" w:rsidRPr="002E08CF">
        <w:rPr>
          <w:rFonts w:ascii="Arial" w:hAnsi="Arial" w:cs="Arial"/>
          <w:sz w:val="24"/>
          <w:szCs w:val="24"/>
        </w:rPr>
        <w:t>linked data quality standards</w:t>
      </w:r>
      <w:r w:rsidR="006178A6">
        <w:rPr>
          <w:rFonts w:ascii="Arial" w:hAnsi="Arial" w:cs="Arial"/>
          <w:sz w:val="24"/>
          <w:szCs w:val="24"/>
        </w:rPr>
        <w:t xml:space="preserve">.  </w:t>
      </w:r>
      <w:r w:rsidRPr="002E08CF">
        <w:rPr>
          <w:rFonts w:ascii="Arial" w:hAnsi="Arial" w:cs="Arial"/>
          <w:sz w:val="24"/>
          <w:szCs w:val="24"/>
        </w:rPr>
        <w:t xml:space="preserve">A demonstration application </w:t>
      </w:r>
      <w:r w:rsidR="00ED3377" w:rsidRPr="002E08CF">
        <w:rPr>
          <w:rFonts w:ascii="Arial" w:hAnsi="Arial" w:cs="Arial"/>
          <w:sz w:val="24"/>
          <w:szCs w:val="24"/>
        </w:rPr>
        <w:t>was also developed</w:t>
      </w:r>
      <w:r w:rsidR="001F7BAC" w:rsidRPr="002E08CF">
        <w:rPr>
          <w:rFonts w:ascii="Arial" w:hAnsi="Arial" w:cs="Arial"/>
          <w:sz w:val="24"/>
          <w:szCs w:val="24"/>
        </w:rPr>
        <w:t xml:space="preserve">, </w:t>
      </w:r>
      <w:r w:rsidRPr="002E08CF">
        <w:rPr>
          <w:rFonts w:ascii="Arial" w:hAnsi="Arial" w:cs="Arial"/>
          <w:sz w:val="24"/>
          <w:szCs w:val="24"/>
        </w:rPr>
        <w:t xml:space="preserve">illustrating how this data can be used alongside </w:t>
      </w:r>
      <w:r w:rsidR="001F7BAC" w:rsidRPr="002E08CF">
        <w:rPr>
          <w:rFonts w:ascii="Arial" w:hAnsi="Arial" w:cs="Arial"/>
          <w:sz w:val="24"/>
          <w:szCs w:val="24"/>
        </w:rPr>
        <w:t>third</w:t>
      </w:r>
      <w:r w:rsidRPr="002E08CF">
        <w:rPr>
          <w:rFonts w:ascii="Arial" w:hAnsi="Arial" w:cs="Arial"/>
          <w:sz w:val="24"/>
          <w:szCs w:val="24"/>
        </w:rPr>
        <w:t xml:space="preserve"> party sources to help local residents discover services provided by their local authorities.  The dataset is available via OpenDataCommunities</w:t>
      </w:r>
      <w:r w:rsidR="002E08CF">
        <w:rPr>
          <w:rFonts w:ascii="Arial" w:hAnsi="Arial" w:cs="Arial"/>
          <w:sz w:val="24"/>
          <w:szCs w:val="24"/>
        </w:rPr>
        <w:t xml:space="preserve">. </w:t>
      </w:r>
    </w:p>
    <w:p w:rsidR="002E08CF" w:rsidRPr="002E08CF" w:rsidRDefault="002E08CF" w:rsidP="00166BA8">
      <w:pPr>
        <w:pStyle w:val="ListParagraph"/>
        <w:autoSpaceDE w:val="0"/>
        <w:autoSpaceDN w:val="0"/>
        <w:adjustRightInd w:val="0"/>
        <w:spacing w:after="0"/>
        <w:jc w:val="both"/>
        <w:rPr>
          <w:rFonts w:ascii="Arial" w:hAnsi="Arial" w:cs="Arial"/>
          <w:sz w:val="24"/>
          <w:szCs w:val="24"/>
        </w:rPr>
      </w:pPr>
    </w:p>
    <w:p w:rsidR="0079714A" w:rsidRDefault="00316866" w:rsidP="00166BA8">
      <w:pPr>
        <w:numPr>
          <w:ilvl w:val="0"/>
          <w:numId w:val="1"/>
        </w:numPr>
        <w:autoSpaceDE w:val="0"/>
        <w:autoSpaceDN w:val="0"/>
        <w:adjustRightInd w:val="0"/>
        <w:spacing w:after="0"/>
        <w:jc w:val="both"/>
        <w:rPr>
          <w:rFonts w:ascii="Arial" w:hAnsi="Arial" w:cs="Arial"/>
          <w:sz w:val="24"/>
          <w:szCs w:val="24"/>
        </w:rPr>
      </w:pPr>
      <w:r w:rsidRPr="001F7BAC">
        <w:rPr>
          <w:rFonts w:ascii="Arial" w:hAnsi="Arial" w:cs="Arial"/>
          <w:b/>
          <w:sz w:val="24"/>
          <w:szCs w:val="24"/>
        </w:rPr>
        <w:t>DH</w:t>
      </w:r>
      <w:r w:rsidR="007C4D4A" w:rsidRPr="009E4A6D">
        <w:rPr>
          <w:rFonts w:ascii="Arial" w:hAnsi="Arial" w:cs="Arial"/>
          <w:sz w:val="24"/>
          <w:szCs w:val="24"/>
        </w:rPr>
        <w:t xml:space="preserve"> released </w:t>
      </w:r>
      <w:r w:rsidR="00253A64">
        <w:rPr>
          <w:rFonts w:ascii="Arial" w:hAnsi="Arial" w:cs="Arial"/>
          <w:sz w:val="24"/>
          <w:szCs w:val="24"/>
        </w:rPr>
        <w:t>a large number of</w:t>
      </w:r>
      <w:r w:rsidR="0079714A" w:rsidRPr="009E4A6D">
        <w:rPr>
          <w:rFonts w:ascii="Arial" w:hAnsi="Arial" w:cs="Arial"/>
          <w:sz w:val="24"/>
          <w:szCs w:val="24"/>
        </w:rPr>
        <w:t xml:space="preserve"> </w:t>
      </w:r>
      <w:r w:rsidRPr="009E4A6D">
        <w:rPr>
          <w:rFonts w:ascii="Arial" w:hAnsi="Arial" w:cs="Arial"/>
          <w:sz w:val="24"/>
          <w:szCs w:val="24"/>
        </w:rPr>
        <w:t xml:space="preserve">datasets </w:t>
      </w:r>
      <w:r w:rsidR="001F7BAC">
        <w:rPr>
          <w:rFonts w:ascii="Arial" w:hAnsi="Arial" w:cs="Arial"/>
          <w:sz w:val="24"/>
          <w:szCs w:val="24"/>
        </w:rPr>
        <w:t>on</w:t>
      </w:r>
      <w:r w:rsidRPr="009E4A6D">
        <w:rPr>
          <w:rFonts w:ascii="Arial" w:hAnsi="Arial" w:cs="Arial"/>
          <w:sz w:val="24"/>
          <w:szCs w:val="24"/>
        </w:rPr>
        <w:t xml:space="preserve"> causes of mortality, NHS National Staff Survey, NHS National Patient Survey, Cancelled Operations, and </w:t>
      </w:r>
      <w:r w:rsidR="00550998">
        <w:rPr>
          <w:rFonts w:ascii="Arial" w:hAnsi="Arial" w:cs="Arial"/>
          <w:sz w:val="24"/>
          <w:szCs w:val="24"/>
        </w:rPr>
        <w:t>has made</w:t>
      </w:r>
      <w:r w:rsidRPr="009E4A6D">
        <w:rPr>
          <w:rFonts w:ascii="Arial" w:hAnsi="Arial" w:cs="Arial"/>
          <w:sz w:val="24"/>
          <w:szCs w:val="24"/>
        </w:rPr>
        <w:t xml:space="preserve"> progress on the release of the Friends and Family Test Data.</w:t>
      </w:r>
      <w:r w:rsidR="00E64472">
        <w:rPr>
          <w:rFonts w:ascii="Arial" w:hAnsi="Arial" w:cs="Arial"/>
          <w:sz w:val="24"/>
          <w:szCs w:val="24"/>
        </w:rPr>
        <w:t xml:space="preserve"> Th</w:t>
      </w:r>
      <w:r w:rsidR="00296AC6">
        <w:rPr>
          <w:rFonts w:ascii="Arial" w:hAnsi="Arial" w:cs="Arial"/>
          <w:sz w:val="24"/>
          <w:szCs w:val="24"/>
        </w:rPr>
        <w:t xml:space="preserve">ese datasets are in the public domain </w:t>
      </w:r>
      <w:r w:rsidR="00E64472">
        <w:rPr>
          <w:rFonts w:ascii="Arial" w:hAnsi="Arial" w:cs="Arial"/>
          <w:sz w:val="24"/>
          <w:szCs w:val="24"/>
        </w:rPr>
        <w:t xml:space="preserve">and will </w:t>
      </w:r>
      <w:r w:rsidR="00296AC6">
        <w:rPr>
          <w:rFonts w:ascii="Arial" w:hAnsi="Arial" w:cs="Arial"/>
          <w:sz w:val="24"/>
          <w:szCs w:val="24"/>
        </w:rPr>
        <w:t>b</w:t>
      </w:r>
      <w:r w:rsidR="00E64472">
        <w:rPr>
          <w:rFonts w:ascii="Arial" w:hAnsi="Arial" w:cs="Arial"/>
          <w:sz w:val="24"/>
          <w:szCs w:val="24"/>
        </w:rPr>
        <w:t>e</w:t>
      </w:r>
      <w:r w:rsidR="00934942">
        <w:rPr>
          <w:rFonts w:ascii="Arial" w:hAnsi="Arial" w:cs="Arial"/>
          <w:sz w:val="24"/>
          <w:szCs w:val="24"/>
        </w:rPr>
        <w:t xml:space="preserve"> added to d</w:t>
      </w:r>
      <w:r w:rsidR="00296AC6">
        <w:rPr>
          <w:rFonts w:ascii="Arial" w:hAnsi="Arial" w:cs="Arial"/>
          <w:sz w:val="24"/>
          <w:szCs w:val="24"/>
        </w:rPr>
        <w:t>ata.</w:t>
      </w:r>
      <w:r w:rsidR="00934942">
        <w:rPr>
          <w:rFonts w:ascii="Arial" w:hAnsi="Arial" w:cs="Arial"/>
          <w:sz w:val="24"/>
          <w:szCs w:val="24"/>
        </w:rPr>
        <w:t>gov.uk</w:t>
      </w:r>
      <w:r w:rsidR="00296AC6">
        <w:rPr>
          <w:rFonts w:ascii="Arial" w:hAnsi="Arial" w:cs="Arial"/>
          <w:sz w:val="24"/>
          <w:szCs w:val="24"/>
        </w:rPr>
        <w:t xml:space="preserve"> in due course. </w:t>
      </w:r>
    </w:p>
    <w:p w:rsidR="006178A6" w:rsidRPr="006178A6" w:rsidRDefault="006178A6" w:rsidP="006178A6">
      <w:pPr>
        <w:autoSpaceDE w:val="0"/>
        <w:autoSpaceDN w:val="0"/>
        <w:adjustRightInd w:val="0"/>
        <w:spacing w:after="0"/>
        <w:ind w:left="720"/>
        <w:jc w:val="both"/>
        <w:rPr>
          <w:rFonts w:ascii="Arial" w:hAnsi="Arial" w:cs="Arial"/>
          <w:sz w:val="24"/>
          <w:szCs w:val="24"/>
        </w:rPr>
      </w:pPr>
    </w:p>
    <w:p w:rsidR="00D57981" w:rsidRPr="009E4A6D" w:rsidRDefault="00D57981" w:rsidP="00166BA8">
      <w:pPr>
        <w:numPr>
          <w:ilvl w:val="0"/>
          <w:numId w:val="1"/>
        </w:numPr>
        <w:autoSpaceDE w:val="0"/>
        <w:autoSpaceDN w:val="0"/>
        <w:adjustRightInd w:val="0"/>
        <w:spacing w:after="0"/>
        <w:jc w:val="both"/>
        <w:rPr>
          <w:rFonts w:ascii="Arial" w:hAnsi="Arial" w:cs="Arial"/>
          <w:sz w:val="24"/>
          <w:szCs w:val="24"/>
        </w:rPr>
      </w:pPr>
      <w:r w:rsidRPr="002E08CF">
        <w:rPr>
          <w:rFonts w:ascii="Arial" w:hAnsi="Arial" w:cs="Arial"/>
          <w:b/>
          <w:sz w:val="24"/>
          <w:szCs w:val="24"/>
        </w:rPr>
        <w:t>MoJ</w:t>
      </w:r>
      <w:r w:rsidRPr="002E08CF">
        <w:rPr>
          <w:rFonts w:ascii="Arial" w:hAnsi="Arial" w:cs="Arial"/>
          <w:sz w:val="24"/>
          <w:szCs w:val="24"/>
        </w:rPr>
        <w:t xml:space="preserve"> has </w:t>
      </w:r>
      <w:r w:rsidR="00D932E9">
        <w:rPr>
          <w:rFonts w:ascii="Arial" w:hAnsi="Arial" w:cs="Arial"/>
          <w:sz w:val="24"/>
          <w:szCs w:val="24"/>
        </w:rPr>
        <w:t>further enhanced the</w:t>
      </w:r>
      <w:r w:rsidRPr="002E08CF">
        <w:rPr>
          <w:rFonts w:ascii="Arial" w:hAnsi="Arial" w:cs="Arial"/>
          <w:sz w:val="24"/>
          <w:szCs w:val="24"/>
        </w:rPr>
        <w:t xml:space="preserve"> 'Court finder' - a digital tool for looking</w:t>
      </w:r>
      <w:r w:rsidRPr="00D57981">
        <w:rPr>
          <w:rFonts w:ascii="Arial" w:hAnsi="Arial" w:cs="Arial"/>
          <w:sz w:val="24"/>
          <w:szCs w:val="24"/>
        </w:rPr>
        <w:t xml:space="preserve"> up court locations</w:t>
      </w:r>
      <w:r w:rsidR="00531E7F">
        <w:rPr>
          <w:rFonts w:ascii="Arial" w:hAnsi="Arial" w:cs="Arial"/>
          <w:sz w:val="24"/>
          <w:szCs w:val="24"/>
        </w:rPr>
        <w:t xml:space="preserve">, </w:t>
      </w:r>
      <w:r w:rsidR="00934942">
        <w:rPr>
          <w:rFonts w:ascii="Arial" w:hAnsi="Arial" w:cs="Arial"/>
          <w:sz w:val="24"/>
          <w:szCs w:val="24"/>
        </w:rPr>
        <w:t>and interfaces</w:t>
      </w:r>
      <w:r w:rsidR="00D932E9">
        <w:rPr>
          <w:rFonts w:ascii="Arial" w:hAnsi="Arial" w:cs="Arial"/>
          <w:sz w:val="24"/>
          <w:szCs w:val="24"/>
        </w:rPr>
        <w:t xml:space="preserve"> </w:t>
      </w:r>
      <w:r w:rsidR="00550998">
        <w:rPr>
          <w:rFonts w:ascii="Arial" w:hAnsi="Arial" w:cs="Arial"/>
          <w:sz w:val="24"/>
          <w:szCs w:val="24"/>
        </w:rPr>
        <w:t>were</w:t>
      </w:r>
      <w:r w:rsidR="00D932E9">
        <w:rPr>
          <w:rFonts w:ascii="Arial" w:hAnsi="Arial" w:cs="Arial"/>
          <w:sz w:val="24"/>
          <w:szCs w:val="24"/>
        </w:rPr>
        <w:t xml:space="preserve"> added, allowing</w:t>
      </w:r>
      <w:r w:rsidRPr="00D57981">
        <w:rPr>
          <w:rFonts w:ascii="Arial" w:hAnsi="Arial" w:cs="Arial"/>
          <w:sz w:val="24"/>
          <w:szCs w:val="24"/>
        </w:rPr>
        <w:t xml:space="preserve"> other digital tools to automatically import the list of courts or the list of all postcodes covered by a specific court for an area of law.</w:t>
      </w:r>
    </w:p>
    <w:p w:rsidR="007C4D4A" w:rsidRPr="006250BE" w:rsidRDefault="007C4D4A" w:rsidP="00166BA8">
      <w:pPr>
        <w:autoSpaceDE w:val="0"/>
        <w:autoSpaceDN w:val="0"/>
        <w:adjustRightInd w:val="0"/>
        <w:spacing w:after="0"/>
        <w:ind w:left="720"/>
        <w:jc w:val="both"/>
        <w:rPr>
          <w:rFonts w:ascii="Arial" w:hAnsi="Arial" w:cs="Arial"/>
          <w:sz w:val="24"/>
          <w:szCs w:val="24"/>
        </w:rPr>
      </w:pPr>
      <w:r w:rsidRPr="006250BE">
        <w:rPr>
          <w:rFonts w:ascii="Arial" w:hAnsi="Arial" w:cs="Arial"/>
          <w:sz w:val="24"/>
          <w:szCs w:val="24"/>
        </w:rPr>
        <w:t xml:space="preserve"> </w:t>
      </w:r>
    </w:p>
    <w:p w:rsidR="006D3DF5" w:rsidRDefault="006D3DF5" w:rsidP="00166BA8">
      <w:pPr>
        <w:spacing w:after="0" w:line="240" w:lineRule="auto"/>
        <w:jc w:val="both"/>
        <w:rPr>
          <w:rFonts w:ascii="Arial" w:hAnsi="Arial" w:cs="Arial"/>
          <w:b/>
          <w:sz w:val="24"/>
          <w:szCs w:val="24"/>
        </w:rPr>
      </w:pPr>
      <w:r>
        <w:rPr>
          <w:rFonts w:ascii="Arial" w:hAnsi="Arial" w:cs="Arial"/>
          <w:b/>
          <w:sz w:val="24"/>
          <w:szCs w:val="24"/>
        </w:rPr>
        <w:br w:type="page"/>
      </w:r>
    </w:p>
    <w:p w:rsidR="002D56B4" w:rsidRPr="006250BE" w:rsidRDefault="002D56B4" w:rsidP="00166BA8">
      <w:pPr>
        <w:autoSpaceDE w:val="0"/>
        <w:autoSpaceDN w:val="0"/>
        <w:adjustRightInd w:val="0"/>
        <w:spacing w:after="0"/>
        <w:jc w:val="both"/>
        <w:rPr>
          <w:rFonts w:ascii="Arial" w:hAnsi="Arial" w:cs="Arial"/>
          <w:b/>
          <w:sz w:val="24"/>
          <w:szCs w:val="24"/>
        </w:rPr>
      </w:pPr>
      <w:r w:rsidRPr="006250BE">
        <w:rPr>
          <w:rFonts w:ascii="Arial" w:hAnsi="Arial" w:cs="Arial"/>
          <w:b/>
          <w:sz w:val="24"/>
          <w:szCs w:val="24"/>
        </w:rPr>
        <w:lastRenderedPageBreak/>
        <w:t>Departmental Progress</w:t>
      </w:r>
    </w:p>
    <w:p w:rsidR="002D56B4" w:rsidRPr="006250BE" w:rsidRDefault="002D56B4" w:rsidP="00166BA8">
      <w:pPr>
        <w:autoSpaceDE w:val="0"/>
        <w:autoSpaceDN w:val="0"/>
        <w:adjustRightInd w:val="0"/>
        <w:spacing w:after="0"/>
        <w:jc w:val="both"/>
        <w:rPr>
          <w:rFonts w:ascii="Arial" w:hAnsi="Arial" w:cs="Arial"/>
          <w:b/>
          <w:sz w:val="24"/>
          <w:szCs w:val="24"/>
        </w:rPr>
      </w:pPr>
    </w:p>
    <w:p w:rsidR="002D56B4" w:rsidRPr="006250BE" w:rsidRDefault="002D56B4" w:rsidP="00166BA8">
      <w:pPr>
        <w:autoSpaceDE w:val="0"/>
        <w:autoSpaceDN w:val="0"/>
        <w:adjustRightInd w:val="0"/>
        <w:spacing w:after="0"/>
        <w:jc w:val="both"/>
        <w:rPr>
          <w:rFonts w:ascii="Arial" w:hAnsi="Arial" w:cs="Arial"/>
          <w:b/>
          <w:sz w:val="24"/>
          <w:szCs w:val="24"/>
        </w:rPr>
      </w:pPr>
      <w:r w:rsidRPr="006250BE">
        <w:rPr>
          <w:rFonts w:ascii="Arial" w:hAnsi="Arial" w:cs="Arial"/>
          <w:b/>
          <w:sz w:val="24"/>
          <w:szCs w:val="24"/>
        </w:rPr>
        <w:t>Datasets</w:t>
      </w:r>
    </w:p>
    <w:p w:rsidR="002D56B4" w:rsidRPr="006250BE" w:rsidRDefault="002D56B4" w:rsidP="00166BA8">
      <w:pPr>
        <w:autoSpaceDE w:val="0"/>
        <w:autoSpaceDN w:val="0"/>
        <w:adjustRightInd w:val="0"/>
        <w:spacing w:after="0"/>
        <w:jc w:val="both"/>
        <w:rPr>
          <w:rFonts w:ascii="Arial" w:hAnsi="Arial" w:cs="Arial"/>
          <w:b/>
          <w:sz w:val="24"/>
          <w:szCs w:val="24"/>
        </w:rPr>
      </w:pPr>
    </w:p>
    <w:p w:rsidR="002D56B4" w:rsidRPr="006250BE" w:rsidRDefault="002D56B4" w:rsidP="00166BA8">
      <w:pPr>
        <w:autoSpaceDE w:val="0"/>
        <w:autoSpaceDN w:val="0"/>
        <w:adjustRightInd w:val="0"/>
        <w:spacing w:after="0"/>
        <w:jc w:val="both"/>
        <w:rPr>
          <w:rFonts w:ascii="Arial" w:hAnsi="Arial" w:cs="Arial"/>
          <w:b/>
          <w:sz w:val="24"/>
          <w:szCs w:val="24"/>
        </w:rPr>
      </w:pPr>
      <w:r w:rsidRPr="006250BE">
        <w:rPr>
          <w:rFonts w:ascii="Arial" w:hAnsi="Arial" w:cs="Arial"/>
          <w:b/>
          <w:sz w:val="24"/>
          <w:szCs w:val="24"/>
        </w:rPr>
        <w:t>Corporate releases – Departmental Returns</w:t>
      </w:r>
    </w:p>
    <w:p w:rsidR="00CC472F" w:rsidRDefault="00CC472F" w:rsidP="00166BA8">
      <w:pPr>
        <w:autoSpaceDE w:val="0"/>
        <w:autoSpaceDN w:val="0"/>
        <w:adjustRightInd w:val="0"/>
        <w:spacing w:after="0"/>
        <w:jc w:val="both"/>
        <w:rPr>
          <w:rFonts w:ascii="Arial" w:hAnsi="Arial" w:cs="Arial"/>
          <w:i/>
          <w:sz w:val="24"/>
          <w:szCs w:val="24"/>
        </w:rPr>
      </w:pPr>
    </w:p>
    <w:p w:rsidR="00CC472F" w:rsidRDefault="002D56B4" w:rsidP="00166BA8">
      <w:pPr>
        <w:autoSpaceDE w:val="0"/>
        <w:autoSpaceDN w:val="0"/>
        <w:adjustRightInd w:val="0"/>
        <w:spacing w:after="0"/>
        <w:jc w:val="both"/>
        <w:rPr>
          <w:rFonts w:ascii="Arial" w:hAnsi="Arial" w:cs="Arial"/>
          <w:i/>
          <w:sz w:val="24"/>
          <w:szCs w:val="24"/>
        </w:rPr>
      </w:pPr>
      <w:r w:rsidRPr="006250BE">
        <w:rPr>
          <w:rFonts w:ascii="Arial" w:hAnsi="Arial" w:cs="Arial"/>
          <w:i/>
          <w:sz w:val="24"/>
          <w:szCs w:val="24"/>
        </w:rPr>
        <w:t>Corporate releases support progress against Public Data Principles 2, 3, 4, 5, 6, 8, 9 and 11.</w:t>
      </w:r>
    </w:p>
    <w:p w:rsidR="00CC472F" w:rsidRDefault="00CC472F" w:rsidP="00166BA8">
      <w:pPr>
        <w:autoSpaceDE w:val="0"/>
        <w:autoSpaceDN w:val="0"/>
        <w:adjustRightInd w:val="0"/>
        <w:spacing w:after="0"/>
        <w:jc w:val="both"/>
        <w:rPr>
          <w:rFonts w:ascii="Arial" w:hAnsi="Arial" w:cs="Arial"/>
          <w:i/>
          <w:sz w:val="24"/>
          <w:szCs w:val="24"/>
        </w:rPr>
      </w:pPr>
    </w:p>
    <w:p w:rsidR="00CC472F" w:rsidRDefault="002D56B4" w:rsidP="00166BA8">
      <w:pPr>
        <w:autoSpaceDE w:val="0"/>
        <w:autoSpaceDN w:val="0"/>
        <w:adjustRightInd w:val="0"/>
        <w:spacing w:after="0"/>
        <w:jc w:val="both"/>
        <w:rPr>
          <w:rFonts w:ascii="Arial" w:hAnsi="Arial" w:cs="Arial"/>
          <w:i/>
          <w:sz w:val="24"/>
          <w:szCs w:val="24"/>
        </w:rPr>
      </w:pPr>
      <w:r w:rsidRPr="006250BE">
        <w:rPr>
          <w:rFonts w:ascii="Arial" w:hAnsi="Arial" w:cs="Arial"/>
          <w:i/>
          <w:sz w:val="24"/>
          <w:szCs w:val="24"/>
        </w:rPr>
        <w:t>A list and explanation of the corporate commitments can be found at Annex A:</w:t>
      </w:r>
    </w:p>
    <w:p w:rsidR="00CC472F" w:rsidRDefault="00CC472F" w:rsidP="00166BA8">
      <w:pPr>
        <w:autoSpaceDE w:val="0"/>
        <w:autoSpaceDN w:val="0"/>
        <w:adjustRightInd w:val="0"/>
        <w:spacing w:after="0"/>
        <w:jc w:val="both"/>
        <w:rPr>
          <w:rFonts w:ascii="Arial" w:hAnsi="Arial" w:cs="Arial"/>
          <w:sz w:val="24"/>
          <w:szCs w:val="24"/>
        </w:rPr>
      </w:pPr>
    </w:p>
    <w:p w:rsidR="00CC472F" w:rsidRPr="002E08CF" w:rsidRDefault="002D56B4" w:rsidP="00166BA8">
      <w:pPr>
        <w:numPr>
          <w:ilvl w:val="0"/>
          <w:numId w:val="1"/>
        </w:numPr>
        <w:autoSpaceDE w:val="0"/>
        <w:autoSpaceDN w:val="0"/>
        <w:adjustRightInd w:val="0"/>
        <w:spacing w:after="0"/>
        <w:jc w:val="both"/>
        <w:rPr>
          <w:rFonts w:ascii="Arial" w:hAnsi="Arial" w:cs="Arial"/>
          <w:sz w:val="24"/>
          <w:szCs w:val="24"/>
        </w:rPr>
      </w:pPr>
      <w:r w:rsidRPr="0050165C">
        <w:rPr>
          <w:rFonts w:ascii="Arial" w:hAnsi="Arial" w:cs="Arial"/>
          <w:sz w:val="24"/>
          <w:szCs w:val="24"/>
        </w:rPr>
        <w:t>Overall perfo</w:t>
      </w:r>
      <w:r w:rsidR="00487D30" w:rsidRPr="0050165C">
        <w:rPr>
          <w:rFonts w:ascii="Arial" w:hAnsi="Arial" w:cs="Arial"/>
          <w:sz w:val="24"/>
          <w:szCs w:val="24"/>
        </w:rPr>
        <w:t xml:space="preserve">rmance this quarter </w:t>
      </w:r>
      <w:r w:rsidR="0050165C" w:rsidRPr="0050165C">
        <w:rPr>
          <w:rFonts w:ascii="Arial" w:hAnsi="Arial" w:cs="Arial"/>
          <w:sz w:val="24"/>
          <w:szCs w:val="24"/>
        </w:rPr>
        <w:t>remained stable</w:t>
      </w:r>
      <w:r w:rsidRPr="0050165C">
        <w:rPr>
          <w:rFonts w:ascii="Arial" w:hAnsi="Arial" w:cs="Arial"/>
          <w:sz w:val="24"/>
          <w:szCs w:val="24"/>
        </w:rPr>
        <w:t xml:space="preserve"> </w:t>
      </w:r>
      <w:r w:rsidR="00044B1B" w:rsidRPr="0050165C">
        <w:rPr>
          <w:rFonts w:ascii="Arial" w:hAnsi="Arial" w:cs="Arial"/>
          <w:sz w:val="24"/>
          <w:szCs w:val="24"/>
        </w:rPr>
        <w:t>from</w:t>
      </w:r>
      <w:r w:rsidRPr="0050165C">
        <w:rPr>
          <w:rFonts w:ascii="Arial" w:hAnsi="Arial" w:cs="Arial"/>
          <w:sz w:val="24"/>
          <w:szCs w:val="24"/>
        </w:rPr>
        <w:t xml:space="preserve"> the previous quarter</w:t>
      </w:r>
      <w:r w:rsidR="00934942">
        <w:rPr>
          <w:rFonts w:ascii="Arial" w:hAnsi="Arial" w:cs="Arial"/>
          <w:sz w:val="24"/>
          <w:szCs w:val="24"/>
        </w:rPr>
        <w:t>s</w:t>
      </w:r>
      <w:r w:rsidRPr="0050165C">
        <w:rPr>
          <w:rFonts w:ascii="Arial" w:hAnsi="Arial" w:cs="Arial"/>
          <w:sz w:val="24"/>
          <w:szCs w:val="24"/>
        </w:rPr>
        <w:t xml:space="preserve">. </w:t>
      </w:r>
      <w:r w:rsidR="00044B1B" w:rsidRPr="0050165C">
        <w:rPr>
          <w:rFonts w:ascii="Arial" w:hAnsi="Arial" w:cs="Arial"/>
          <w:sz w:val="24"/>
          <w:szCs w:val="24"/>
        </w:rPr>
        <w:t xml:space="preserve">In the last quarter, </w:t>
      </w:r>
      <w:r w:rsidR="001F7BAC" w:rsidRPr="0050165C">
        <w:rPr>
          <w:rFonts w:ascii="Arial" w:hAnsi="Arial" w:cs="Arial"/>
          <w:sz w:val="24"/>
          <w:szCs w:val="24"/>
        </w:rPr>
        <w:t>ten</w:t>
      </w:r>
      <w:r w:rsidRPr="0050165C">
        <w:rPr>
          <w:rFonts w:ascii="Arial" w:hAnsi="Arial" w:cs="Arial"/>
          <w:sz w:val="24"/>
          <w:szCs w:val="24"/>
        </w:rPr>
        <w:t xml:space="preserve"> departments were fully compliant</w:t>
      </w:r>
      <w:r w:rsidR="00044B1B" w:rsidRPr="0050165C">
        <w:rPr>
          <w:rFonts w:ascii="Arial" w:hAnsi="Arial" w:cs="Arial"/>
          <w:sz w:val="24"/>
          <w:szCs w:val="24"/>
        </w:rPr>
        <w:t xml:space="preserve"> while in</w:t>
      </w:r>
      <w:r w:rsidRPr="0050165C">
        <w:rPr>
          <w:rFonts w:ascii="Arial" w:hAnsi="Arial" w:cs="Arial"/>
          <w:sz w:val="24"/>
          <w:szCs w:val="24"/>
        </w:rPr>
        <w:t xml:space="preserve"> this quarter</w:t>
      </w:r>
      <w:r w:rsidR="00766739">
        <w:rPr>
          <w:rFonts w:ascii="Arial" w:hAnsi="Arial" w:cs="Arial"/>
          <w:sz w:val="24"/>
          <w:szCs w:val="24"/>
        </w:rPr>
        <w:t>,</w:t>
      </w:r>
      <w:r w:rsidR="00487D30" w:rsidRPr="0050165C">
        <w:rPr>
          <w:rFonts w:ascii="Arial" w:hAnsi="Arial" w:cs="Arial"/>
          <w:sz w:val="24"/>
          <w:szCs w:val="24"/>
        </w:rPr>
        <w:t xml:space="preserve"> this de</w:t>
      </w:r>
      <w:r w:rsidR="0050165C" w:rsidRPr="0050165C">
        <w:rPr>
          <w:rFonts w:ascii="Arial" w:hAnsi="Arial" w:cs="Arial"/>
          <w:sz w:val="24"/>
          <w:szCs w:val="24"/>
        </w:rPr>
        <w:t>creased to nine</w:t>
      </w:r>
      <w:r w:rsidR="009E51FE" w:rsidRPr="0050165C">
        <w:rPr>
          <w:rFonts w:ascii="Arial" w:hAnsi="Arial" w:cs="Arial"/>
          <w:sz w:val="24"/>
          <w:szCs w:val="24"/>
        </w:rPr>
        <w:t xml:space="preserve">. The fully compliant departments were:  </w:t>
      </w:r>
      <w:r w:rsidR="001F7BAC" w:rsidRPr="0050165C">
        <w:rPr>
          <w:rFonts w:ascii="Arial" w:hAnsi="Arial" w:cs="Arial"/>
          <w:sz w:val="24"/>
          <w:szCs w:val="24"/>
        </w:rPr>
        <w:t xml:space="preserve">CO, </w:t>
      </w:r>
      <w:r w:rsidR="00DE6D50" w:rsidRPr="0050165C">
        <w:rPr>
          <w:rFonts w:ascii="Arial" w:hAnsi="Arial" w:cs="Arial"/>
          <w:sz w:val="24"/>
          <w:szCs w:val="24"/>
        </w:rPr>
        <w:t xml:space="preserve">DECC, </w:t>
      </w:r>
      <w:r w:rsidR="001F7BAC" w:rsidRPr="0050165C">
        <w:rPr>
          <w:rFonts w:ascii="Arial" w:hAnsi="Arial" w:cs="Arial"/>
          <w:sz w:val="24"/>
          <w:szCs w:val="24"/>
        </w:rPr>
        <w:t>DEFRA,</w:t>
      </w:r>
      <w:r w:rsidR="00ED3377" w:rsidRPr="0050165C">
        <w:rPr>
          <w:rFonts w:ascii="Arial" w:hAnsi="Arial" w:cs="Arial"/>
          <w:sz w:val="24"/>
          <w:szCs w:val="24"/>
        </w:rPr>
        <w:t xml:space="preserve"> </w:t>
      </w:r>
      <w:r w:rsidR="00531E7F">
        <w:rPr>
          <w:rFonts w:ascii="Arial" w:hAnsi="Arial" w:cs="Arial"/>
          <w:sz w:val="24"/>
          <w:szCs w:val="24"/>
        </w:rPr>
        <w:t>DfID</w:t>
      </w:r>
      <w:r w:rsidR="0050165C" w:rsidRPr="0050165C">
        <w:rPr>
          <w:rFonts w:ascii="Arial" w:hAnsi="Arial" w:cs="Arial"/>
          <w:sz w:val="24"/>
          <w:szCs w:val="24"/>
        </w:rPr>
        <w:t xml:space="preserve">, </w:t>
      </w:r>
      <w:r w:rsidR="00DE6D50" w:rsidRPr="0050165C">
        <w:rPr>
          <w:rFonts w:ascii="Arial" w:hAnsi="Arial" w:cs="Arial"/>
          <w:sz w:val="24"/>
          <w:szCs w:val="24"/>
        </w:rPr>
        <w:t>DfE, DH, DWP</w:t>
      </w:r>
      <w:r w:rsidRPr="0050165C">
        <w:rPr>
          <w:rFonts w:ascii="Arial" w:hAnsi="Arial" w:cs="Arial"/>
          <w:sz w:val="24"/>
          <w:szCs w:val="24"/>
        </w:rPr>
        <w:t>, HMRC and HO.</w:t>
      </w:r>
      <w:r w:rsidR="00902F23">
        <w:rPr>
          <w:rFonts w:ascii="Arial" w:hAnsi="Arial" w:cs="Arial"/>
          <w:sz w:val="24"/>
          <w:szCs w:val="24"/>
        </w:rPr>
        <w:t xml:space="preserve"> </w:t>
      </w:r>
      <w:r w:rsidR="00902F23" w:rsidRPr="002E08CF">
        <w:rPr>
          <w:rFonts w:ascii="Arial" w:hAnsi="Arial" w:cs="Arial"/>
          <w:sz w:val="24"/>
          <w:szCs w:val="24"/>
        </w:rPr>
        <w:t xml:space="preserve">This is partly due to the addition of a new dataset release – Senior Officials Travel Report – which complicated the work of certain departments. </w:t>
      </w:r>
    </w:p>
    <w:p w:rsidR="00CC472F" w:rsidRPr="009E4A6D" w:rsidRDefault="00CC472F" w:rsidP="00166BA8">
      <w:pPr>
        <w:pStyle w:val="Default"/>
        <w:spacing w:line="276" w:lineRule="auto"/>
        <w:ind w:left="720"/>
        <w:jc w:val="both"/>
        <w:rPr>
          <w:highlight w:val="green"/>
        </w:rPr>
      </w:pPr>
    </w:p>
    <w:p w:rsidR="00CC472F" w:rsidRPr="0050165C" w:rsidRDefault="00025A02" w:rsidP="00166BA8">
      <w:pPr>
        <w:pStyle w:val="Default"/>
        <w:numPr>
          <w:ilvl w:val="0"/>
          <w:numId w:val="1"/>
        </w:numPr>
        <w:spacing w:line="276" w:lineRule="auto"/>
        <w:jc w:val="both"/>
      </w:pPr>
      <w:r w:rsidRPr="0050165C">
        <w:t>Quarterly Data Summaries are no longer reported in this statement as they are now published on behalf of departments by the Cabinet Office. The data can be found here: http://www.gist.cabinetoffice.</w:t>
      </w:r>
      <w:r w:rsidR="00C5018E" w:rsidRPr="0050165C">
        <w:t>gov.uk</w:t>
      </w:r>
      <w:r w:rsidR="00E3702C" w:rsidRPr="0050165C">
        <w:t>/qds/</w:t>
      </w:r>
      <w:r w:rsidRPr="0050165C">
        <w:t xml:space="preserve"> </w:t>
      </w:r>
    </w:p>
    <w:p w:rsidR="00CC472F" w:rsidRPr="0050165C" w:rsidRDefault="00CC472F" w:rsidP="00166BA8">
      <w:pPr>
        <w:autoSpaceDE w:val="0"/>
        <w:autoSpaceDN w:val="0"/>
        <w:adjustRightInd w:val="0"/>
        <w:spacing w:after="0"/>
        <w:ind w:left="720"/>
        <w:jc w:val="both"/>
        <w:rPr>
          <w:rFonts w:ascii="Arial" w:hAnsi="Arial" w:cs="Arial"/>
          <w:sz w:val="24"/>
          <w:szCs w:val="24"/>
        </w:rPr>
      </w:pPr>
    </w:p>
    <w:p w:rsidR="00CC472F" w:rsidRPr="001F7BAC" w:rsidRDefault="002D56B4" w:rsidP="00166BA8">
      <w:pPr>
        <w:numPr>
          <w:ilvl w:val="0"/>
          <w:numId w:val="1"/>
        </w:numPr>
        <w:autoSpaceDE w:val="0"/>
        <w:autoSpaceDN w:val="0"/>
        <w:adjustRightInd w:val="0"/>
        <w:spacing w:after="0"/>
        <w:jc w:val="both"/>
        <w:rPr>
          <w:rFonts w:ascii="Arial" w:hAnsi="Arial" w:cs="Arial"/>
          <w:iCs/>
          <w:color w:val="000000"/>
          <w:sz w:val="24"/>
          <w:szCs w:val="24"/>
        </w:rPr>
      </w:pPr>
      <w:r w:rsidRPr="001F7BAC">
        <w:rPr>
          <w:rFonts w:ascii="Arial" w:hAnsi="Arial" w:cs="Arial"/>
          <w:sz w:val="24"/>
          <w:szCs w:val="24"/>
        </w:rPr>
        <w:t xml:space="preserve">The table below shows </w:t>
      </w:r>
      <w:r w:rsidR="00813EE0" w:rsidRPr="001F7BAC">
        <w:rPr>
          <w:rFonts w:ascii="Arial" w:hAnsi="Arial" w:cs="Arial"/>
          <w:sz w:val="24"/>
          <w:szCs w:val="24"/>
        </w:rPr>
        <w:t xml:space="preserve">the </w:t>
      </w:r>
      <w:r w:rsidRPr="001F7BAC">
        <w:rPr>
          <w:rFonts w:ascii="Arial" w:hAnsi="Arial" w:cs="Arial"/>
          <w:sz w:val="24"/>
          <w:szCs w:val="24"/>
        </w:rPr>
        <w:t>progress departments have made on a range of data they committed to publish by the end of the reporting quarter. The measurement of ‘met’ or ‘not met’ denotes whether the expected publications were available at the end of the reporting quarter. A measurement of ‘not met’ merely indicates that the expected data was not publically available</w:t>
      </w:r>
      <w:r w:rsidR="00044B1B" w:rsidRPr="001F7BAC">
        <w:rPr>
          <w:rFonts w:ascii="Arial" w:hAnsi="Arial" w:cs="Arial"/>
          <w:sz w:val="24"/>
          <w:szCs w:val="24"/>
        </w:rPr>
        <w:t xml:space="preserve"> </w:t>
      </w:r>
      <w:r w:rsidR="00487D30" w:rsidRPr="001F7BAC">
        <w:rPr>
          <w:rFonts w:ascii="Arial" w:hAnsi="Arial" w:cs="Arial"/>
          <w:sz w:val="24"/>
          <w:szCs w:val="24"/>
        </w:rPr>
        <w:t xml:space="preserve">at the end of </w:t>
      </w:r>
      <w:r w:rsidR="00531E7F">
        <w:rPr>
          <w:rFonts w:ascii="Arial" w:hAnsi="Arial" w:cs="Arial"/>
          <w:sz w:val="24"/>
          <w:szCs w:val="24"/>
        </w:rPr>
        <w:t>March 2014</w:t>
      </w:r>
      <w:r w:rsidRPr="001F7BAC">
        <w:rPr>
          <w:rFonts w:ascii="Arial" w:hAnsi="Arial" w:cs="Arial"/>
          <w:sz w:val="24"/>
          <w:szCs w:val="24"/>
        </w:rPr>
        <w:t xml:space="preserve"> – the data may have been published in the interi</w:t>
      </w:r>
      <w:r w:rsidR="00487D30" w:rsidRPr="001F7BAC">
        <w:rPr>
          <w:rFonts w:ascii="Arial" w:hAnsi="Arial" w:cs="Arial"/>
          <w:sz w:val="24"/>
          <w:szCs w:val="24"/>
        </w:rPr>
        <w:t xml:space="preserve">m period between the end of </w:t>
      </w:r>
      <w:r w:rsidR="001F7BAC" w:rsidRPr="001F7BAC">
        <w:rPr>
          <w:rFonts w:ascii="Arial" w:hAnsi="Arial" w:cs="Arial"/>
          <w:sz w:val="24"/>
          <w:szCs w:val="24"/>
        </w:rPr>
        <w:t>March 2014</w:t>
      </w:r>
      <w:r w:rsidRPr="001F7BAC">
        <w:rPr>
          <w:rFonts w:ascii="Arial" w:hAnsi="Arial" w:cs="Arial"/>
          <w:sz w:val="24"/>
          <w:szCs w:val="24"/>
        </w:rPr>
        <w:t xml:space="preserve"> and the publication date of this report.</w:t>
      </w:r>
      <w:bookmarkStart w:id="1" w:name="OLE_LINK1"/>
      <w:bookmarkStart w:id="2" w:name="OLE_LINK2"/>
      <w:r w:rsidRPr="001F7BAC">
        <w:rPr>
          <w:rFonts w:ascii="Arial" w:hAnsi="Arial" w:cs="Arial"/>
          <w:sz w:val="24"/>
          <w:szCs w:val="24"/>
        </w:rPr>
        <w:t xml:space="preserve"> An explanation of each of the reporting categories can be found at Annex B.</w:t>
      </w:r>
    </w:p>
    <w:p w:rsidR="00CC472F" w:rsidRDefault="000D701D" w:rsidP="00166BA8">
      <w:pPr>
        <w:spacing w:after="0"/>
        <w:jc w:val="both"/>
        <w:rPr>
          <w:rFonts w:ascii="Arial" w:hAnsi="Arial" w:cs="Arial"/>
          <w:sz w:val="24"/>
          <w:szCs w:val="24"/>
        </w:rPr>
      </w:pPr>
      <w:r w:rsidRPr="006250BE">
        <w:rPr>
          <w:rFonts w:ascii="Arial" w:hAnsi="Arial" w:cs="Arial"/>
          <w:sz w:val="24"/>
          <w:szCs w:val="24"/>
        </w:rPr>
        <w:br w:type="page"/>
      </w:r>
    </w:p>
    <w:tbl>
      <w:tblPr>
        <w:tblW w:w="11399" w:type="dxa"/>
        <w:jc w:val="center"/>
        <w:tblLook w:val="00A0" w:firstRow="1" w:lastRow="0" w:firstColumn="1" w:lastColumn="0" w:noHBand="0" w:noVBand="0"/>
      </w:tblPr>
      <w:tblGrid>
        <w:gridCol w:w="1560"/>
        <w:gridCol w:w="483"/>
        <w:gridCol w:w="483"/>
        <w:gridCol w:w="670"/>
        <w:gridCol w:w="670"/>
        <w:gridCol w:w="768"/>
        <w:gridCol w:w="688"/>
        <w:gridCol w:w="545"/>
        <w:gridCol w:w="492"/>
        <w:gridCol w:w="483"/>
        <w:gridCol w:w="545"/>
        <w:gridCol w:w="590"/>
        <w:gridCol w:w="554"/>
        <w:gridCol w:w="696"/>
        <w:gridCol w:w="563"/>
        <w:gridCol w:w="483"/>
        <w:gridCol w:w="590"/>
        <w:gridCol w:w="536"/>
      </w:tblGrid>
      <w:tr w:rsidR="002D56B4" w:rsidRPr="006250BE" w:rsidTr="006178A6">
        <w:trPr>
          <w:trHeight w:val="780"/>
          <w:jc w:val="center"/>
        </w:trPr>
        <w:tc>
          <w:tcPr>
            <w:tcW w:w="1560" w:type="dxa"/>
            <w:tcBorders>
              <w:top w:val="single" w:sz="4" w:space="0" w:color="auto"/>
              <w:left w:val="single" w:sz="4" w:space="0" w:color="auto"/>
              <w:bottom w:val="single" w:sz="4" w:space="0" w:color="auto"/>
              <w:right w:val="single" w:sz="4" w:space="0" w:color="auto"/>
            </w:tcBorders>
            <w:noWrap/>
            <w:vAlign w:val="center"/>
          </w:tcPr>
          <w:p w:rsidR="002D56B4" w:rsidRPr="006250BE" w:rsidRDefault="002D56B4" w:rsidP="00166BA8">
            <w:pPr>
              <w:spacing w:after="0"/>
              <w:jc w:val="both"/>
              <w:rPr>
                <w:rFonts w:ascii="Arial" w:hAnsi="Arial" w:cs="Arial"/>
                <w:color w:val="000000"/>
                <w:sz w:val="16"/>
                <w:szCs w:val="16"/>
              </w:rPr>
            </w:pPr>
            <w:bookmarkStart w:id="3" w:name="RANGE!A1:R13"/>
            <w:bookmarkEnd w:id="3"/>
            <w:r w:rsidRPr="006250BE">
              <w:rPr>
                <w:rFonts w:ascii="Arial" w:hAnsi="Arial" w:cs="Arial"/>
                <w:color w:val="000000"/>
                <w:sz w:val="16"/>
                <w:szCs w:val="16"/>
              </w:rPr>
              <w:lastRenderedPageBreak/>
              <w:t> </w:t>
            </w:r>
          </w:p>
        </w:tc>
        <w:tc>
          <w:tcPr>
            <w:tcW w:w="483" w:type="dxa"/>
            <w:tcBorders>
              <w:top w:val="single" w:sz="4" w:space="0" w:color="auto"/>
              <w:left w:val="nil"/>
              <w:bottom w:val="single" w:sz="4" w:space="0" w:color="auto"/>
              <w:right w:val="single" w:sz="4" w:space="0" w:color="auto"/>
            </w:tcBorders>
            <w:noWrap/>
            <w:vAlign w:val="center"/>
          </w:tcPr>
          <w:p w:rsidR="002D56B4" w:rsidRPr="006250BE" w:rsidRDefault="002D56B4" w:rsidP="00166BA8">
            <w:pPr>
              <w:spacing w:after="0"/>
              <w:jc w:val="both"/>
              <w:rPr>
                <w:rFonts w:ascii="Arial" w:hAnsi="Arial" w:cs="Arial"/>
                <w:b/>
                <w:color w:val="000000"/>
                <w:sz w:val="16"/>
                <w:szCs w:val="16"/>
              </w:rPr>
            </w:pPr>
            <w:smartTag w:uri="urn:schemas-microsoft-com:office:smarttags" w:element="stockticker">
              <w:r w:rsidRPr="00711D8E">
                <w:rPr>
                  <w:rFonts w:ascii="Arial" w:hAnsi="Arial" w:cs="Arial"/>
                  <w:b/>
                  <w:color w:val="000000"/>
                  <w:sz w:val="16"/>
                  <w:szCs w:val="16"/>
                </w:rPr>
                <w:t>BIS</w:t>
              </w:r>
            </w:smartTag>
            <w:r w:rsidRPr="006250BE">
              <w:rPr>
                <w:rFonts w:ascii="Arial" w:hAnsi="Arial" w:cs="Arial"/>
                <w:b/>
                <w:color w:val="000000"/>
                <w:sz w:val="16"/>
                <w:szCs w:val="16"/>
              </w:rPr>
              <w:t xml:space="preserve"> </w:t>
            </w:r>
          </w:p>
        </w:tc>
        <w:tc>
          <w:tcPr>
            <w:tcW w:w="483"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CO </w:t>
            </w:r>
          </w:p>
        </w:tc>
        <w:tc>
          <w:tcPr>
            <w:tcW w:w="670"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DC</w:t>
            </w:r>
            <w:smartTag w:uri="urn:schemas-microsoft-com:office:smarttags" w:element="stockticker">
              <w:r w:rsidRPr="003B732F">
                <w:rPr>
                  <w:rFonts w:ascii="Arial" w:hAnsi="Arial" w:cs="Arial"/>
                  <w:b/>
                  <w:color w:val="000000"/>
                  <w:sz w:val="16"/>
                  <w:szCs w:val="16"/>
                </w:rPr>
                <w:t>L</w:t>
              </w:r>
            </w:smartTag>
            <w:r w:rsidRPr="003B732F">
              <w:rPr>
                <w:rFonts w:ascii="Arial" w:hAnsi="Arial" w:cs="Arial"/>
                <w:b/>
                <w:color w:val="000000"/>
                <w:sz w:val="16"/>
                <w:szCs w:val="16"/>
              </w:rPr>
              <w:t xml:space="preserve">G </w:t>
            </w:r>
          </w:p>
        </w:tc>
        <w:tc>
          <w:tcPr>
            <w:tcW w:w="670"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smartTag w:uri="urn:schemas-microsoft-com:office:smarttags" w:element="stockticker">
              <w:r w:rsidRPr="003B732F">
                <w:rPr>
                  <w:rFonts w:ascii="Arial" w:hAnsi="Arial" w:cs="Arial"/>
                  <w:b/>
                  <w:color w:val="000000"/>
                  <w:sz w:val="16"/>
                  <w:szCs w:val="16"/>
                </w:rPr>
                <w:t>DECC</w:t>
              </w:r>
            </w:smartTag>
            <w:r w:rsidRPr="003B732F">
              <w:rPr>
                <w:rFonts w:ascii="Arial" w:hAnsi="Arial" w:cs="Arial"/>
                <w:b/>
                <w:color w:val="000000"/>
                <w:sz w:val="16"/>
                <w:szCs w:val="16"/>
              </w:rPr>
              <w:t xml:space="preserve"> </w:t>
            </w:r>
          </w:p>
        </w:tc>
        <w:tc>
          <w:tcPr>
            <w:tcW w:w="768"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DEFRA </w:t>
            </w:r>
          </w:p>
        </w:tc>
        <w:tc>
          <w:tcPr>
            <w:tcW w:w="688"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DCMS </w:t>
            </w:r>
          </w:p>
        </w:tc>
        <w:tc>
          <w:tcPr>
            <w:tcW w:w="545"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DfiD </w:t>
            </w:r>
          </w:p>
        </w:tc>
        <w:tc>
          <w:tcPr>
            <w:tcW w:w="492"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DfE </w:t>
            </w:r>
          </w:p>
        </w:tc>
        <w:tc>
          <w:tcPr>
            <w:tcW w:w="483"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sz w:val="16"/>
                <w:szCs w:val="16"/>
              </w:rPr>
            </w:pPr>
            <w:r w:rsidRPr="0050165C">
              <w:rPr>
                <w:rFonts w:ascii="Arial" w:hAnsi="Arial" w:cs="Arial"/>
                <w:b/>
                <w:sz w:val="16"/>
                <w:szCs w:val="16"/>
              </w:rPr>
              <w:t>DfT</w:t>
            </w:r>
            <w:r w:rsidRPr="003B732F">
              <w:rPr>
                <w:rFonts w:ascii="Arial" w:hAnsi="Arial" w:cs="Arial"/>
                <w:b/>
                <w:sz w:val="16"/>
                <w:szCs w:val="16"/>
              </w:rPr>
              <w:t xml:space="preserve"> </w:t>
            </w:r>
          </w:p>
        </w:tc>
        <w:tc>
          <w:tcPr>
            <w:tcW w:w="545" w:type="dxa"/>
            <w:tcBorders>
              <w:top w:val="single" w:sz="4" w:space="0" w:color="auto"/>
              <w:left w:val="nil"/>
              <w:bottom w:val="single" w:sz="4" w:space="0" w:color="auto"/>
              <w:right w:val="single" w:sz="4" w:space="0" w:color="auto"/>
            </w:tcBorders>
            <w:noWrap/>
            <w:vAlign w:val="center"/>
          </w:tcPr>
          <w:p w:rsidR="002D56B4" w:rsidRPr="003B732F" w:rsidRDefault="005A158E" w:rsidP="00166BA8">
            <w:pPr>
              <w:spacing w:after="0"/>
              <w:jc w:val="both"/>
              <w:rPr>
                <w:rFonts w:ascii="Arial" w:hAnsi="Arial" w:cs="Arial"/>
                <w:b/>
                <w:color w:val="000000"/>
                <w:sz w:val="16"/>
                <w:szCs w:val="16"/>
              </w:rPr>
            </w:pPr>
            <w:r w:rsidRPr="003B732F">
              <w:rPr>
                <w:rFonts w:ascii="Arial" w:hAnsi="Arial" w:cs="Arial"/>
                <w:b/>
                <w:color w:val="000000"/>
                <w:sz w:val="16"/>
                <w:szCs w:val="16"/>
              </w:rPr>
              <w:t>D</w:t>
            </w:r>
            <w:r w:rsidR="002D56B4" w:rsidRPr="003B732F">
              <w:rPr>
                <w:rFonts w:ascii="Arial" w:hAnsi="Arial" w:cs="Arial"/>
                <w:b/>
                <w:color w:val="000000"/>
                <w:sz w:val="16"/>
                <w:szCs w:val="16"/>
              </w:rPr>
              <w:t xml:space="preserve">H </w:t>
            </w:r>
          </w:p>
        </w:tc>
        <w:tc>
          <w:tcPr>
            <w:tcW w:w="590"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DWP </w:t>
            </w:r>
          </w:p>
        </w:tc>
        <w:tc>
          <w:tcPr>
            <w:tcW w:w="554"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FCO </w:t>
            </w:r>
          </w:p>
        </w:tc>
        <w:tc>
          <w:tcPr>
            <w:tcW w:w="696"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 xml:space="preserve">HMRC </w:t>
            </w:r>
          </w:p>
        </w:tc>
        <w:tc>
          <w:tcPr>
            <w:tcW w:w="563"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smartTag w:uri="urn:schemas-microsoft-com:office:smarttags" w:element="stockticker">
              <w:r w:rsidRPr="003B732F">
                <w:rPr>
                  <w:rFonts w:ascii="Arial" w:hAnsi="Arial" w:cs="Arial"/>
                  <w:b/>
                  <w:color w:val="000000"/>
                  <w:sz w:val="16"/>
                  <w:szCs w:val="16"/>
                </w:rPr>
                <w:t>HMT</w:t>
              </w:r>
            </w:smartTag>
            <w:r w:rsidRPr="003B732F">
              <w:rPr>
                <w:rFonts w:ascii="Arial" w:hAnsi="Arial" w:cs="Arial"/>
                <w:b/>
                <w:color w:val="000000"/>
                <w:sz w:val="16"/>
                <w:szCs w:val="16"/>
              </w:rPr>
              <w:t xml:space="preserve"> </w:t>
            </w: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2D56B4" w:rsidRPr="003C2373" w:rsidRDefault="002D56B4" w:rsidP="00166BA8">
            <w:pPr>
              <w:spacing w:after="0"/>
              <w:jc w:val="both"/>
              <w:rPr>
                <w:rFonts w:ascii="Arial" w:hAnsi="Arial" w:cs="Arial"/>
                <w:b/>
                <w:color w:val="000000"/>
                <w:sz w:val="16"/>
                <w:szCs w:val="16"/>
              </w:rPr>
            </w:pPr>
            <w:r w:rsidRPr="003C2373">
              <w:rPr>
                <w:rFonts w:ascii="Arial" w:hAnsi="Arial" w:cs="Arial"/>
                <w:b/>
                <w:color w:val="000000"/>
                <w:sz w:val="16"/>
                <w:szCs w:val="16"/>
              </w:rPr>
              <w:t xml:space="preserve">HO </w:t>
            </w:r>
          </w:p>
        </w:tc>
        <w:tc>
          <w:tcPr>
            <w:tcW w:w="590"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MOD</w:t>
            </w:r>
          </w:p>
        </w:tc>
        <w:tc>
          <w:tcPr>
            <w:tcW w:w="536" w:type="dxa"/>
            <w:tcBorders>
              <w:top w:val="single" w:sz="4" w:space="0" w:color="auto"/>
              <w:left w:val="nil"/>
              <w:bottom w:val="single" w:sz="4" w:space="0" w:color="auto"/>
              <w:right w:val="single" w:sz="4" w:space="0" w:color="auto"/>
            </w:tcBorders>
            <w:noWrap/>
            <w:vAlign w:val="center"/>
          </w:tcPr>
          <w:p w:rsidR="002D56B4" w:rsidRPr="003B732F" w:rsidRDefault="002D56B4" w:rsidP="00166BA8">
            <w:pPr>
              <w:spacing w:after="0"/>
              <w:jc w:val="both"/>
              <w:rPr>
                <w:rFonts w:ascii="Arial" w:hAnsi="Arial" w:cs="Arial"/>
                <w:b/>
                <w:color w:val="000000"/>
                <w:sz w:val="16"/>
                <w:szCs w:val="16"/>
              </w:rPr>
            </w:pPr>
            <w:r w:rsidRPr="003B732F">
              <w:rPr>
                <w:rFonts w:ascii="Arial" w:hAnsi="Arial" w:cs="Arial"/>
                <w:b/>
                <w:color w:val="000000"/>
                <w:sz w:val="16"/>
                <w:szCs w:val="16"/>
              </w:rPr>
              <w:t>MoJ</w:t>
            </w:r>
          </w:p>
        </w:tc>
      </w:tr>
      <w:tr w:rsidR="00CC472F" w:rsidRPr="006250BE" w:rsidTr="006178A6">
        <w:trPr>
          <w:trHeight w:val="45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Spend data</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highlight w:val="red"/>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auto" w:fill="FF0000"/>
            <w:vAlign w:val="center"/>
          </w:tcPr>
          <w:p w:rsidR="00504C87" w:rsidRPr="006250BE" w:rsidRDefault="00504C87" w:rsidP="00166BA8">
            <w:pPr>
              <w:spacing w:after="0"/>
              <w:jc w:val="both"/>
              <w:rPr>
                <w:rFonts w:ascii="Arial" w:hAnsi="Arial" w:cs="Arial"/>
                <w:color w:val="000000"/>
                <w:sz w:val="16"/>
                <w:szCs w:val="16"/>
              </w:rPr>
            </w:pPr>
            <w:r w:rsidRPr="006250BE">
              <w:rPr>
                <w:rFonts w:ascii="Arial" w:hAnsi="Arial" w:cs="Arial"/>
                <w:color w:val="000000"/>
                <w:sz w:val="16"/>
                <w:szCs w:val="16"/>
              </w:rPr>
              <w:t>Not</w:t>
            </w:r>
          </w:p>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FF000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Not Met</w:t>
            </w:r>
          </w:p>
        </w:tc>
      </w:tr>
      <w:tr w:rsidR="00CC472F" w:rsidRPr="006250BE" w:rsidTr="006178A6">
        <w:trPr>
          <w:trHeight w:val="45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smartTag w:uri="urn:schemas-microsoft-com:office:smarttags" w:element="stockticker">
              <w:r w:rsidRPr="006250BE">
                <w:rPr>
                  <w:rFonts w:ascii="Arial" w:hAnsi="Arial" w:cs="Arial"/>
                  <w:b/>
                  <w:sz w:val="16"/>
                  <w:szCs w:val="16"/>
                </w:rPr>
                <w:t>GPC</w:t>
              </w:r>
            </w:smartTag>
            <w:r w:rsidRPr="006250BE">
              <w:rPr>
                <w:rFonts w:ascii="Arial" w:hAnsi="Arial" w:cs="Arial"/>
                <w:b/>
                <w:sz w:val="16"/>
                <w:szCs w:val="16"/>
              </w:rPr>
              <w:t xml:space="preserve"> data</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highlight w:val="red"/>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auto" w:fill="FF0000"/>
            <w:vAlign w:val="center"/>
          </w:tcPr>
          <w:p w:rsidR="00504C87" w:rsidRPr="006250BE" w:rsidRDefault="00504C87" w:rsidP="00166BA8">
            <w:pPr>
              <w:spacing w:after="0"/>
              <w:jc w:val="both"/>
              <w:rPr>
                <w:rFonts w:ascii="Arial" w:hAnsi="Arial" w:cs="Arial"/>
                <w:color w:val="000000"/>
                <w:sz w:val="16"/>
                <w:szCs w:val="16"/>
              </w:rPr>
            </w:pPr>
            <w:r w:rsidRPr="006250BE">
              <w:rPr>
                <w:rFonts w:ascii="Arial" w:hAnsi="Arial" w:cs="Arial"/>
                <w:color w:val="000000"/>
                <w:sz w:val="16"/>
                <w:szCs w:val="16"/>
              </w:rPr>
              <w:t>Not</w:t>
            </w:r>
          </w:p>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auto" w:fill="FF0000"/>
            <w:vAlign w:val="center"/>
          </w:tcPr>
          <w:p w:rsidR="002D56B4" w:rsidRPr="003D5A0D" w:rsidRDefault="003D5A0D" w:rsidP="00166BA8">
            <w:pPr>
              <w:spacing w:after="0"/>
              <w:jc w:val="both"/>
              <w:rPr>
                <w:rFonts w:ascii="Arial" w:hAnsi="Arial" w:cs="Arial"/>
                <w:sz w:val="16"/>
                <w:szCs w:val="16"/>
              </w:rPr>
            </w:pPr>
            <w:r>
              <w:rPr>
                <w:rFonts w:ascii="Arial" w:hAnsi="Arial" w:cs="Arial"/>
                <w:sz w:val="16"/>
                <w:szCs w:val="16"/>
              </w:rPr>
              <w:t xml:space="preserve">Not </w:t>
            </w:r>
            <w:r w:rsidR="002D56B4" w:rsidRPr="003D5A0D">
              <w:rPr>
                <w:rFonts w:ascii="Arial" w:hAnsi="Arial" w:cs="Arial"/>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FF000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Not Met</w:t>
            </w:r>
          </w:p>
        </w:tc>
      </w:tr>
      <w:tr w:rsidR="00CC472F" w:rsidRPr="006250BE" w:rsidTr="006178A6">
        <w:trPr>
          <w:trHeight w:val="45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Organogram</w:t>
            </w:r>
          </w:p>
        </w:tc>
        <w:tc>
          <w:tcPr>
            <w:tcW w:w="483" w:type="dxa"/>
            <w:tcBorders>
              <w:top w:val="nil"/>
              <w:left w:val="nil"/>
              <w:bottom w:val="single" w:sz="4" w:space="0" w:color="auto"/>
              <w:right w:val="single" w:sz="4" w:space="0" w:color="auto"/>
            </w:tcBorders>
            <w:shd w:val="clear" w:color="auto" w:fill="FF0000"/>
            <w:vAlign w:val="center"/>
          </w:tcPr>
          <w:p w:rsidR="00711D8E"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Not</w:t>
            </w:r>
          </w:p>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159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Exceptions to Moratoria (ICT, Property, Recruitment, Marketing &amp; Consultancy)</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78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Workplace Management Information</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 xml:space="preserve"> 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 </w:t>
            </w:r>
            <w:r w:rsidR="003D5A0D">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FF000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Not 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FF32BF" w:rsidRPr="006250BE" w:rsidTr="006178A6">
        <w:trPr>
          <w:trHeight w:val="886"/>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FF32BF" w:rsidRPr="002F2616" w:rsidRDefault="00FF32BF" w:rsidP="00166BA8">
            <w:pPr>
              <w:spacing w:after="0"/>
              <w:jc w:val="both"/>
              <w:rPr>
                <w:rFonts w:ascii="Arial" w:hAnsi="Arial" w:cs="Arial"/>
                <w:b/>
                <w:sz w:val="16"/>
                <w:szCs w:val="16"/>
              </w:rPr>
            </w:pPr>
            <w:r w:rsidRPr="002F2616">
              <w:rPr>
                <w:rFonts w:ascii="Arial" w:hAnsi="Arial" w:cs="Arial"/>
                <w:b/>
                <w:sz w:val="16"/>
                <w:szCs w:val="16"/>
              </w:rPr>
              <w:t>Senior Officials Travel Report</w:t>
            </w:r>
          </w:p>
        </w:tc>
        <w:tc>
          <w:tcPr>
            <w:tcW w:w="483" w:type="dxa"/>
            <w:tcBorders>
              <w:top w:val="nil"/>
              <w:left w:val="nil"/>
              <w:bottom w:val="single" w:sz="4" w:space="0" w:color="auto"/>
              <w:right w:val="single" w:sz="4" w:space="0" w:color="auto"/>
            </w:tcBorders>
            <w:shd w:val="clear" w:color="auto" w:fill="92D050"/>
            <w:vAlign w:val="center"/>
          </w:tcPr>
          <w:p w:rsidR="00FF32BF"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auto" w:fill="FF000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Not Met</w:t>
            </w:r>
          </w:p>
        </w:tc>
        <w:tc>
          <w:tcPr>
            <w:tcW w:w="545" w:type="dxa"/>
            <w:tcBorders>
              <w:top w:val="nil"/>
              <w:left w:val="nil"/>
              <w:bottom w:val="single" w:sz="4" w:space="0" w:color="auto"/>
              <w:right w:val="single" w:sz="4" w:space="0" w:color="auto"/>
            </w:tcBorders>
            <w:shd w:val="clear" w:color="000000" w:fill="92D050"/>
            <w:vAlign w:val="center"/>
          </w:tcPr>
          <w:p w:rsidR="00FF32BF" w:rsidRPr="006250BE" w:rsidRDefault="0020027B"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p>
        </w:tc>
        <w:tc>
          <w:tcPr>
            <w:tcW w:w="545"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auto" w:fill="auto"/>
            <w:vAlign w:val="center"/>
          </w:tcPr>
          <w:p w:rsidR="00FF32BF" w:rsidRPr="006250BE" w:rsidRDefault="00FF32BF" w:rsidP="00166BA8">
            <w:pPr>
              <w:spacing w:after="0"/>
              <w:jc w:val="both"/>
              <w:rPr>
                <w:rFonts w:ascii="Arial" w:hAnsi="Arial" w:cs="Arial"/>
                <w:color w:val="000000"/>
                <w:sz w:val="16"/>
                <w:szCs w:val="16"/>
              </w:rPr>
            </w:pPr>
          </w:p>
        </w:tc>
        <w:tc>
          <w:tcPr>
            <w:tcW w:w="696" w:type="dxa"/>
            <w:tcBorders>
              <w:top w:val="nil"/>
              <w:left w:val="nil"/>
              <w:bottom w:val="single" w:sz="4" w:space="0" w:color="auto"/>
              <w:right w:val="single" w:sz="4" w:space="0" w:color="auto"/>
            </w:tcBorders>
            <w:shd w:val="clear" w:color="auto"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auto" w:fill="92D050"/>
            <w:vAlign w:val="center"/>
          </w:tcPr>
          <w:p w:rsidR="00FF32BF" w:rsidRPr="006250BE" w:rsidRDefault="00B01DB4"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auto" w:fill="FF0000"/>
            <w:vAlign w:val="center"/>
          </w:tcPr>
          <w:p w:rsidR="00FF32BF" w:rsidRPr="006250BE" w:rsidRDefault="00FF32BF" w:rsidP="00166BA8">
            <w:pPr>
              <w:spacing w:after="0"/>
              <w:jc w:val="both"/>
              <w:rPr>
                <w:rFonts w:ascii="Arial" w:hAnsi="Arial" w:cs="Arial"/>
                <w:color w:val="000000"/>
                <w:sz w:val="16"/>
                <w:szCs w:val="16"/>
              </w:rPr>
            </w:pPr>
            <w:r>
              <w:rPr>
                <w:rFonts w:ascii="Arial" w:hAnsi="Arial" w:cs="Arial"/>
                <w:color w:val="000000"/>
                <w:sz w:val="16"/>
                <w:szCs w:val="16"/>
              </w:rPr>
              <w:t>Not met</w:t>
            </w:r>
          </w:p>
        </w:tc>
        <w:tc>
          <w:tcPr>
            <w:tcW w:w="536" w:type="dxa"/>
            <w:tcBorders>
              <w:top w:val="nil"/>
              <w:left w:val="nil"/>
              <w:bottom w:val="single" w:sz="4" w:space="0" w:color="auto"/>
              <w:right w:val="single" w:sz="4" w:space="0" w:color="auto"/>
            </w:tcBorders>
            <w:shd w:val="clear" w:color="000000" w:fill="92D050"/>
            <w:vAlign w:val="center"/>
          </w:tcPr>
          <w:p w:rsidR="00FF32BF" w:rsidRPr="006250BE" w:rsidRDefault="008A0A1A" w:rsidP="00166BA8">
            <w:pPr>
              <w:spacing w:after="0"/>
              <w:jc w:val="both"/>
              <w:rPr>
                <w:rFonts w:ascii="Arial" w:hAnsi="Arial" w:cs="Arial"/>
                <w:color w:val="000000"/>
                <w:sz w:val="16"/>
                <w:szCs w:val="16"/>
              </w:rPr>
            </w:pPr>
            <w:r>
              <w:rPr>
                <w:rFonts w:ascii="Arial" w:hAnsi="Arial" w:cs="Arial"/>
                <w:color w:val="000000"/>
                <w:sz w:val="16"/>
                <w:szCs w:val="16"/>
              </w:rPr>
              <w:t>Met</w:t>
            </w:r>
          </w:p>
        </w:tc>
      </w:tr>
      <w:tr w:rsidR="00CC472F" w:rsidRPr="006250BE" w:rsidTr="006178A6">
        <w:trPr>
          <w:trHeight w:val="198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3074E3" w:rsidP="00166BA8">
            <w:pPr>
              <w:spacing w:after="0"/>
              <w:jc w:val="both"/>
              <w:rPr>
                <w:rFonts w:ascii="Arial" w:hAnsi="Arial" w:cs="Arial"/>
                <w:b/>
                <w:sz w:val="16"/>
                <w:szCs w:val="16"/>
              </w:rPr>
            </w:pPr>
            <w:r>
              <w:rPr>
                <w:rFonts w:ascii="Arial" w:hAnsi="Arial" w:cs="Arial"/>
                <w:b/>
                <w:sz w:val="16"/>
                <w:szCs w:val="16"/>
              </w:rPr>
              <w:t>Ministers’ g</w:t>
            </w:r>
            <w:r w:rsidR="002D56B4" w:rsidRPr="006250BE">
              <w:rPr>
                <w:rFonts w:ascii="Arial" w:hAnsi="Arial" w:cs="Arial"/>
                <w:b/>
                <w:sz w:val="16"/>
                <w:szCs w:val="16"/>
              </w:rPr>
              <w:t xml:space="preserve">ifts, hospitality received, overseas  </w:t>
            </w:r>
            <w:r w:rsidR="00F35A75" w:rsidRPr="006250BE">
              <w:rPr>
                <w:rFonts w:ascii="Arial" w:hAnsi="Arial" w:cs="Arial"/>
                <w:b/>
                <w:sz w:val="16"/>
                <w:szCs w:val="16"/>
              </w:rPr>
              <w:t>t</w:t>
            </w:r>
            <w:r w:rsidR="002D56B4" w:rsidRPr="006250BE">
              <w:rPr>
                <w:rFonts w:ascii="Arial" w:hAnsi="Arial" w:cs="Arial"/>
                <w:b/>
                <w:sz w:val="16"/>
                <w:szCs w:val="16"/>
              </w:rPr>
              <w:t xml:space="preserve">ravel, </w:t>
            </w:r>
            <w:r w:rsidR="00F35A75" w:rsidRPr="006250BE">
              <w:rPr>
                <w:rFonts w:ascii="Arial" w:hAnsi="Arial" w:cs="Arial"/>
                <w:b/>
                <w:sz w:val="16"/>
                <w:szCs w:val="16"/>
              </w:rPr>
              <w:t>m</w:t>
            </w:r>
            <w:r w:rsidR="002D56B4" w:rsidRPr="006250BE">
              <w:rPr>
                <w:rFonts w:ascii="Arial" w:hAnsi="Arial" w:cs="Arial"/>
                <w:b/>
                <w:sz w:val="16"/>
                <w:szCs w:val="16"/>
              </w:rPr>
              <w:t>eetings with external organisations including media executives</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auto" w:fill="FFFFFF" w:themeFill="background1"/>
            <w:vAlign w:val="center"/>
          </w:tcPr>
          <w:p w:rsidR="002D56B4" w:rsidRPr="006250BE" w:rsidRDefault="002D56B4" w:rsidP="00166BA8">
            <w:pPr>
              <w:spacing w:after="0"/>
              <w:jc w:val="both"/>
              <w:rPr>
                <w:rFonts w:ascii="Arial" w:hAnsi="Arial" w:cs="Arial"/>
                <w:color w:val="000000"/>
                <w:sz w:val="16"/>
                <w:szCs w:val="16"/>
              </w:rPr>
            </w:pP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1125"/>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F35A75" w:rsidP="00166BA8">
            <w:pPr>
              <w:spacing w:after="0"/>
              <w:jc w:val="both"/>
              <w:rPr>
                <w:rFonts w:ascii="Arial" w:hAnsi="Arial" w:cs="Arial"/>
                <w:b/>
                <w:sz w:val="16"/>
                <w:szCs w:val="16"/>
              </w:rPr>
            </w:pPr>
            <w:r w:rsidRPr="006250BE">
              <w:rPr>
                <w:rFonts w:ascii="Arial" w:hAnsi="Arial" w:cs="Arial"/>
                <w:b/>
                <w:sz w:val="16"/>
                <w:szCs w:val="16"/>
              </w:rPr>
              <w:t>Special Advisers</w:t>
            </w:r>
            <w:r w:rsidR="003074E3">
              <w:rPr>
                <w:rFonts w:ascii="Arial" w:hAnsi="Arial" w:cs="Arial"/>
                <w:b/>
                <w:sz w:val="16"/>
                <w:szCs w:val="16"/>
              </w:rPr>
              <w:t>’</w:t>
            </w:r>
            <w:r w:rsidRPr="006250BE">
              <w:rPr>
                <w:rFonts w:ascii="Arial" w:hAnsi="Arial" w:cs="Arial"/>
                <w:b/>
                <w:sz w:val="16"/>
                <w:szCs w:val="16"/>
              </w:rPr>
              <w:t xml:space="preserve"> gifts and h</w:t>
            </w:r>
            <w:r w:rsidR="002D56B4" w:rsidRPr="006250BE">
              <w:rPr>
                <w:rFonts w:ascii="Arial" w:hAnsi="Arial" w:cs="Arial"/>
                <w:b/>
                <w:sz w:val="16"/>
                <w:szCs w:val="16"/>
              </w:rPr>
              <w:t>ospitality and meetings with media executives</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auto" w:fill="FFFFFF" w:themeFill="background1"/>
            <w:vAlign w:val="center"/>
          </w:tcPr>
          <w:p w:rsidR="002D56B4" w:rsidRPr="006250BE" w:rsidRDefault="002D56B4" w:rsidP="00166BA8">
            <w:pPr>
              <w:spacing w:after="0"/>
              <w:jc w:val="both"/>
              <w:rPr>
                <w:rFonts w:ascii="Arial" w:hAnsi="Arial" w:cs="Arial"/>
                <w:color w:val="000000"/>
                <w:sz w:val="16"/>
                <w:szCs w:val="16"/>
              </w:rPr>
            </w:pP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675"/>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F35A75" w:rsidP="00166BA8">
            <w:pPr>
              <w:spacing w:after="0"/>
              <w:jc w:val="both"/>
              <w:rPr>
                <w:rFonts w:ascii="Arial" w:hAnsi="Arial" w:cs="Arial"/>
                <w:b/>
                <w:sz w:val="16"/>
                <w:szCs w:val="16"/>
              </w:rPr>
            </w:pPr>
            <w:r w:rsidRPr="006250BE">
              <w:rPr>
                <w:rFonts w:ascii="Arial" w:hAnsi="Arial" w:cs="Arial"/>
                <w:b/>
                <w:sz w:val="16"/>
                <w:szCs w:val="16"/>
              </w:rPr>
              <w:t>Senior Officials</w:t>
            </w:r>
            <w:r w:rsidR="003074E3">
              <w:rPr>
                <w:rFonts w:ascii="Arial" w:hAnsi="Arial" w:cs="Arial"/>
                <w:b/>
                <w:sz w:val="16"/>
                <w:szCs w:val="16"/>
              </w:rPr>
              <w:t>’</w:t>
            </w:r>
            <w:r w:rsidRPr="006250BE">
              <w:rPr>
                <w:rFonts w:ascii="Arial" w:hAnsi="Arial" w:cs="Arial"/>
                <w:b/>
                <w:sz w:val="16"/>
                <w:szCs w:val="16"/>
              </w:rPr>
              <w:t xml:space="preserve"> e</w:t>
            </w:r>
            <w:r w:rsidR="002D56B4" w:rsidRPr="006250BE">
              <w:rPr>
                <w:rFonts w:ascii="Arial" w:hAnsi="Arial" w:cs="Arial"/>
                <w:b/>
                <w:sz w:val="16"/>
                <w:szCs w:val="16"/>
              </w:rPr>
              <w:t xml:space="preserve">xpenses, </w:t>
            </w:r>
            <w:r w:rsidRPr="006250BE">
              <w:rPr>
                <w:rFonts w:ascii="Arial" w:hAnsi="Arial" w:cs="Arial"/>
                <w:b/>
                <w:sz w:val="16"/>
                <w:szCs w:val="16"/>
              </w:rPr>
              <w:t>travel and h</w:t>
            </w:r>
            <w:r w:rsidR="002D56B4" w:rsidRPr="006250BE">
              <w:rPr>
                <w:rFonts w:ascii="Arial" w:hAnsi="Arial" w:cs="Arial"/>
                <w:b/>
                <w:sz w:val="16"/>
                <w:szCs w:val="16"/>
              </w:rPr>
              <w:t>ospitality</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FF0000"/>
            <w:vAlign w:val="center"/>
          </w:tcPr>
          <w:p w:rsidR="002D56B4" w:rsidRPr="006250BE" w:rsidRDefault="0050165C" w:rsidP="00166BA8">
            <w:pPr>
              <w:spacing w:after="0"/>
              <w:jc w:val="both"/>
              <w:rPr>
                <w:rFonts w:ascii="Arial" w:hAnsi="Arial" w:cs="Arial"/>
                <w:color w:val="000000"/>
                <w:sz w:val="16"/>
                <w:szCs w:val="16"/>
              </w:rPr>
            </w:pPr>
            <w:r>
              <w:rPr>
                <w:rFonts w:ascii="Arial" w:hAnsi="Arial" w:cs="Arial"/>
                <w:color w:val="000000"/>
                <w:sz w:val="16"/>
                <w:szCs w:val="16"/>
              </w:rPr>
              <w:t xml:space="preserve">Not </w:t>
            </w:r>
            <w:r w:rsidR="002D56B4"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auto" w:fill="92D050"/>
            <w:vAlign w:val="center"/>
          </w:tcPr>
          <w:p w:rsidR="002D56B4" w:rsidRPr="006250BE" w:rsidRDefault="003D5A0D" w:rsidP="00166BA8">
            <w:pPr>
              <w:spacing w:after="0"/>
              <w:jc w:val="both"/>
              <w:rPr>
                <w:rFonts w:ascii="Arial" w:hAnsi="Arial" w:cs="Arial"/>
                <w:color w:val="000000"/>
                <w:sz w:val="16"/>
                <w:szCs w:val="16"/>
              </w:rPr>
            </w:pPr>
            <w:r>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FF000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Not 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1575"/>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F35A75" w:rsidP="00166BA8">
            <w:pPr>
              <w:spacing w:after="0"/>
              <w:jc w:val="both"/>
              <w:rPr>
                <w:rFonts w:ascii="Arial" w:hAnsi="Arial" w:cs="Arial"/>
                <w:b/>
                <w:sz w:val="16"/>
                <w:szCs w:val="16"/>
              </w:rPr>
            </w:pPr>
            <w:r w:rsidRPr="006250BE">
              <w:rPr>
                <w:rFonts w:ascii="Arial" w:hAnsi="Arial" w:cs="Arial"/>
                <w:b/>
                <w:sz w:val="16"/>
                <w:szCs w:val="16"/>
              </w:rPr>
              <w:t>Permanent S</w:t>
            </w:r>
            <w:r w:rsidR="002D56B4" w:rsidRPr="006250BE">
              <w:rPr>
                <w:rFonts w:ascii="Arial" w:hAnsi="Arial" w:cs="Arial"/>
                <w:b/>
                <w:sz w:val="16"/>
                <w:szCs w:val="16"/>
              </w:rPr>
              <w:t>ecretaries</w:t>
            </w:r>
            <w:r w:rsidR="003074E3">
              <w:rPr>
                <w:rFonts w:ascii="Arial" w:hAnsi="Arial" w:cs="Arial"/>
                <w:b/>
                <w:sz w:val="16"/>
                <w:szCs w:val="16"/>
              </w:rPr>
              <w:t>’</w:t>
            </w:r>
            <w:r w:rsidR="002D56B4" w:rsidRPr="006250BE">
              <w:rPr>
                <w:rFonts w:ascii="Arial" w:hAnsi="Arial" w:cs="Arial"/>
                <w:b/>
                <w:sz w:val="16"/>
                <w:szCs w:val="16"/>
              </w:rPr>
              <w:t xml:space="preserve"> meetings with external organisations including media executives</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 xml:space="preserve"> </w:t>
            </w:r>
            <w:r w:rsidRPr="00F57CF8">
              <w:rPr>
                <w:rFonts w:ascii="Arial" w:hAnsi="Arial" w:cs="Arial"/>
                <w:color w:val="000000"/>
                <w:sz w:val="16"/>
                <w:szCs w:val="16"/>
                <w:shd w:val="clear" w:color="auto" w:fill="92D050"/>
              </w:rPr>
              <w:t>Me</w:t>
            </w:r>
            <w:r w:rsidRPr="006250BE">
              <w:rPr>
                <w:rFonts w:ascii="Arial" w:hAnsi="Arial" w:cs="Arial"/>
                <w:color w:val="000000"/>
                <w:sz w:val="16"/>
                <w:szCs w:val="16"/>
              </w:rPr>
              <w:t>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45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Contract Finder</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auto" w:fill="FF0000"/>
            <w:vAlign w:val="center"/>
          </w:tcPr>
          <w:p w:rsidR="00B73F07" w:rsidRPr="006250BE" w:rsidRDefault="00B73F07" w:rsidP="00166BA8">
            <w:pPr>
              <w:spacing w:after="0"/>
              <w:jc w:val="both"/>
              <w:rPr>
                <w:rFonts w:ascii="Arial" w:hAnsi="Arial" w:cs="Arial"/>
                <w:color w:val="000000"/>
                <w:sz w:val="16"/>
                <w:szCs w:val="16"/>
              </w:rPr>
            </w:pPr>
            <w:r w:rsidRPr="006250BE">
              <w:rPr>
                <w:rFonts w:ascii="Arial" w:hAnsi="Arial" w:cs="Arial"/>
                <w:color w:val="000000"/>
                <w:sz w:val="16"/>
                <w:szCs w:val="16"/>
              </w:rPr>
              <w:t>Not</w:t>
            </w:r>
          </w:p>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r w:rsidR="00CC472F" w:rsidRPr="006250BE" w:rsidTr="006178A6">
        <w:trPr>
          <w:trHeight w:val="750"/>
          <w:jc w:val="center"/>
        </w:trPr>
        <w:tc>
          <w:tcPr>
            <w:tcW w:w="1560" w:type="dxa"/>
            <w:tcBorders>
              <w:top w:val="nil"/>
              <w:left w:val="single" w:sz="4" w:space="0" w:color="auto"/>
              <w:bottom w:val="single" w:sz="4" w:space="0" w:color="auto"/>
              <w:right w:val="single" w:sz="4" w:space="0" w:color="auto"/>
            </w:tcBorders>
            <w:shd w:val="clear" w:color="000000" w:fill="FFFFFF"/>
            <w:vAlign w:val="center"/>
          </w:tcPr>
          <w:p w:rsidR="002D56B4" w:rsidRPr="006250BE" w:rsidRDefault="002D56B4" w:rsidP="00166BA8">
            <w:pPr>
              <w:spacing w:after="0"/>
              <w:jc w:val="both"/>
              <w:rPr>
                <w:rFonts w:ascii="Arial" w:hAnsi="Arial" w:cs="Arial"/>
                <w:b/>
                <w:sz w:val="16"/>
                <w:szCs w:val="16"/>
              </w:rPr>
            </w:pPr>
            <w:r w:rsidRPr="006250BE">
              <w:rPr>
                <w:rFonts w:ascii="Arial" w:hAnsi="Arial" w:cs="Arial"/>
                <w:b/>
                <w:sz w:val="16"/>
                <w:szCs w:val="16"/>
              </w:rPr>
              <w:t>Real Time Energy User</w:t>
            </w:r>
          </w:p>
        </w:tc>
        <w:tc>
          <w:tcPr>
            <w:tcW w:w="483" w:type="dxa"/>
            <w:tcBorders>
              <w:top w:val="nil"/>
              <w:left w:val="nil"/>
              <w:bottom w:val="single" w:sz="4" w:space="0" w:color="auto"/>
              <w:right w:val="single" w:sz="4" w:space="0" w:color="auto"/>
            </w:tcBorders>
            <w:shd w:val="clear" w:color="auto" w:fill="92D050"/>
            <w:vAlign w:val="center"/>
          </w:tcPr>
          <w:p w:rsidR="002D56B4" w:rsidRPr="006250BE" w:rsidRDefault="00711D8E"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7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76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88"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92"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45"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54"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69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6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483"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90"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c>
          <w:tcPr>
            <w:tcW w:w="536" w:type="dxa"/>
            <w:tcBorders>
              <w:top w:val="nil"/>
              <w:left w:val="nil"/>
              <w:bottom w:val="single" w:sz="4" w:space="0" w:color="auto"/>
              <w:right w:val="single" w:sz="4" w:space="0" w:color="auto"/>
            </w:tcBorders>
            <w:shd w:val="clear" w:color="000000" w:fill="92D050"/>
            <w:vAlign w:val="center"/>
          </w:tcPr>
          <w:p w:rsidR="002D56B4" w:rsidRPr="006250BE" w:rsidRDefault="002D56B4" w:rsidP="00166BA8">
            <w:pPr>
              <w:spacing w:after="0"/>
              <w:jc w:val="both"/>
              <w:rPr>
                <w:rFonts w:ascii="Arial" w:hAnsi="Arial" w:cs="Arial"/>
                <w:color w:val="000000"/>
                <w:sz w:val="16"/>
                <w:szCs w:val="16"/>
              </w:rPr>
            </w:pPr>
            <w:r w:rsidRPr="006250BE">
              <w:rPr>
                <w:rFonts w:ascii="Arial" w:hAnsi="Arial" w:cs="Arial"/>
                <w:color w:val="000000"/>
                <w:sz w:val="16"/>
                <w:szCs w:val="16"/>
              </w:rPr>
              <w:t>Met</w:t>
            </w:r>
          </w:p>
        </w:tc>
      </w:tr>
    </w:tbl>
    <w:p w:rsidR="00531E7F" w:rsidRPr="00531E7F" w:rsidRDefault="00531E7F" w:rsidP="00166BA8">
      <w:pPr>
        <w:pStyle w:val="ListParagraph"/>
        <w:jc w:val="both"/>
        <w:rPr>
          <w:rFonts w:ascii="Arial" w:hAnsi="Arial" w:cs="Arial"/>
          <w:sz w:val="24"/>
          <w:szCs w:val="24"/>
        </w:rPr>
      </w:pPr>
    </w:p>
    <w:p w:rsidR="00531E7F" w:rsidRPr="00531E7F" w:rsidRDefault="00531E7F" w:rsidP="00166BA8">
      <w:pPr>
        <w:pStyle w:val="ListParagraph"/>
        <w:jc w:val="both"/>
        <w:rPr>
          <w:rFonts w:ascii="Arial" w:hAnsi="Arial" w:cs="Arial"/>
          <w:sz w:val="24"/>
          <w:szCs w:val="24"/>
        </w:rPr>
      </w:pPr>
    </w:p>
    <w:p w:rsidR="00531E7F" w:rsidRPr="00531E7F" w:rsidRDefault="00531E7F" w:rsidP="00166BA8">
      <w:pPr>
        <w:ind w:left="360"/>
        <w:jc w:val="both"/>
        <w:rPr>
          <w:rFonts w:ascii="Arial" w:hAnsi="Arial" w:cs="Arial"/>
          <w:sz w:val="24"/>
          <w:szCs w:val="24"/>
        </w:rPr>
      </w:pPr>
    </w:p>
    <w:p w:rsidR="00025A02" w:rsidRPr="00711D8E" w:rsidRDefault="00025A02" w:rsidP="00166BA8">
      <w:pPr>
        <w:pStyle w:val="ListParagraph"/>
        <w:numPr>
          <w:ilvl w:val="0"/>
          <w:numId w:val="1"/>
        </w:numPr>
        <w:jc w:val="both"/>
        <w:rPr>
          <w:rFonts w:ascii="Arial" w:hAnsi="Arial" w:cs="Arial"/>
          <w:sz w:val="24"/>
          <w:szCs w:val="24"/>
        </w:rPr>
      </w:pPr>
      <w:r w:rsidRPr="00711D8E">
        <w:rPr>
          <w:rFonts w:ascii="Arial" w:hAnsi="Arial" w:cs="Arial"/>
          <w:b/>
          <w:color w:val="000000"/>
          <w:sz w:val="24"/>
          <w:szCs w:val="24"/>
        </w:rPr>
        <w:t>BIS</w:t>
      </w:r>
      <w:r w:rsidRPr="00711D8E">
        <w:rPr>
          <w:rFonts w:ascii="Arial" w:hAnsi="Arial" w:cs="Arial"/>
          <w:color w:val="000000"/>
          <w:sz w:val="24"/>
          <w:szCs w:val="24"/>
        </w:rPr>
        <w:t xml:space="preserve"> </w:t>
      </w:r>
      <w:r w:rsidRPr="00531E7F">
        <w:rPr>
          <w:rFonts w:ascii="Arial" w:hAnsi="Arial" w:cs="Arial"/>
          <w:sz w:val="24"/>
          <w:szCs w:val="24"/>
        </w:rPr>
        <w:t xml:space="preserve">reported that it </w:t>
      </w:r>
      <w:r w:rsidR="00550998">
        <w:rPr>
          <w:rFonts w:ascii="Arial" w:hAnsi="Arial" w:cs="Arial"/>
          <w:sz w:val="24"/>
          <w:szCs w:val="24"/>
        </w:rPr>
        <w:t>was</w:t>
      </w:r>
      <w:r w:rsidR="00550998" w:rsidRPr="00531E7F">
        <w:rPr>
          <w:rFonts w:ascii="Arial" w:hAnsi="Arial" w:cs="Arial"/>
          <w:sz w:val="24"/>
          <w:szCs w:val="24"/>
        </w:rPr>
        <w:t xml:space="preserve"> </w:t>
      </w:r>
      <w:r w:rsidRPr="00711D8E">
        <w:rPr>
          <w:rFonts w:ascii="Arial" w:hAnsi="Arial" w:cs="Arial"/>
          <w:sz w:val="24"/>
          <w:szCs w:val="24"/>
        </w:rPr>
        <w:t>transitioning to a new</w:t>
      </w:r>
      <w:r w:rsidR="00D7148E" w:rsidRPr="00711D8E">
        <w:rPr>
          <w:rFonts w:ascii="Arial" w:hAnsi="Arial" w:cs="Arial"/>
          <w:sz w:val="24"/>
          <w:szCs w:val="24"/>
        </w:rPr>
        <w:t xml:space="preserve"> </w:t>
      </w:r>
      <w:r w:rsidR="003074E3" w:rsidRPr="00711D8E">
        <w:rPr>
          <w:rFonts w:ascii="Arial" w:hAnsi="Arial" w:cs="Arial"/>
          <w:sz w:val="24"/>
          <w:szCs w:val="24"/>
        </w:rPr>
        <w:t>Management I</w:t>
      </w:r>
      <w:r w:rsidRPr="00711D8E">
        <w:rPr>
          <w:rFonts w:ascii="Arial" w:hAnsi="Arial" w:cs="Arial"/>
          <w:sz w:val="24"/>
          <w:szCs w:val="24"/>
        </w:rPr>
        <w:t>nformation system. During the</w:t>
      </w:r>
      <w:r w:rsidR="00A84969" w:rsidRPr="00711D8E">
        <w:rPr>
          <w:rFonts w:ascii="Arial" w:hAnsi="Arial" w:cs="Arial"/>
          <w:sz w:val="24"/>
          <w:szCs w:val="24"/>
        </w:rPr>
        <w:t xml:space="preserve"> transition period they</w:t>
      </w:r>
      <w:r w:rsidRPr="00711D8E">
        <w:rPr>
          <w:rFonts w:ascii="Arial" w:hAnsi="Arial" w:cs="Arial"/>
          <w:sz w:val="24"/>
          <w:szCs w:val="24"/>
        </w:rPr>
        <w:t xml:space="preserve"> </w:t>
      </w:r>
      <w:r w:rsidR="00550998">
        <w:rPr>
          <w:rFonts w:ascii="Arial" w:hAnsi="Arial" w:cs="Arial"/>
          <w:sz w:val="24"/>
          <w:szCs w:val="24"/>
        </w:rPr>
        <w:t>have been</w:t>
      </w:r>
      <w:r w:rsidR="00550998" w:rsidRPr="00711D8E">
        <w:rPr>
          <w:rFonts w:ascii="Arial" w:hAnsi="Arial" w:cs="Arial"/>
          <w:sz w:val="24"/>
          <w:szCs w:val="24"/>
        </w:rPr>
        <w:t xml:space="preserve"> </w:t>
      </w:r>
      <w:r w:rsidRPr="00711D8E">
        <w:rPr>
          <w:rFonts w:ascii="Arial" w:hAnsi="Arial" w:cs="Arial"/>
          <w:sz w:val="24"/>
          <w:szCs w:val="24"/>
        </w:rPr>
        <w:t>unable to provide current or refreshed data.  As soon</w:t>
      </w:r>
      <w:r w:rsidR="004710FA" w:rsidRPr="00711D8E">
        <w:rPr>
          <w:rFonts w:ascii="Arial" w:hAnsi="Arial" w:cs="Arial"/>
          <w:sz w:val="24"/>
          <w:szCs w:val="24"/>
        </w:rPr>
        <w:t xml:space="preserve"> as the data becomes </w:t>
      </w:r>
      <w:r w:rsidR="000D701D" w:rsidRPr="00711D8E">
        <w:rPr>
          <w:rFonts w:ascii="Arial" w:hAnsi="Arial" w:cs="Arial"/>
          <w:sz w:val="24"/>
          <w:szCs w:val="24"/>
        </w:rPr>
        <w:t>available, the</w:t>
      </w:r>
      <w:r w:rsidRPr="00711D8E">
        <w:rPr>
          <w:rFonts w:ascii="Arial" w:hAnsi="Arial" w:cs="Arial"/>
          <w:sz w:val="24"/>
          <w:szCs w:val="24"/>
        </w:rPr>
        <w:t xml:space="preserve"> reports will be published on </w:t>
      </w:r>
      <w:r w:rsidR="006D3DF5" w:rsidRPr="00711D8E">
        <w:rPr>
          <w:rFonts w:ascii="Arial" w:hAnsi="Arial" w:cs="Arial"/>
          <w:sz w:val="24"/>
          <w:szCs w:val="24"/>
        </w:rPr>
        <w:t>GOV.UK</w:t>
      </w:r>
      <w:r w:rsidRPr="00711D8E">
        <w:rPr>
          <w:rFonts w:ascii="Arial" w:hAnsi="Arial" w:cs="Arial"/>
          <w:sz w:val="24"/>
          <w:szCs w:val="24"/>
        </w:rPr>
        <w:t xml:space="preserve"> and data.</w:t>
      </w:r>
      <w:r w:rsidR="00C5018E" w:rsidRPr="00711D8E">
        <w:rPr>
          <w:rFonts w:ascii="Arial" w:hAnsi="Arial" w:cs="Arial"/>
          <w:sz w:val="24"/>
          <w:szCs w:val="24"/>
        </w:rPr>
        <w:t>gov.uk</w:t>
      </w:r>
      <w:r w:rsidR="00E85BFA" w:rsidRPr="00711D8E">
        <w:rPr>
          <w:rFonts w:ascii="Arial" w:hAnsi="Arial" w:cs="Arial"/>
          <w:sz w:val="24"/>
          <w:szCs w:val="24"/>
        </w:rPr>
        <w:t>.</w:t>
      </w:r>
      <w:r w:rsidRPr="00711D8E">
        <w:rPr>
          <w:rFonts w:ascii="Arial" w:hAnsi="Arial" w:cs="Arial"/>
          <w:sz w:val="24"/>
          <w:szCs w:val="24"/>
        </w:rPr>
        <w:t xml:space="preserve"> </w:t>
      </w:r>
    </w:p>
    <w:p w:rsidR="00FC0391" w:rsidRPr="002E08CF" w:rsidRDefault="00FC0391" w:rsidP="00166BA8">
      <w:pPr>
        <w:numPr>
          <w:ilvl w:val="0"/>
          <w:numId w:val="1"/>
        </w:numPr>
        <w:autoSpaceDE w:val="0"/>
        <w:autoSpaceDN w:val="0"/>
        <w:adjustRightInd w:val="0"/>
        <w:spacing w:after="0"/>
        <w:jc w:val="both"/>
        <w:rPr>
          <w:rFonts w:ascii="Arial" w:hAnsi="Arial" w:cs="Arial"/>
          <w:iCs/>
          <w:color w:val="000000"/>
          <w:sz w:val="24"/>
          <w:szCs w:val="24"/>
        </w:rPr>
      </w:pPr>
      <w:r w:rsidRPr="002E08CF">
        <w:rPr>
          <w:rFonts w:ascii="Arial" w:hAnsi="Arial" w:cs="Arial"/>
          <w:b/>
          <w:iCs/>
          <w:color w:val="000000"/>
          <w:sz w:val="24"/>
          <w:szCs w:val="24"/>
        </w:rPr>
        <w:t>DCLG</w:t>
      </w:r>
      <w:r w:rsidR="00025A02" w:rsidRPr="002E08CF">
        <w:rPr>
          <w:rFonts w:ascii="Arial" w:hAnsi="Arial" w:cs="Arial"/>
          <w:b/>
          <w:iCs/>
          <w:color w:val="000000"/>
          <w:sz w:val="24"/>
          <w:szCs w:val="24"/>
        </w:rPr>
        <w:t xml:space="preserve"> </w:t>
      </w:r>
      <w:r w:rsidR="00A84969" w:rsidRPr="002E08CF">
        <w:rPr>
          <w:rFonts w:ascii="Arial" w:hAnsi="Arial" w:cs="Arial"/>
          <w:sz w:val="24"/>
          <w:szCs w:val="24"/>
        </w:rPr>
        <w:t xml:space="preserve">reported </w:t>
      </w:r>
      <w:r w:rsidR="00025A02" w:rsidRPr="002E08CF">
        <w:rPr>
          <w:rFonts w:ascii="Arial" w:hAnsi="Arial" w:cs="Arial"/>
          <w:sz w:val="24"/>
          <w:szCs w:val="24"/>
        </w:rPr>
        <w:t>a delay in finalising the spend data</w:t>
      </w:r>
      <w:r w:rsidRPr="002E08CF">
        <w:rPr>
          <w:rFonts w:ascii="Arial" w:hAnsi="Arial" w:cs="Arial"/>
          <w:sz w:val="24"/>
          <w:szCs w:val="24"/>
        </w:rPr>
        <w:t xml:space="preserve"> and </w:t>
      </w:r>
      <w:r w:rsidR="00766739">
        <w:rPr>
          <w:rFonts w:ascii="Arial" w:hAnsi="Arial" w:cs="Arial"/>
          <w:sz w:val="24"/>
          <w:szCs w:val="24"/>
        </w:rPr>
        <w:t>Government Procurement Card</w:t>
      </w:r>
      <w:r w:rsidR="00934942">
        <w:rPr>
          <w:rFonts w:ascii="Arial" w:hAnsi="Arial" w:cs="Arial"/>
          <w:sz w:val="24"/>
          <w:szCs w:val="24"/>
        </w:rPr>
        <w:t xml:space="preserve"> data</w:t>
      </w:r>
      <w:r w:rsidR="00766739">
        <w:rPr>
          <w:rFonts w:ascii="Arial" w:hAnsi="Arial" w:cs="Arial"/>
          <w:sz w:val="24"/>
          <w:szCs w:val="24"/>
        </w:rPr>
        <w:t xml:space="preserve"> (</w:t>
      </w:r>
      <w:r w:rsidRPr="002E08CF">
        <w:rPr>
          <w:rFonts w:ascii="Arial" w:hAnsi="Arial" w:cs="Arial"/>
          <w:sz w:val="24"/>
          <w:szCs w:val="24"/>
        </w:rPr>
        <w:t>GPC</w:t>
      </w:r>
      <w:r w:rsidR="00766739">
        <w:rPr>
          <w:rFonts w:ascii="Arial" w:hAnsi="Arial" w:cs="Arial"/>
          <w:sz w:val="24"/>
          <w:szCs w:val="24"/>
        </w:rPr>
        <w:t>)</w:t>
      </w:r>
      <w:r w:rsidR="00025A02" w:rsidRPr="002E08CF">
        <w:rPr>
          <w:rFonts w:ascii="Arial" w:hAnsi="Arial" w:cs="Arial"/>
          <w:sz w:val="24"/>
          <w:szCs w:val="24"/>
        </w:rPr>
        <w:t xml:space="preserve"> for publishing due to </w:t>
      </w:r>
      <w:r w:rsidRPr="002E08CF">
        <w:rPr>
          <w:rFonts w:ascii="Arial" w:hAnsi="Arial" w:cs="Arial"/>
          <w:sz w:val="24"/>
          <w:szCs w:val="24"/>
        </w:rPr>
        <w:t>a change in</w:t>
      </w:r>
      <w:r w:rsidR="001F7BAC" w:rsidRPr="002E08CF">
        <w:rPr>
          <w:rFonts w:ascii="Arial" w:hAnsi="Arial" w:cs="Arial"/>
          <w:sz w:val="24"/>
          <w:szCs w:val="24"/>
        </w:rPr>
        <w:t xml:space="preserve"> the internal sign-off process. </w:t>
      </w:r>
      <w:r w:rsidRPr="002E08CF">
        <w:rPr>
          <w:rFonts w:ascii="Arial" w:hAnsi="Arial" w:cs="Arial"/>
          <w:sz w:val="24"/>
          <w:szCs w:val="24"/>
        </w:rPr>
        <w:t xml:space="preserve">This resulted in delays for Q4 reporting, as the process </w:t>
      </w:r>
      <w:r w:rsidR="001F7BAC" w:rsidRPr="002E08CF">
        <w:rPr>
          <w:rFonts w:ascii="Arial" w:hAnsi="Arial" w:cs="Arial"/>
          <w:sz w:val="24"/>
          <w:szCs w:val="24"/>
        </w:rPr>
        <w:t xml:space="preserve">was awaiting internal approval, </w:t>
      </w:r>
      <w:r w:rsidR="00CD46B1" w:rsidRPr="002E08CF">
        <w:rPr>
          <w:rFonts w:ascii="Arial" w:hAnsi="Arial" w:cs="Arial"/>
          <w:sz w:val="24"/>
          <w:szCs w:val="24"/>
        </w:rPr>
        <w:t xml:space="preserve">but </w:t>
      </w:r>
      <w:r w:rsidR="001B5853">
        <w:rPr>
          <w:rFonts w:ascii="Arial" w:hAnsi="Arial" w:cs="Arial"/>
          <w:sz w:val="24"/>
          <w:szCs w:val="24"/>
        </w:rPr>
        <w:t>the data in future returns should be more robust</w:t>
      </w:r>
      <w:r w:rsidR="001F7BAC" w:rsidRPr="002E08CF">
        <w:rPr>
          <w:rFonts w:ascii="Arial" w:hAnsi="Arial" w:cs="Arial"/>
          <w:sz w:val="24"/>
          <w:szCs w:val="24"/>
        </w:rPr>
        <w:t>.</w:t>
      </w:r>
      <w:r w:rsidR="001F7BAC" w:rsidRPr="002E08CF">
        <w:rPr>
          <w:rFonts w:ascii="Arial" w:hAnsi="Arial" w:cs="Arial"/>
          <w:iCs/>
          <w:color w:val="000000"/>
          <w:sz w:val="24"/>
          <w:szCs w:val="24"/>
        </w:rPr>
        <w:t xml:space="preserve"> </w:t>
      </w:r>
    </w:p>
    <w:p w:rsidR="00FC0391" w:rsidRPr="00FC0391" w:rsidRDefault="00FC0391" w:rsidP="00166BA8">
      <w:pPr>
        <w:autoSpaceDE w:val="0"/>
        <w:autoSpaceDN w:val="0"/>
        <w:adjustRightInd w:val="0"/>
        <w:spacing w:after="0"/>
        <w:ind w:left="720"/>
        <w:jc w:val="both"/>
        <w:rPr>
          <w:rFonts w:ascii="Arial" w:hAnsi="Arial" w:cs="Arial"/>
          <w:iCs/>
          <w:color w:val="000000"/>
          <w:sz w:val="24"/>
          <w:szCs w:val="24"/>
        </w:rPr>
      </w:pPr>
    </w:p>
    <w:p w:rsidR="00AC3AE6" w:rsidRDefault="00873DF0" w:rsidP="006178A6">
      <w:pPr>
        <w:pStyle w:val="ListParagraph"/>
        <w:numPr>
          <w:ilvl w:val="0"/>
          <w:numId w:val="1"/>
        </w:numPr>
        <w:autoSpaceDE w:val="0"/>
        <w:autoSpaceDN w:val="0"/>
        <w:adjustRightInd w:val="0"/>
        <w:spacing w:after="0"/>
        <w:ind w:left="714" w:hanging="357"/>
        <w:jc w:val="both"/>
        <w:rPr>
          <w:rFonts w:ascii="Arial" w:hAnsi="Arial" w:cs="Arial"/>
          <w:sz w:val="24"/>
          <w:szCs w:val="24"/>
        </w:rPr>
      </w:pPr>
      <w:r w:rsidRPr="0050165C">
        <w:rPr>
          <w:rFonts w:ascii="Arial" w:hAnsi="Arial" w:cs="Arial"/>
          <w:b/>
          <w:iCs/>
          <w:color w:val="000000"/>
          <w:sz w:val="24"/>
          <w:szCs w:val="24"/>
        </w:rPr>
        <w:t xml:space="preserve">Senior Officials Travel Reports </w:t>
      </w:r>
      <w:r w:rsidRPr="00531E7F">
        <w:rPr>
          <w:rFonts w:ascii="Arial" w:hAnsi="Arial" w:cs="Arial"/>
          <w:sz w:val="24"/>
          <w:szCs w:val="24"/>
        </w:rPr>
        <w:t xml:space="preserve">were published for the first time this quarter (January). </w:t>
      </w:r>
      <w:r w:rsidR="00253A64" w:rsidRPr="00531E7F">
        <w:rPr>
          <w:rFonts w:ascii="Arial" w:hAnsi="Arial" w:cs="Arial"/>
          <w:sz w:val="24"/>
          <w:szCs w:val="24"/>
        </w:rPr>
        <w:t>The report includes bookings made through central booking systems and follows a Ministerial commitment given last summer to publish this data across government.</w:t>
      </w:r>
      <w:r w:rsidR="00253A64" w:rsidRPr="0050165C">
        <w:rPr>
          <w:rFonts w:ascii="Arial" w:hAnsi="Arial" w:cs="Arial"/>
          <w:iCs/>
          <w:color w:val="000000"/>
          <w:sz w:val="24"/>
          <w:szCs w:val="24"/>
        </w:rPr>
        <w:t xml:space="preserve"> </w:t>
      </w:r>
      <w:r w:rsidR="001D2AE1" w:rsidRPr="0050165C">
        <w:rPr>
          <w:rFonts w:ascii="Arial" w:hAnsi="Arial" w:cs="Arial"/>
          <w:b/>
          <w:iCs/>
          <w:color w:val="000000"/>
          <w:sz w:val="24"/>
          <w:szCs w:val="24"/>
        </w:rPr>
        <w:t>DC</w:t>
      </w:r>
      <w:r w:rsidR="00FC0391" w:rsidRPr="0050165C">
        <w:rPr>
          <w:rFonts w:ascii="Arial" w:hAnsi="Arial" w:cs="Arial"/>
          <w:b/>
          <w:iCs/>
          <w:color w:val="000000"/>
          <w:sz w:val="24"/>
          <w:szCs w:val="24"/>
        </w:rPr>
        <w:t>MS</w:t>
      </w:r>
      <w:r w:rsidR="002C2332" w:rsidRPr="0050165C">
        <w:rPr>
          <w:rFonts w:ascii="Arial" w:hAnsi="Arial" w:cs="Arial"/>
          <w:b/>
          <w:iCs/>
          <w:color w:val="000000"/>
          <w:sz w:val="24"/>
          <w:szCs w:val="24"/>
        </w:rPr>
        <w:t>,</w:t>
      </w:r>
      <w:r w:rsidR="003B33C8" w:rsidRPr="0050165C">
        <w:rPr>
          <w:rFonts w:ascii="Arial" w:hAnsi="Arial" w:cs="Arial"/>
          <w:b/>
          <w:iCs/>
          <w:color w:val="000000"/>
          <w:sz w:val="24"/>
          <w:szCs w:val="24"/>
        </w:rPr>
        <w:t xml:space="preserve"> FCO</w:t>
      </w:r>
      <w:r w:rsidR="0050165C" w:rsidRPr="0050165C">
        <w:rPr>
          <w:rFonts w:ascii="Arial" w:hAnsi="Arial" w:cs="Arial"/>
          <w:b/>
          <w:iCs/>
          <w:color w:val="000000"/>
          <w:sz w:val="24"/>
          <w:szCs w:val="24"/>
        </w:rPr>
        <w:t>, DfT</w:t>
      </w:r>
      <w:r w:rsidR="00CD7A13">
        <w:rPr>
          <w:rFonts w:ascii="Arial" w:hAnsi="Arial" w:cs="Arial"/>
          <w:b/>
          <w:iCs/>
          <w:color w:val="000000"/>
          <w:sz w:val="24"/>
          <w:szCs w:val="24"/>
        </w:rPr>
        <w:t>,</w:t>
      </w:r>
      <w:r w:rsidR="002C2332" w:rsidRPr="0050165C">
        <w:rPr>
          <w:rFonts w:ascii="Arial" w:hAnsi="Arial" w:cs="Arial"/>
          <w:b/>
          <w:iCs/>
          <w:color w:val="000000"/>
          <w:sz w:val="24"/>
          <w:szCs w:val="24"/>
        </w:rPr>
        <w:t xml:space="preserve"> MoD</w:t>
      </w:r>
      <w:r w:rsidR="00AC3AE6" w:rsidRPr="0050165C">
        <w:rPr>
          <w:rFonts w:ascii="Arial" w:hAnsi="Arial" w:cs="Arial"/>
          <w:iCs/>
          <w:color w:val="000000"/>
          <w:sz w:val="24"/>
          <w:szCs w:val="24"/>
        </w:rPr>
        <w:t xml:space="preserve"> and </w:t>
      </w:r>
      <w:r w:rsidR="00AC3AE6" w:rsidRPr="0050165C">
        <w:rPr>
          <w:rFonts w:ascii="Arial" w:hAnsi="Arial" w:cs="Arial"/>
          <w:b/>
          <w:iCs/>
          <w:color w:val="000000"/>
          <w:sz w:val="24"/>
          <w:szCs w:val="24"/>
        </w:rPr>
        <w:t>HMT</w:t>
      </w:r>
      <w:r w:rsidR="00AC3AE6" w:rsidRPr="0050165C">
        <w:rPr>
          <w:rFonts w:ascii="Arial" w:hAnsi="Arial" w:cs="Arial"/>
          <w:iCs/>
          <w:color w:val="000000"/>
          <w:sz w:val="24"/>
          <w:szCs w:val="24"/>
        </w:rPr>
        <w:t xml:space="preserve"> </w:t>
      </w:r>
      <w:r w:rsidR="00360178" w:rsidRPr="00531E7F">
        <w:rPr>
          <w:rFonts w:ascii="Arial" w:hAnsi="Arial" w:cs="Arial"/>
          <w:sz w:val="24"/>
          <w:szCs w:val="24"/>
        </w:rPr>
        <w:t>did not</w:t>
      </w:r>
      <w:r w:rsidR="00AC3AE6" w:rsidRPr="00531E7F">
        <w:rPr>
          <w:rFonts w:ascii="Arial" w:hAnsi="Arial" w:cs="Arial"/>
          <w:sz w:val="24"/>
          <w:szCs w:val="24"/>
        </w:rPr>
        <w:t xml:space="preserve"> </w:t>
      </w:r>
      <w:r w:rsidR="00CD46B1" w:rsidRPr="00531E7F">
        <w:rPr>
          <w:rFonts w:ascii="Arial" w:hAnsi="Arial" w:cs="Arial"/>
          <w:sz w:val="24"/>
          <w:szCs w:val="24"/>
        </w:rPr>
        <w:t>meet the deadline for these publications</w:t>
      </w:r>
      <w:r w:rsidR="002C2332" w:rsidRPr="00531E7F">
        <w:rPr>
          <w:rFonts w:ascii="Arial" w:hAnsi="Arial" w:cs="Arial"/>
          <w:sz w:val="24"/>
          <w:szCs w:val="24"/>
        </w:rPr>
        <w:t>.</w:t>
      </w:r>
      <w:r w:rsidR="00AC3AE6" w:rsidRPr="00531E7F">
        <w:rPr>
          <w:rFonts w:ascii="Arial" w:hAnsi="Arial" w:cs="Arial"/>
          <w:sz w:val="24"/>
          <w:szCs w:val="24"/>
        </w:rPr>
        <w:t xml:space="preserve"> </w:t>
      </w:r>
      <w:r w:rsidR="002C2332" w:rsidRPr="00531E7F">
        <w:rPr>
          <w:rFonts w:ascii="Arial" w:hAnsi="Arial" w:cs="Arial"/>
          <w:sz w:val="24"/>
          <w:szCs w:val="24"/>
        </w:rPr>
        <w:t xml:space="preserve">The Cabinet Office is working with these departments to </w:t>
      </w:r>
      <w:r w:rsidR="002C2332" w:rsidRPr="002E08CF">
        <w:rPr>
          <w:rFonts w:ascii="Arial" w:hAnsi="Arial" w:cs="Arial"/>
          <w:sz w:val="24"/>
          <w:szCs w:val="24"/>
        </w:rPr>
        <w:t xml:space="preserve">clarify the requirements </w:t>
      </w:r>
      <w:r w:rsidR="00B01DB4" w:rsidRPr="002E08CF">
        <w:rPr>
          <w:rFonts w:ascii="Arial" w:hAnsi="Arial" w:cs="Arial"/>
          <w:sz w:val="24"/>
          <w:szCs w:val="24"/>
        </w:rPr>
        <w:t>of</w:t>
      </w:r>
      <w:r w:rsidR="002C2332" w:rsidRPr="002E08CF">
        <w:rPr>
          <w:rFonts w:ascii="Arial" w:hAnsi="Arial" w:cs="Arial"/>
          <w:sz w:val="24"/>
          <w:szCs w:val="24"/>
        </w:rPr>
        <w:t xml:space="preserve"> this new dataset, </w:t>
      </w:r>
      <w:r w:rsidR="00253A64" w:rsidRPr="002E08CF">
        <w:rPr>
          <w:rFonts w:ascii="Arial" w:hAnsi="Arial" w:cs="Arial"/>
          <w:sz w:val="24"/>
          <w:szCs w:val="24"/>
        </w:rPr>
        <w:t xml:space="preserve">and </w:t>
      </w:r>
      <w:r w:rsidR="002C2332" w:rsidRPr="002E08CF">
        <w:rPr>
          <w:rFonts w:ascii="Arial" w:hAnsi="Arial" w:cs="Arial"/>
          <w:sz w:val="24"/>
          <w:szCs w:val="24"/>
        </w:rPr>
        <w:t>to ensure timel</w:t>
      </w:r>
      <w:r w:rsidR="00B90991" w:rsidRPr="002E08CF">
        <w:rPr>
          <w:rFonts w:ascii="Arial" w:hAnsi="Arial" w:cs="Arial"/>
          <w:sz w:val="24"/>
          <w:szCs w:val="24"/>
        </w:rPr>
        <w:t>y delivery for the next return</w:t>
      </w:r>
      <w:r w:rsidR="002C2332" w:rsidRPr="002E08CF">
        <w:rPr>
          <w:rFonts w:ascii="Arial" w:hAnsi="Arial" w:cs="Arial"/>
          <w:sz w:val="24"/>
          <w:szCs w:val="24"/>
        </w:rPr>
        <w:t xml:space="preserve">. </w:t>
      </w:r>
    </w:p>
    <w:p w:rsidR="006178A6" w:rsidRPr="002E08CF" w:rsidRDefault="006178A6" w:rsidP="006178A6">
      <w:pPr>
        <w:pStyle w:val="ListParagraph"/>
        <w:autoSpaceDE w:val="0"/>
        <w:autoSpaceDN w:val="0"/>
        <w:adjustRightInd w:val="0"/>
        <w:spacing w:after="0" w:line="240" w:lineRule="auto"/>
        <w:jc w:val="both"/>
        <w:rPr>
          <w:rFonts w:ascii="Arial" w:hAnsi="Arial" w:cs="Arial"/>
          <w:sz w:val="24"/>
          <w:szCs w:val="24"/>
        </w:rPr>
      </w:pPr>
    </w:p>
    <w:p w:rsidR="003B33C8" w:rsidRPr="00531E7F" w:rsidRDefault="003B33C8" w:rsidP="00166BA8">
      <w:pPr>
        <w:numPr>
          <w:ilvl w:val="0"/>
          <w:numId w:val="1"/>
        </w:numPr>
        <w:autoSpaceDE w:val="0"/>
        <w:autoSpaceDN w:val="0"/>
        <w:adjustRightInd w:val="0"/>
        <w:spacing w:after="0"/>
        <w:jc w:val="both"/>
        <w:rPr>
          <w:rFonts w:ascii="Arial" w:hAnsi="Arial" w:cs="Arial"/>
          <w:sz w:val="24"/>
          <w:szCs w:val="24"/>
        </w:rPr>
      </w:pPr>
      <w:r w:rsidRPr="002E08CF">
        <w:rPr>
          <w:rFonts w:ascii="Arial" w:hAnsi="Arial" w:cs="Arial"/>
          <w:b/>
          <w:iCs/>
          <w:color w:val="000000"/>
          <w:sz w:val="24"/>
          <w:szCs w:val="24"/>
        </w:rPr>
        <w:t>FCO</w:t>
      </w:r>
      <w:r w:rsidRPr="002E08CF">
        <w:rPr>
          <w:rFonts w:ascii="Arial" w:hAnsi="Arial" w:cs="Arial"/>
          <w:iCs/>
          <w:color w:val="000000"/>
          <w:sz w:val="24"/>
          <w:szCs w:val="24"/>
        </w:rPr>
        <w:t xml:space="preserve"> </w:t>
      </w:r>
      <w:r w:rsidR="00082028">
        <w:rPr>
          <w:rFonts w:ascii="Arial" w:hAnsi="Arial" w:cs="Arial"/>
          <w:sz w:val="24"/>
          <w:szCs w:val="24"/>
        </w:rPr>
        <w:t>was</w:t>
      </w:r>
      <w:r w:rsidRPr="002E08CF">
        <w:rPr>
          <w:rFonts w:ascii="Arial" w:hAnsi="Arial" w:cs="Arial"/>
          <w:sz w:val="24"/>
          <w:szCs w:val="24"/>
        </w:rPr>
        <w:t xml:space="preserve"> unable to publish the re</w:t>
      </w:r>
      <w:r w:rsidR="00253A64" w:rsidRPr="002E08CF">
        <w:rPr>
          <w:rFonts w:ascii="Arial" w:hAnsi="Arial" w:cs="Arial"/>
          <w:sz w:val="24"/>
          <w:szCs w:val="24"/>
        </w:rPr>
        <w:t>al time contract information</w:t>
      </w:r>
      <w:r w:rsidR="00B01DB4" w:rsidRPr="002E08CF">
        <w:rPr>
          <w:rFonts w:ascii="Arial" w:hAnsi="Arial" w:cs="Arial"/>
          <w:sz w:val="24"/>
          <w:szCs w:val="24"/>
        </w:rPr>
        <w:t xml:space="preserve"> for Q4. </w:t>
      </w:r>
      <w:r w:rsidR="002E08CF" w:rsidRPr="002E08CF">
        <w:rPr>
          <w:rFonts w:ascii="Arial" w:hAnsi="Arial" w:cs="Arial"/>
          <w:sz w:val="24"/>
          <w:szCs w:val="24"/>
        </w:rPr>
        <w:t>FCO previously had an exemption from publishing this data, which has now been lifted. FCO are now</w:t>
      </w:r>
      <w:r w:rsidRPr="002E08CF">
        <w:rPr>
          <w:rFonts w:ascii="Arial" w:hAnsi="Arial" w:cs="Arial"/>
          <w:sz w:val="24"/>
          <w:szCs w:val="24"/>
        </w:rPr>
        <w:t xml:space="preserve"> reviewing and altering existing</w:t>
      </w:r>
      <w:r w:rsidRPr="00531E7F">
        <w:rPr>
          <w:rFonts w:ascii="Arial" w:hAnsi="Arial" w:cs="Arial"/>
          <w:sz w:val="24"/>
          <w:szCs w:val="24"/>
        </w:rPr>
        <w:t xml:space="preserve"> work processes to accommodate this requirement.</w:t>
      </w:r>
      <w:r w:rsidR="009A35AC">
        <w:rPr>
          <w:rFonts w:ascii="Arial" w:hAnsi="Arial" w:cs="Arial"/>
          <w:sz w:val="24"/>
          <w:szCs w:val="24"/>
        </w:rPr>
        <w:t xml:space="preserve"> In addition, for national security reasons, FCO </w:t>
      </w:r>
      <w:r w:rsidR="001B5853">
        <w:rPr>
          <w:rFonts w:ascii="Arial" w:hAnsi="Arial" w:cs="Arial"/>
          <w:sz w:val="24"/>
          <w:szCs w:val="24"/>
        </w:rPr>
        <w:t xml:space="preserve">has </w:t>
      </w:r>
      <w:r w:rsidR="009A35AC">
        <w:rPr>
          <w:rFonts w:ascii="Arial" w:hAnsi="Arial" w:cs="Arial"/>
          <w:sz w:val="24"/>
          <w:szCs w:val="24"/>
        </w:rPr>
        <w:t>difficulty meeting the Senior Officials Travel Reporting requirement. Cabinet Office and FCO are working together to resolve the difficulties</w:t>
      </w:r>
      <w:r w:rsidR="00934942">
        <w:rPr>
          <w:rFonts w:ascii="Arial" w:hAnsi="Arial" w:cs="Arial"/>
          <w:sz w:val="24"/>
          <w:szCs w:val="24"/>
        </w:rPr>
        <w:t>, and</w:t>
      </w:r>
      <w:r w:rsidR="009A35AC">
        <w:rPr>
          <w:rFonts w:ascii="Arial" w:hAnsi="Arial" w:cs="Arial"/>
          <w:sz w:val="24"/>
          <w:szCs w:val="24"/>
        </w:rPr>
        <w:t xml:space="preserve"> to facilitate compliance. </w:t>
      </w:r>
    </w:p>
    <w:p w:rsidR="002D56B4" w:rsidRPr="006250BE" w:rsidRDefault="002D56B4" w:rsidP="00166BA8">
      <w:pPr>
        <w:autoSpaceDE w:val="0"/>
        <w:autoSpaceDN w:val="0"/>
        <w:adjustRightInd w:val="0"/>
        <w:spacing w:after="0"/>
        <w:jc w:val="both"/>
        <w:rPr>
          <w:rFonts w:ascii="Arial" w:hAnsi="Arial" w:cs="Arial"/>
          <w:iCs/>
          <w:color w:val="000000"/>
          <w:sz w:val="24"/>
          <w:szCs w:val="24"/>
        </w:rPr>
      </w:pPr>
    </w:p>
    <w:p w:rsidR="00CD2AB8" w:rsidRPr="002E08CF" w:rsidRDefault="002D56B4" w:rsidP="00166BA8">
      <w:pPr>
        <w:numPr>
          <w:ilvl w:val="0"/>
          <w:numId w:val="1"/>
        </w:numPr>
        <w:autoSpaceDE w:val="0"/>
        <w:autoSpaceDN w:val="0"/>
        <w:adjustRightInd w:val="0"/>
        <w:spacing w:after="0"/>
        <w:jc w:val="both"/>
        <w:rPr>
          <w:rFonts w:ascii="Arial" w:hAnsi="Arial" w:cs="Arial"/>
          <w:iCs/>
          <w:color w:val="000000"/>
          <w:sz w:val="24"/>
          <w:szCs w:val="24"/>
        </w:rPr>
      </w:pPr>
      <w:r w:rsidRPr="002E08CF">
        <w:rPr>
          <w:rFonts w:ascii="Arial" w:hAnsi="Arial" w:cs="Arial"/>
          <w:b/>
          <w:iCs/>
          <w:color w:val="000000"/>
          <w:sz w:val="24"/>
          <w:szCs w:val="24"/>
        </w:rPr>
        <w:t>HM</w:t>
      </w:r>
      <w:r w:rsidR="00CD2AB8" w:rsidRPr="002E08CF">
        <w:rPr>
          <w:rFonts w:ascii="Arial" w:hAnsi="Arial" w:cs="Arial"/>
          <w:b/>
          <w:iCs/>
          <w:color w:val="000000"/>
          <w:sz w:val="24"/>
          <w:szCs w:val="24"/>
        </w:rPr>
        <w:t xml:space="preserve">T </w:t>
      </w:r>
      <w:r w:rsidR="00CD2AB8" w:rsidRPr="002E08CF">
        <w:rPr>
          <w:rFonts w:ascii="Arial" w:hAnsi="Arial" w:cs="Arial"/>
          <w:sz w:val="24"/>
          <w:szCs w:val="24"/>
        </w:rPr>
        <w:t xml:space="preserve">reported that the </w:t>
      </w:r>
      <w:r w:rsidR="00F747F7" w:rsidRPr="002E08CF">
        <w:rPr>
          <w:rFonts w:ascii="Arial" w:hAnsi="Arial" w:cs="Arial"/>
          <w:sz w:val="24"/>
          <w:szCs w:val="24"/>
        </w:rPr>
        <w:t>pu</w:t>
      </w:r>
      <w:r w:rsidR="00CD2AB8" w:rsidRPr="002E08CF">
        <w:rPr>
          <w:rFonts w:ascii="Arial" w:hAnsi="Arial" w:cs="Arial"/>
          <w:sz w:val="24"/>
          <w:szCs w:val="24"/>
        </w:rPr>
        <w:t>b</w:t>
      </w:r>
      <w:r w:rsidR="00F747F7" w:rsidRPr="002E08CF">
        <w:rPr>
          <w:rFonts w:ascii="Arial" w:hAnsi="Arial" w:cs="Arial"/>
          <w:sz w:val="24"/>
          <w:szCs w:val="24"/>
        </w:rPr>
        <w:t xml:space="preserve">lication of </w:t>
      </w:r>
      <w:r w:rsidR="00B90991" w:rsidRPr="002E08CF">
        <w:rPr>
          <w:rFonts w:ascii="Arial" w:hAnsi="Arial" w:cs="Arial"/>
          <w:sz w:val="24"/>
          <w:szCs w:val="24"/>
        </w:rPr>
        <w:t>the Workforce Management data was</w:t>
      </w:r>
      <w:r w:rsidR="00F747F7" w:rsidRPr="002E08CF">
        <w:rPr>
          <w:rFonts w:ascii="Arial" w:hAnsi="Arial" w:cs="Arial"/>
          <w:sz w:val="24"/>
          <w:szCs w:val="24"/>
        </w:rPr>
        <w:t xml:space="preserve"> </w:t>
      </w:r>
      <w:r w:rsidR="00B01DB4" w:rsidRPr="002E08CF">
        <w:rPr>
          <w:rFonts w:ascii="Arial" w:hAnsi="Arial" w:cs="Arial"/>
          <w:sz w:val="24"/>
          <w:szCs w:val="24"/>
        </w:rPr>
        <w:t>not achieved in time due to delays in the clearance process.</w:t>
      </w:r>
    </w:p>
    <w:p w:rsidR="002C2332" w:rsidRPr="002C2332" w:rsidRDefault="002C2332" w:rsidP="00166BA8">
      <w:pPr>
        <w:autoSpaceDE w:val="0"/>
        <w:autoSpaceDN w:val="0"/>
        <w:adjustRightInd w:val="0"/>
        <w:spacing w:after="0"/>
        <w:ind w:left="720"/>
        <w:jc w:val="both"/>
        <w:rPr>
          <w:rFonts w:ascii="Arial" w:hAnsi="Arial" w:cs="Arial"/>
          <w:iCs/>
          <w:color w:val="000000"/>
          <w:sz w:val="24"/>
          <w:szCs w:val="24"/>
        </w:rPr>
      </w:pPr>
    </w:p>
    <w:p w:rsidR="00042FF0" w:rsidRPr="00531E7F" w:rsidRDefault="002C2332" w:rsidP="00166BA8">
      <w:pPr>
        <w:numPr>
          <w:ilvl w:val="0"/>
          <w:numId w:val="1"/>
        </w:numPr>
        <w:autoSpaceDE w:val="0"/>
        <w:autoSpaceDN w:val="0"/>
        <w:adjustRightInd w:val="0"/>
        <w:spacing w:after="0"/>
        <w:jc w:val="both"/>
        <w:rPr>
          <w:rFonts w:ascii="Arial" w:hAnsi="Arial" w:cs="Arial"/>
          <w:sz w:val="24"/>
          <w:szCs w:val="24"/>
        </w:rPr>
      </w:pPr>
      <w:r w:rsidRPr="002C2332">
        <w:rPr>
          <w:rFonts w:ascii="Arial" w:hAnsi="Arial" w:cs="Arial"/>
          <w:b/>
          <w:iCs/>
          <w:color w:val="000000"/>
          <w:sz w:val="24"/>
          <w:szCs w:val="24"/>
        </w:rPr>
        <w:t>MOD</w:t>
      </w:r>
      <w:r w:rsidRPr="002C2332">
        <w:rPr>
          <w:rFonts w:ascii="Arial" w:hAnsi="Arial" w:cs="Arial"/>
          <w:iCs/>
          <w:color w:val="000000"/>
          <w:sz w:val="24"/>
          <w:szCs w:val="24"/>
        </w:rPr>
        <w:t xml:space="preserve"> </w:t>
      </w:r>
      <w:r w:rsidR="001B5853">
        <w:rPr>
          <w:rFonts w:ascii="Arial" w:hAnsi="Arial" w:cs="Arial"/>
          <w:sz w:val="24"/>
          <w:szCs w:val="24"/>
        </w:rPr>
        <w:t>was</w:t>
      </w:r>
      <w:r w:rsidR="001B5853" w:rsidRPr="00531E7F">
        <w:rPr>
          <w:rFonts w:ascii="Arial" w:hAnsi="Arial" w:cs="Arial"/>
          <w:sz w:val="24"/>
          <w:szCs w:val="24"/>
        </w:rPr>
        <w:t xml:space="preserve"> </w:t>
      </w:r>
      <w:r w:rsidRPr="00531E7F">
        <w:rPr>
          <w:rFonts w:ascii="Arial" w:hAnsi="Arial" w:cs="Arial"/>
          <w:sz w:val="24"/>
          <w:szCs w:val="24"/>
        </w:rPr>
        <w:t xml:space="preserve">behind on </w:t>
      </w:r>
      <w:r w:rsidR="001B5853">
        <w:rPr>
          <w:rFonts w:ascii="Arial" w:hAnsi="Arial" w:cs="Arial"/>
          <w:sz w:val="24"/>
          <w:szCs w:val="24"/>
        </w:rPr>
        <w:t xml:space="preserve">the </w:t>
      </w:r>
      <w:r w:rsidRPr="00531E7F">
        <w:rPr>
          <w:rFonts w:ascii="Arial" w:hAnsi="Arial" w:cs="Arial"/>
          <w:sz w:val="24"/>
          <w:szCs w:val="24"/>
        </w:rPr>
        <w:t xml:space="preserve">publication of Senior Officials travel and hospitality data pending verification of some expenditure. MOD </w:t>
      </w:r>
      <w:r w:rsidR="001B5853">
        <w:rPr>
          <w:rFonts w:ascii="Arial" w:hAnsi="Arial" w:cs="Arial"/>
          <w:sz w:val="24"/>
          <w:szCs w:val="24"/>
        </w:rPr>
        <w:t>has been</w:t>
      </w:r>
      <w:r w:rsidR="001B5853" w:rsidRPr="00531E7F">
        <w:rPr>
          <w:rFonts w:ascii="Arial" w:hAnsi="Arial" w:cs="Arial"/>
          <w:sz w:val="24"/>
          <w:szCs w:val="24"/>
        </w:rPr>
        <w:t xml:space="preserve"> </w:t>
      </w:r>
      <w:r w:rsidRPr="00531E7F">
        <w:rPr>
          <w:rFonts w:ascii="Arial" w:hAnsi="Arial" w:cs="Arial"/>
          <w:sz w:val="24"/>
          <w:szCs w:val="24"/>
        </w:rPr>
        <w:t>working to rectify this issue.</w:t>
      </w:r>
    </w:p>
    <w:p w:rsidR="00CD7A13" w:rsidRPr="00CD7A13" w:rsidRDefault="00CD7A13" w:rsidP="00CD7A13">
      <w:pPr>
        <w:autoSpaceDE w:val="0"/>
        <w:autoSpaceDN w:val="0"/>
        <w:adjustRightInd w:val="0"/>
        <w:spacing w:after="0"/>
        <w:ind w:left="720"/>
        <w:jc w:val="both"/>
        <w:rPr>
          <w:rFonts w:ascii="Arial" w:hAnsi="Arial" w:cs="Arial"/>
          <w:b/>
          <w:sz w:val="24"/>
          <w:szCs w:val="24"/>
        </w:rPr>
      </w:pPr>
    </w:p>
    <w:p w:rsidR="00873DF0" w:rsidRPr="00D932E9" w:rsidRDefault="008A0A1A" w:rsidP="00166BA8">
      <w:pPr>
        <w:numPr>
          <w:ilvl w:val="0"/>
          <w:numId w:val="1"/>
        </w:numPr>
        <w:autoSpaceDE w:val="0"/>
        <w:autoSpaceDN w:val="0"/>
        <w:adjustRightInd w:val="0"/>
        <w:spacing w:after="0"/>
        <w:jc w:val="both"/>
        <w:rPr>
          <w:rFonts w:ascii="Arial" w:hAnsi="Arial" w:cs="Arial"/>
          <w:b/>
          <w:sz w:val="24"/>
          <w:szCs w:val="24"/>
        </w:rPr>
      </w:pPr>
      <w:r w:rsidRPr="00D932E9">
        <w:rPr>
          <w:rFonts w:ascii="Arial" w:hAnsi="Arial" w:cs="Arial"/>
          <w:b/>
          <w:iCs/>
          <w:color w:val="000000"/>
          <w:sz w:val="24"/>
          <w:szCs w:val="24"/>
        </w:rPr>
        <w:t>MOJ</w:t>
      </w:r>
      <w:r w:rsidRPr="00D932E9">
        <w:rPr>
          <w:rFonts w:ascii="Arial" w:hAnsi="Arial" w:cs="Arial"/>
          <w:iCs/>
          <w:color w:val="000000"/>
          <w:sz w:val="24"/>
          <w:szCs w:val="24"/>
        </w:rPr>
        <w:t xml:space="preserve"> </w:t>
      </w:r>
      <w:r w:rsidR="001B5853">
        <w:rPr>
          <w:rFonts w:ascii="Arial" w:hAnsi="Arial" w:cs="Arial"/>
          <w:sz w:val="24"/>
          <w:szCs w:val="24"/>
        </w:rPr>
        <w:t>was</w:t>
      </w:r>
      <w:r w:rsidR="001B5853" w:rsidRPr="00D932E9">
        <w:rPr>
          <w:rFonts w:ascii="Arial" w:hAnsi="Arial" w:cs="Arial"/>
          <w:sz w:val="24"/>
          <w:szCs w:val="24"/>
        </w:rPr>
        <w:t xml:space="preserve"> </w:t>
      </w:r>
      <w:r w:rsidR="00D932E9" w:rsidRPr="00D932E9">
        <w:rPr>
          <w:rFonts w:ascii="Arial" w:hAnsi="Arial" w:cs="Arial"/>
          <w:sz w:val="24"/>
          <w:szCs w:val="24"/>
        </w:rPr>
        <w:t>behind on the</w:t>
      </w:r>
      <w:r w:rsidRPr="00D932E9">
        <w:rPr>
          <w:rFonts w:ascii="Arial" w:hAnsi="Arial" w:cs="Arial"/>
          <w:sz w:val="24"/>
          <w:szCs w:val="24"/>
        </w:rPr>
        <w:t xml:space="preserve"> publication of spend over £25k and </w:t>
      </w:r>
      <w:smartTag w:uri="urn:schemas-microsoft-com:office:smarttags" w:element="stockticker">
        <w:r w:rsidRPr="00D932E9">
          <w:rPr>
            <w:rFonts w:ascii="Arial" w:hAnsi="Arial" w:cs="Arial"/>
            <w:sz w:val="24"/>
            <w:szCs w:val="24"/>
          </w:rPr>
          <w:t>GPC</w:t>
        </w:r>
      </w:smartTag>
      <w:r w:rsidRPr="00D932E9">
        <w:rPr>
          <w:rFonts w:ascii="Arial" w:hAnsi="Arial" w:cs="Arial"/>
          <w:sz w:val="24"/>
          <w:szCs w:val="24"/>
        </w:rPr>
        <w:t xml:space="preserve"> data. </w:t>
      </w:r>
      <w:r w:rsidR="00D932E9" w:rsidRPr="00D932E9">
        <w:rPr>
          <w:rFonts w:ascii="Arial" w:hAnsi="Arial" w:cs="Arial"/>
          <w:sz w:val="24"/>
          <w:szCs w:val="24"/>
        </w:rPr>
        <w:t>Work is ongoing to clear the backlog of data</w:t>
      </w:r>
      <w:r w:rsidR="00934942">
        <w:rPr>
          <w:rFonts w:ascii="Arial" w:hAnsi="Arial" w:cs="Arial"/>
          <w:sz w:val="24"/>
          <w:szCs w:val="24"/>
        </w:rPr>
        <w:t>,</w:t>
      </w:r>
      <w:r w:rsidR="00D932E9" w:rsidRPr="00D932E9">
        <w:rPr>
          <w:rFonts w:ascii="Arial" w:hAnsi="Arial" w:cs="Arial"/>
          <w:sz w:val="24"/>
          <w:szCs w:val="24"/>
        </w:rPr>
        <w:t xml:space="preserve"> and Q4 13-14 data will be published in due course. </w:t>
      </w:r>
    </w:p>
    <w:p w:rsidR="00D932E9" w:rsidRDefault="00D932E9" w:rsidP="00166BA8">
      <w:pPr>
        <w:pStyle w:val="ListParagraph"/>
        <w:jc w:val="both"/>
        <w:rPr>
          <w:rFonts w:ascii="Arial" w:hAnsi="Arial" w:cs="Arial"/>
          <w:b/>
          <w:sz w:val="24"/>
          <w:szCs w:val="24"/>
        </w:rPr>
      </w:pPr>
    </w:p>
    <w:p w:rsidR="00D932E9" w:rsidRDefault="00D932E9" w:rsidP="00166BA8">
      <w:pPr>
        <w:autoSpaceDE w:val="0"/>
        <w:autoSpaceDN w:val="0"/>
        <w:adjustRightInd w:val="0"/>
        <w:spacing w:after="0"/>
        <w:ind w:left="720"/>
        <w:jc w:val="both"/>
        <w:rPr>
          <w:rFonts w:ascii="Arial" w:hAnsi="Arial" w:cs="Arial"/>
          <w:b/>
          <w:sz w:val="24"/>
          <w:szCs w:val="24"/>
        </w:rPr>
      </w:pPr>
    </w:p>
    <w:p w:rsidR="00CD7A13" w:rsidRDefault="00CD7A13">
      <w:pPr>
        <w:spacing w:after="0" w:line="240" w:lineRule="auto"/>
        <w:rPr>
          <w:rFonts w:ascii="Arial" w:hAnsi="Arial" w:cs="Arial"/>
          <w:b/>
          <w:sz w:val="24"/>
          <w:szCs w:val="24"/>
        </w:rPr>
      </w:pPr>
      <w:r>
        <w:rPr>
          <w:rFonts w:ascii="Arial" w:hAnsi="Arial" w:cs="Arial"/>
          <w:b/>
          <w:sz w:val="24"/>
          <w:szCs w:val="24"/>
        </w:rPr>
        <w:br w:type="page"/>
      </w:r>
    </w:p>
    <w:p w:rsidR="002D56B4" w:rsidRPr="006250BE" w:rsidRDefault="002D56B4" w:rsidP="00166BA8">
      <w:pPr>
        <w:autoSpaceDE w:val="0"/>
        <w:autoSpaceDN w:val="0"/>
        <w:adjustRightInd w:val="0"/>
        <w:spacing w:after="0"/>
        <w:jc w:val="both"/>
        <w:rPr>
          <w:rFonts w:ascii="Arial" w:hAnsi="Arial" w:cs="Arial"/>
          <w:b/>
          <w:sz w:val="24"/>
          <w:szCs w:val="24"/>
        </w:rPr>
      </w:pPr>
      <w:r w:rsidRPr="006250BE">
        <w:rPr>
          <w:rFonts w:ascii="Arial" w:hAnsi="Arial" w:cs="Arial"/>
          <w:b/>
          <w:sz w:val="24"/>
          <w:szCs w:val="24"/>
        </w:rPr>
        <w:t>Published Commitments</w:t>
      </w:r>
    </w:p>
    <w:p w:rsidR="00BF006A" w:rsidRDefault="00BF006A" w:rsidP="00166BA8">
      <w:pPr>
        <w:autoSpaceDE w:val="0"/>
        <w:autoSpaceDN w:val="0"/>
        <w:adjustRightInd w:val="0"/>
        <w:spacing w:after="0"/>
        <w:jc w:val="both"/>
        <w:rPr>
          <w:rFonts w:ascii="Arial" w:hAnsi="Arial" w:cs="Arial"/>
          <w:i/>
          <w:sz w:val="24"/>
          <w:szCs w:val="24"/>
        </w:rPr>
      </w:pPr>
    </w:p>
    <w:p w:rsidR="002D56B4" w:rsidRPr="006250BE" w:rsidRDefault="002D56B4" w:rsidP="00166BA8">
      <w:pPr>
        <w:autoSpaceDE w:val="0"/>
        <w:autoSpaceDN w:val="0"/>
        <w:adjustRightInd w:val="0"/>
        <w:spacing w:after="0"/>
        <w:jc w:val="both"/>
        <w:rPr>
          <w:rFonts w:ascii="Arial" w:hAnsi="Arial" w:cs="Arial"/>
          <w:i/>
          <w:sz w:val="24"/>
          <w:szCs w:val="24"/>
        </w:rPr>
      </w:pPr>
      <w:r w:rsidRPr="006250BE">
        <w:rPr>
          <w:rFonts w:ascii="Arial" w:hAnsi="Arial" w:cs="Arial"/>
          <w:i/>
          <w:sz w:val="24"/>
          <w:szCs w:val="24"/>
        </w:rPr>
        <w:t>Published Commitments supports progress against Public Data Princip</w:t>
      </w:r>
      <w:r w:rsidR="00DC7183">
        <w:rPr>
          <w:rFonts w:ascii="Arial" w:hAnsi="Arial" w:cs="Arial"/>
          <w:i/>
          <w:sz w:val="24"/>
          <w:szCs w:val="24"/>
        </w:rPr>
        <w:t>les 1, 2, 3, 4, 5, 8, 9, 10, 11</w:t>
      </w:r>
      <w:r w:rsidRPr="006250BE">
        <w:rPr>
          <w:rFonts w:ascii="Arial" w:hAnsi="Arial" w:cs="Arial"/>
          <w:i/>
          <w:sz w:val="24"/>
          <w:szCs w:val="24"/>
        </w:rPr>
        <w:t xml:space="preserve"> </w:t>
      </w:r>
      <w:r w:rsidR="00DC7183" w:rsidRPr="006250BE">
        <w:rPr>
          <w:rFonts w:ascii="Arial" w:hAnsi="Arial" w:cs="Arial"/>
          <w:i/>
          <w:sz w:val="24"/>
          <w:szCs w:val="24"/>
        </w:rPr>
        <w:t>and 12</w:t>
      </w:r>
      <w:r w:rsidRPr="006250BE">
        <w:rPr>
          <w:rFonts w:ascii="Arial" w:hAnsi="Arial" w:cs="Arial"/>
          <w:i/>
          <w:sz w:val="24"/>
          <w:szCs w:val="24"/>
        </w:rPr>
        <w:t>.</w:t>
      </w:r>
    </w:p>
    <w:p w:rsidR="002D56B4" w:rsidRPr="006250BE" w:rsidRDefault="002D56B4" w:rsidP="00166BA8">
      <w:pPr>
        <w:autoSpaceDE w:val="0"/>
        <w:autoSpaceDN w:val="0"/>
        <w:adjustRightInd w:val="0"/>
        <w:spacing w:after="0"/>
        <w:ind w:left="720"/>
        <w:jc w:val="both"/>
        <w:rPr>
          <w:rFonts w:ascii="Arial" w:hAnsi="Arial" w:cs="Arial"/>
          <w:iCs/>
          <w:color w:val="000000"/>
          <w:sz w:val="24"/>
          <w:szCs w:val="24"/>
        </w:rPr>
      </w:pPr>
    </w:p>
    <w:p w:rsidR="00711D8E" w:rsidRPr="00531E7F" w:rsidRDefault="009E4A6D" w:rsidP="00166BA8">
      <w:pPr>
        <w:pStyle w:val="ListParagraph"/>
        <w:numPr>
          <w:ilvl w:val="0"/>
          <w:numId w:val="1"/>
        </w:numPr>
        <w:autoSpaceDE w:val="0"/>
        <w:autoSpaceDN w:val="0"/>
        <w:adjustRightInd w:val="0"/>
        <w:jc w:val="both"/>
        <w:rPr>
          <w:rFonts w:ascii="Arial" w:hAnsi="Arial" w:cs="Arial"/>
          <w:sz w:val="24"/>
          <w:szCs w:val="24"/>
        </w:rPr>
      </w:pPr>
      <w:r w:rsidRPr="00253A64">
        <w:rPr>
          <w:rFonts w:ascii="Arial" w:hAnsi="Arial" w:cs="Arial"/>
          <w:b/>
          <w:sz w:val="24"/>
          <w:szCs w:val="24"/>
        </w:rPr>
        <w:t>CO</w:t>
      </w:r>
      <w:r w:rsidRPr="00253A64">
        <w:rPr>
          <w:rFonts w:ascii="Arial" w:hAnsi="Arial" w:cs="Arial"/>
          <w:iCs/>
          <w:color w:val="000000"/>
          <w:sz w:val="24"/>
          <w:szCs w:val="24"/>
        </w:rPr>
        <w:t xml:space="preserve"> </w:t>
      </w:r>
      <w:r w:rsidRPr="00531E7F">
        <w:rPr>
          <w:rFonts w:ascii="Arial" w:hAnsi="Arial" w:cs="Arial"/>
          <w:sz w:val="24"/>
          <w:szCs w:val="24"/>
        </w:rPr>
        <w:t xml:space="preserve">published the Civil Service People Survey 2013; a directory of data for 2013 on Non </w:t>
      </w:r>
      <w:r w:rsidR="001B5853">
        <w:rPr>
          <w:rFonts w:ascii="Arial" w:hAnsi="Arial" w:cs="Arial"/>
          <w:sz w:val="24"/>
          <w:szCs w:val="24"/>
        </w:rPr>
        <w:t>D</w:t>
      </w:r>
      <w:r w:rsidRPr="00531E7F">
        <w:rPr>
          <w:rFonts w:ascii="Arial" w:hAnsi="Arial" w:cs="Arial"/>
          <w:sz w:val="24"/>
          <w:szCs w:val="24"/>
        </w:rPr>
        <w:t>epartmental Public Bodies, Executive Agencies and non-</w:t>
      </w:r>
      <w:r w:rsidR="00217030">
        <w:rPr>
          <w:rFonts w:ascii="Arial" w:hAnsi="Arial" w:cs="Arial"/>
          <w:sz w:val="24"/>
          <w:szCs w:val="24"/>
        </w:rPr>
        <w:t>Ministerial d</w:t>
      </w:r>
      <w:r w:rsidRPr="00531E7F">
        <w:rPr>
          <w:rFonts w:ascii="Arial" w:hAnsi="Arial" w:cs="Arial"/>
          <w:sz w:val="24"/>
          <w:szCs w:val="24"/>
        </w:rPr>
        <w:t>epartments; and data showing progress of core departments in publishing tenders and contracts.</w:t>
      </w:r>
      <w:r w:rsidR="004E25F4" w:rsidRPr="00531E7F">
        <w:rPr>
          <w:rFonts w:ascii="Arial" w:hAnsi="Arial" w:cs="Arial"/>
          <w:sz w:val="24"/>
          <w:szCs w:val="24"/>
        </w:rPr>
        <w:t xml:space="preserve"> </w:t>
      </w:r>
    </w:p>
    <w:p w:rsidR="00711D8E" w:rsidRPr="00711D8E" w:rsidRDefault="00711D8E" w:rsidP="00166BA8">
      <w:pPr>
        <w:pStyle w:val="ListParagraph"/>
        <w:autoSpaceDE w:val="0"/>
        <w:autoSpaceDN w:val="0"/>
        <w:adjustRightInd w:val="0"/>
        <w:jc w:val="both"/>
        <w:rPr>
          <w:rFonts w:ascii="Arial" w:hAnsi="Arial" w:cs="Arial"/>
          <w:iCs/>
          <w:color w:val="000000"/>
          <w:sz w:val="24"/>
          <w:szCs w:val="24"/>
        </w:rPr>
      </w:pPr>
    </w:p>
    <w:p w:rsidR="00711D8E" w:rsidRPr="00531E7F" w:rsidRDefault="00711D8E" w:rsidP="00166BA8">
      <w:pPr>
        <w:pStyle w:val="ListParagraph"/>
        <w:numPr>
          <w:ilvl w:val="0"/>
          <w:numId w:val="1"/>
        </w:numPr>
        <w:autoSpaceDE w:val="0"/>
        <w:autoSpaceDN w:val="0"/>
        <w:adjustRightInd w:val="0"/>
        <w:jc w:val="both"/>
        <w:rPr>
          <w:rFonts w:ascii="Arial" w:hAnsi="Arial" w:cs="Arial"/>
          <w:sz w:val="24"/>
          <w:szCs w:val="24"/>
        </w:rPr>
      </w:pPr>
      <w:r>
        <w:rPr>
          <w:rFonts w:ascii="Arial" w:hAnsi="Arial" w:cs="Arial"/>
          <w:b/>
          <w:sz w:val="24"/>
          <w:szCs w:val="24"/>
        </w:rPr>
        <w:t xml:space="preserve">BIS </w:t>
      </w:r>
      <w:r w:rsidR="009756A2" w:rsidRPr="009756A2">
        <w:rPr>
          <w:rFonts w:ascii="Arial" w:hAnsi="Arial" w:cs="Arial"/>
          <w:sz w:val="24"/>
          <w:szCs w:val="24"/>
        </w:rPr>
        <w:t>align</w:t>
      </w:r>
      <w:r w:rsidR="009756A2">
        <w:rPr>
          <w:rFonts w:ascii="Arial" w:hAnsi="Arial" w:cs="Arial"/>
          <w:sz w:val="24"/>
          <w:szCs w:val="24"/>
        </w:rPr>
        <w:t>ed</w:t>
      </w:r>
      <w:r w:rsidR="009756A2" w:rsidRPr="009756A2">
        <w:rPr>
          <w:rFonts w:ascii="Arial" w:hAnsi="Arial" w:cs="Arial"/>
          <w:sz w:val="24"/>
          <w:szCs w:val="24"/>
        </w:rPr>
        <w:t xml:space="preserve"> the delivery of Further Education Data</w:t>
      </w:r>
      <w:r w:rsidR="009756A2">
        <w:rPr>
          <w:rFonts w:ascii="Arial" w:hAnsi="Arial" w:cs="Arial"/>
          <w:sz w:val="24"/>
          <w:szCs w:val="24"/>
        </w:rPr>
        <w:t xml:space="preserve"> </w:t>
      </w:r>
      <w:r w:rsidR="009756A2" w:rsidRPr="009756A2">
        <w:rPr>
          <w:rFonts w:ascii="Arial" w:hAnsi="Arial" w:cs="Arial"/>
          <w:sz w:val="24"/>
          <w:szCs w:val="24"/>
        </w:rPr>
        <w:t>with the governm</w:t>
      </w:r>
      <w:r w:rsidR="009756A2">
        <w:rPr>
          <w:rFonts w:ascii="Arial" w:hAnsi="Arial" w:cs="Arial"/>
          <w:sz w:val="24"/>
          <w:szCs w:val="24"/>
        </w:rPr>
        <w:t>ent’s single domain initiative. T</w:t>
      </w:r>
      <w:r w:rsidR="009756A2" w:rsidRPr="009756A2">
        <w:rPr>
          <w:rFonts w:ascii="Arial" w:hAnsi="Arial" w:cs="Arial"/>
          <w:sz w:val="24"/>
          <w:szCs w:val="24"/>
        </w:rPr>
        <w:t>he F</w:t>
      </w:r>
      <w:r w:rsidR="00766739">
        <w:rPr>
          <w:rFonts w:ascii="Arial" w:hAnsi="Arial" w:cs="Arial"/>
          <w:sz w:val="24"/>
          <w:szCs w:val="24"/>
        </w:rPr>
        <w:t xml:space="preserve">urther </w:t>
      </w:r>
      <w:r w:rsidR="009756A2" w:rsidRPr="009756A2">
        <w:rPr>
          <w:rFonts w:ascii="Arial" w:hAnsi="Arial" w:cs="Arial"/>
          <w:sz w:val="24"/>
          <w:szCs w:val="24"/>
        </w:rPr>
        <w:t>E</w:t>
      </w:r>
      <w:r w:rsidR="00766739">
        <w:rPr>
          <w:rFonts w:ascii="Arial" w:hAnsi="Arial" w:cs="Arial"/>
          <w:sz w:val="24"/>
          <w:szCs w:val="24"/>
        </w:rPr>
        <w:t>ducation</w:t>
      </w:r>
      <w:r w:rsidR="009756A2" w:rsidRPr="009756A2">
        <w:rPr>
          <w:rFonts w:ascii="Arial" w:hAnsi="Arial" w:cs="Arial"/>
          <w:sz w:val="24"/>
          <w:szCs w:val="24"/>
        </w:rPr>
        <w:t xml:space="preserve"> </w:t>
      </w:r>
      <w:r w:rsidR="00766739">
        <w:rPr>
          <w:rFonts w:ascii="Arial" w:hAnsi="Arial" w:cs="Arial"/>
          <w:sz w:val="24"/>
          <w:szCs w:val="24"/>
        </w:rPr>
        <w:t xml:space="preserve">(FE) </w:t>
      </w:r>
      <w:r w:rsidR="009756A2" w:rsidRPr="009756A2">
        <w:rPr>
          <w:rFonts w:ascii="Arial" w:hAnsi="Arial" w:cs="Arial"/>
          <w:sz w:val="24"/>
          <w:szCs w:val="24"/>
        </w:rPr>
        <w:t xml:space="preserve">data library and FE official statistics </w:t>
      </w:r>
      <w:r w:rsidR="00082028">
        <w:rPr>
          <w:rFonts w:ascii="Arial" w:hAnsi="Arial" w:cs="Arial"/>
          <w:sz w:val="24"/>
          <w:szCs w:val="24"/>
        </w:rPr>
        <w:t xml:space="preserve">were </w:t>
      </w:r>
      <w:r w:rsidR="009756A2" w:rsidRPr="009756A2">
        <w:rPr>
          <w:rFonts w:ascii="Arial" w:hAnsi="Arial" w:cs="Arial"/>
          <w:sz w:val="24"/>
          <w:szCs w:val="24"/>
        </w:rPr>
        <w:t>migrate</w:t>
      </w:r>
      <w:r w:rsidR="00217030">
        <w:rPr>
          <w:rFonts w:ascii="Arial" w:hAnsi="Arial" w:cs="Arial"/>
          <w:sz w:val="24"/>
          <w:szCs w:val="24"/>
        </w:rPr>
        <w:t>d to the d</w:t>
      </w:r>
      <w:r w:rsidR="00B01DB4">
        <w:rPr>
          <w:rFonts w:ascii="Arial" w:hAnsi="Arial" w:cs="Arial"/>
          <w:sz w:val="24"/>
          <w:szCs w:val="24"/>
        </w:rPr>
        <w:t xml:space="preserve">epartment’s pages on </w:t>
      </w:r>
      <w:r w:rsidR="00934942">
        <w:rPr>
          <w:rFonts w:ascii="Arial" w:hAnsi="Arial" w:cs="Arial"/>
          <w:sz w:val="24"/>
          <w:szCs w:val="24"/>
        </w:rPr>
        <w:t>GOV</w:t>
      </w:r>
      <w:r w:rsidR="009756A2" w:rsidRPr="009756A2">
        <w:rPr>
          <w:rFonts w:ascii="Arial" w:hAnsi="Arial" w:cs="Arial"/>
          <w:sz w:val="24"/>
          <w:szCs w:val="24"/>
        </w:rPr>
        <w:t>.</w:t>
      </w:r>
      <w:r w:rsidR="00934942">
        <w:rPr>
          <w:rFonts w:ascii="Arial" w:hAnsi="Arial" w:cs="Arial"/>
          <w:sz w:val="24"/>
          <w:szCs w:val="24"/>
        </w:rPr>
        <w:t>UK</w:t>
      </w:r>
      <w:r w:rsidR="009756A2" w:rsidRPr="009756A2">
        <w:rPr>
          <w:rFonts w:ascii="Arial" w:hAnsi="Arial" w:cs="Arial"/>
          <w:sz w:val="24"/>
          <w:szCs w:val="24"/>
        </w:rPr>
        <w:t>. Discovery and accessibility of this data archive will improve for students, academics, employers and citizens alike by this location. Data.gov.uk links will be created in due course.</w:t>
      </w:r>
    </w:p>
    <w:p w:rsidR="00253A64" w:rsidRPr="00253A64" w:rsidRDefault="00253A64" w:rsidP="00166BA8">
      <w:pPr>
        <w:pStyle w:val="ListParagraph"/>
        <w:autoSpaceDE w:val="0"/>
        <w:autoSpaceDN w:val="0"/>
        <w:adjustRightInd w:val="0"/>
        <w:jc w:val="both"/>
        <w:rPr>
          <w:rFonts w:ascii="Arial" w:hAnsi="Arial" w:cs="Arial"/>
          <w:iCs/>
          <w:color w:val="000000"/>
          <w:sz w:val="24"/>
          <w:szCs w:val="24"/>
        </w:rPr>
      </w:pPr>
    </w:p>
    <w:p w:rsidR="00B01DB4" w:rsidRPr="009E4A6D" w:rsidRDefault="00873DF0" w:rsidP="00166BA8">
      <w:pPr>
        <w:pStyle w:val="ListParagraph"/>
        <w:numPr>
          <w:ilvl w:val="0"/>
          <w:numId w:val="1"/>
        </w:numPr>
        <w:autoSpaceDE w:val="0"/>
        <w:autoSpaceDN w:val="0"/>
        <w:adjustRightInd w:val="0"/>
        <w:spacing w:after="0"/>
        <w:jc w:val="both"/>
        <w:rPr>
          <w:rFonts w:ascii="Arial" w:hAnsi="Arial" w:cs="Arial"/>
          <w:sz w:val="24"/>
          <w:szCs w:val="24"/>
        </w:rPr>
      </w:pPr>
      <w:r w:rsidRPr="002E08CF">
        <w:rPr>
          <w:rFonts w:ascii="Arial" w:hAnsi="Arial" w:cs="Arial"/>
          <w:b/>
          <w:sz w:val="24"/>
          <w:szCs w:val="24"/>
        </w:rPr>
        <w:t>DCLG</w:t>
      </w:r>
      <w:r w:rsidRPr="002E08CF">
        <w:rPr>
          <w:rFonts w:ascii="Arial" w:hAnsi="Arial" w:cs="Arial"/>
          <w:sz w:val="24"/>
          <w:szCs w:val="24"/>
        </w:rPr>
        <w:t xml:space="preserve"> published the detailed list of services provided by Local Authorities with associated links to further information about each service on individual council websites. This project was developed in-house at zero cost, and meets high linked data quality standards</w:t>
      </w:r>
      <w:r w:rsidR="00531E7F" w:rsidRPr="002E08CF">
        <w:rPr>
          <w:rFonts w:ascii="Arial" w:hAnsi="Arial" w:cs="Arial"/>
          <w:sz w:val="24"/>
          <w:szCs w:val="24"/>
        </w:rPr>
        <w:t xml:space="preserve">. </w:t>
      </w:r>
      <w:r w:rsidRPr="002E08CF">
        <w:rPr>
          <w:rFonts w:ascii="Arial" w:hAnsi="Arial" w:cs="Arial"/>
          <w:sz w:val="24"/>
          <w:szCs w:val="24"/>
        </w:rPr>
        <w:t xml:space="preserve">A demonstration application </w:t>
      </w:r>
      <w:r w:rsidR="00253A64" w:rsidRPr="002E08CF">
        <w:rPr>
          <w:rFonts w:ascii="Arial" w:hAnsi="Arial" w:cs="Arial"/>
          <w:sz w:val="24"/>
          <w:szCs w:val="24"/>
        </w:rPr>
        <w:t>was also developed</w:t>
      </w:r>
      <w:r w:rsidRPr="002E08CF">
        <w:rPr>
          <w:rFonts w:ascii="Arial" w:hAnsi="Arial" w:cs="Arial"/>
          <w:sz w:val="24"/>
          <w:szCs w:val="24"/>
        </w:rPr>
        <w:t>, illustrating how this data can be used alongside third party sources to help local residents discover services provided by their local authorities.  The dataset is a</w:t>
      </w:r>
      <w:r w:rsidR="00B01DB4" w:rsidRPr="002E08CF">
        <w:rPr>
          <w:rFonts w:ascii="Arial" w:hAnsi="Arial" w:cs="Arial"/>
          <w:sz w:val="24"/>
          <w:szCs w:val="24"/>
        </w:rPr>
        <w:t>vailable via OpenDataCommunitie</w:t>
      </w:r>
      <w:r w:rsidR="002E08CF">
        <w:rPr>
          <w:rFonts w:ascii="Arial" w:hAnsi="Arial" w:cs="Arial"/>
          <w:sz w:val="24"/>
          <w:szCs w:val="24"/>
        </w:rPr>
        <w:t xml:space="preserve">s. </w:t>
      </w:r>
    </w:p>
    <w:p w:rsidR="00873DF0" w:rsidRPr="004E25F4" w:rsidRDefault="00873DF0" w:rsidP="00166BA8">
      <w:pPr>
        <w:pStyle w:val="ListParagraph"/>
        <w:spacing w:after="0" w:line="240" w:lineRule="auto"/>
        <w:jc w:val="both"/>
        <w:rPr>
          <w:rFonts w:ascii="Arial" w:hAnsi="Arial" w:cs="Arial"/>
          <w:iCs/>
          <w:color w:val="000000"/>
          <w:sz w:val="24"/>
          <w:szCs w:val="24"/>
        </w:rPr>
      </w:pPr>
    </w:p>
    <w:p w:rsidR="004E25F4" w:rsidRPr="002E08CF" w:rsidRDefault="004E25F4" w:rsidP="00166BA8">
      <w:pPr>
        <w:pStyle w:val="ListParagraph"/>
        <w:numPr>
          <w:ilvl w:val="0"/>
          <w:numId w:val="1"/>
        </w:numPr>
        <w:autoSpaceDE w:val="0"/>
        <w:autoSpaceDN w:val="0"/>
        <w:adjustRightInd w:val="0"/>
        <w:spacing w:after="0" w:line="240" w:lineRule="auto"/>
        <w:jc w:val="both"/>
        <w:rPr>
          <w:rFonts w:ascii="Arial" w:hAnsi="Arial" w:cs="Arial"/>
          <w:iCs/>
          <w:color w:val="000000"/>
          <w:sz w:val="24"/>
          <w:szCs w:val="24"/>
        </w:rPr>
      </w:pPr>
      <w:r w:rsidRPr="002E08CF">
        <w:rPr>
          <w:rFonts w:ascii="Arial" w:hAnsi="Arial" w:cs="Arial"/>
          <w:b/>
          <w:iCs/>
          <w:color w:val="000000"/>
          <w:sz w:val="24"/>
          <w:szCs w:val="24"/>
        </w:rPr>
        <w:t>DCLG</w:t>
      </w:r>
      <w:r w:rsidRPr="002E08CF">
        <w:rPr>
          <w:rFonts w:ascii="Arial" w:hAnsi="Arial" w:cs="Arial"/>
          <w:iCs/>
          <w:color w:val="000000"/>
          <w:sz w:val="24"/>
          <w:szCs w:val="24"/>
        </w:rPr>
        <w:t xml:space="preserve"> </w:t>
      </w:r>
      <w:r w:rsidR="007004AC">
        <w:rPr>
          <w:rFonts w:ascii="Arial" w:hAnsi="Arial" w:cs="Arial"/>
          <w:sz w:val="24"/>
          <w:szCs w:val="24"/>
        </w:rPr>
        <w:t>has had</w:t>
      </w:r>
      <w:r w:rsidR="00B01DB4" w:rsidRPr="002E08CF">
        <w:rPr>
          <w:rFonts w:ascii="Arial" w:hAnsi="Arial" w:cs="Arial"/>
          <w:sz w:val="24"/>
          <w:szCs w:val="24"/>
        </w:rPr>
        <w:t xml:space="preserve"> discussion</w:t>
      </w:r>
      <w:r w:rsidR="007004AC">
        <w:rPr>
          <w:rFonts w:ascii="Arial" w:hAnsi="Arial" w:cs="Arial"/>
          <w:sz w:val="24"/>
          <w:szCs w:val="24"/>
        </w:rPr>
        <w:t>s</w:t>
      </w:r>
      <w:r w:rsidR="00B01DB4" w:rsidRPr="002E08CF">
        <w:rPr>
          <w:rFonts w:ascii="Arial" w:hAnsi="Arial" w:cs="Arial"/>
          <w:sz w:val="24"/>
          <w:szCs w:val="24"/>
        </w:rPr>
        <w:t xml:space="preserve"> with</w:t>
      </w:r>
      <w:r w:rsidRPr="002E08CF">
        <w:rPr>
          <w:rFonts w:ascii="Arial" w:hAnsi="Arial" w:cs="Arial"/>
          <w:sz w:val="24"/>
          <w:szCs w:val="24"/>
        </w:rPr>
        <w:t xml:space="preserve"> Which? consumer group about improving data on services for the elderly population.  The first tranche of data updates </w:t>
      </w:r>
      <w:r w:rsidR="007004AC">
        <w:rPr>
          <w:rFonts w:ascii="Arial" w:hAnsi="Arial" w:cs="Arial"/>
          <w:sz w:val="24"/>
          <w:szCs w:val="24"/>
        </w:rPr>
        <w:t>has been</w:t>
      </w:r>
      <w:r w:rsidRPr="002E08CF">
        <w:rPr>
          <w:rFonts w:ascii="Arial" w:hAnsi="Arial" w:cs="Arial"/>
          <w:sz w:val="24"/>
          <w:szCs w:val="24"/>
        </w:rPr>
        <w:t xml:space="preserve"> scheduled for July, and outputs should be made available via OpenDataCommunities to be directly-reused within their public Elderly Care advice service. </w:t>
      </w:r>
    </w:p>
    <w:p w:rsidR="00001E12" w:rsidRPr="002E08CF" w:rsidRDefault="00001E12" w:rsidP="00166BA8">
      <w:pPr>
        <w:pStyle w:val="ListParagraph"/>
        <w:jc w:val="both"/>
        <w:rPr>
          <w:rFonts w:ascii="Arial" w:hAnsi="Arial" w:cs="Arial"/>
          <w:iCs/>
          <w:color w:val="000000"/>
          <w:sz w:val="24"/>
          <w:szCs w:val="24"/>
        </w:rPr>
      </w:pPr>
    </w:p>
    <w:p w:rsidR="00001E12" w:rsidRPr="00531E7F" w:rsidRDefault="00001E12" w:rsidP="00166BA8">
      <w:pPr>
        <w:pStyle w:val="ListParagraph"/>
        <w:numPr>
          <w:ilvl w:val="0"/>
          <w:numId w:val="1"/>
        </w:numPr>
        <w:autoSpaceDE w:val="0"/>
        <w:autoSpaceDN w:val="0"/>
        <w:adjustRightInd w:val="0"/>
        <w:spacing w:after="0" w:line="240" w:lineRule="auto"/>
        <w:jc w:val="both"/>
        <w:rPr>
          <w:rFonts w:ascii="Arial" w:hAnsi="Arial" w:cs="Arial"/>
          <w:sz w:val="24"/>
          <w:szCs w:val="24"/>
        </w:rPr>
      </w:pPr>
      <w:r w:rsidRPr="002E08CF">
        <w:rPr>
          <w:rFonts w:ascii="Arial" w:hAnsi="Arial" w:cs="Arial"/>
          <w:b/>
          <w:iCs/>
          <w:color w:val="000000"/>
          <w:sz w:val="24"/>
          <w:szCs w:val="24"/>
        </w:rPr>
        <w:t>Defra</w:t>
      </w:r>
      <w:r w:rsidR="002C73A0">
        <w:rPr>
          <w:rFonts w:ascii="Arial" w:hAnsi="Arial" w:cs="Arial"/>
          <w:b/>
          <w:iCs/>
          <w:color w:val="000000"/>
          <w:sz w:val="24"/>
          <w:szCs w:val="24"/>
        </w:rPr>
        <w:t xml:space="preserve"> </w:t>
      </w:r>
      <w:r w:rsidR="00B01DB4" w:rsidRPr="002E08CF">
        <w:rPr>
          <w:rFonts w:ascii="Arial" w:hAnsi="Arial" w:cs="Arial"/>
          <w:iCs/>
          <w:color w:val="000000"/>
          <w:sz w:val="24"/>
          <w:szCs w:val="24"/>
        </w:rPr>
        <w:t xml:space="preserve">and its </w:t>
      </w:r>
      <w:r w:rsidR="00766739">
        <w:rPr>
          <w:rFonts w:ascii="Arial" w:hAnsi="Arial" w:cs="Arial"/>
          <w:iCs/>
          <w:color w:val="000000"/>
          <w:sz w:val="24"/>
          <w:szCs w:val="24"/>
        </w:rPr>
        <w:t>Arm</w:t>
      </w:r>
      <w:r w:rsidR="007004AC">
        <w:rPr>
          <w:rFonts w:ascii="Arial" w:hAnsi="Arial" w:cs="Arial"/>
          <w:iCs/>
          <w:color w:val="000000"/>
          <w:sz w:val="24"/>
          <w:szCs w:val="24"/>
        </w:rPr>
        <w:t>’s</w:t>
      </w:r>
      <w:r w:rsidR="00766739">
        <w:rPr>
          <w:rFonts w:ascii="Arial" w:hAnsi="Arial" w:cs="Arial"/>
          <w:iCs/>
          <w:color w:val="000000"/>
          <w:sz w:val="24"/>
          <w:szCs w:val="24"/>
        </w:rPr>
        <w:t xml:space="preserve"> Length Body (</w:t>
      </w:r>
      <w:r w:rsidR="00B01DB4" w:rsidRPr="002E08CF">
        <w:rPr>
          <w:rFonts w:ascii="Arial" w:hAnsi="Arial" w:cs="Arial"/>
          <w:iCs/>
          <w:color w:val="000000"/>
          <w:sz w:val="24"/>
          <w:szCs w:val="24"/>
        </w:rPr>
        <w:t>ALB</w:t>
      </w:r>
      <w:r w:rsidR="00766739">
        <w:rPr>
          <w:rFonts w:ascii="Arial" w:hAnsi="Arial" w:cs="Arial"/>
          <w:iCs/>
          <w:color w:val="000000"/>
          <w:sz w:val="24"/>
          <w:szCs w:val="24"/>
        </w:rPr>
        <w:t>)</w:t>
      </w:r>
      <w:r w:rsidR="00B01DB4" w:rsidRPr="002E08CF">
        <w:rPr>
          <w:rFonts w:ascii="Arial" w:hAnsi="Arial" w:cs="Arial"/>
          <w:iCs/>
          <w:color w:val="000000"/>
          <w:sz w:val="24"/>
          <w:szCs w:val="24"/>
        </w:rPr>
        <w:t xml:space="preserve">, </w:t>
      </w:r>
      <w:r w:rsidR="00B01DB4" w:rsidRPr="007004AC">
        <w:rPr>
          <w:rFonts w:ascii="Arial" w:hAnsi="Arial" w:cs="Arial"/>
          <w:iCs/>
          <w:color w:val="000000"/>
          <w:sz w:val="24"/>
          <w:szCs w:val="24"/>
        </w:rPr>
        <w:t>the</w:t>
      </w:r>
      <w:r w:rsidR="00B01DB4" w:rsidRPr="002E08CF">
        <w:rPr>
          <w:rFonts w:ascii="Arial" w:hAnsi="Arial" w:cs="Arial"/>
          <w:b/>
          <w:iCs/>
          <w:color w:val="000000"/>
          <w:sz w:val="24"/>
          <w:szCs w:val="24"/>
        </w:rPr>
        <w:t xml:space="preserve"> Environment Agency </w:t>
      </w:r>
      <w:r w:rsidRPr="002E08CF">
        <w:rPr>
          <w:rFonts w:ascii="Arial" w:hAnsi="Arial" w:cs="Arial"/>
          <w:sz w:val="24"/>
          <w:szCs w:val="24"/>
        </w:rPr>
        <w:t>announced</w:t>
      </w:r>
      <w:r w:rsidRPr="00531E7F">
        <w:rPr>
          <w:rFonts w:ascii="Arial" w:hAnsi="Arial" w:cs="Arial"/>
          <w:sz w:val="24"/>
          <w:szCs w:val="24"/>
        </w:rPr>
        <w:t xml:space="preserve"> the release of a number of key datasets</w:t>
      </w:r>
      <w:r w:rsidR="00531E7F">
        <w:rPr>
          <w:rFonts w:ascii="Arial" w:hAnsi="Arial" w:cs="Arial"/>
          <w:sz w:val="24"/>
          <w:szCs w:val="24"/>
        </w:rPr>
        <w:t xml:space="preserve"> in this quarter,</w:t>
      </w:r>
      <w:r w:rsidRPr="00531E7F">
        <w:rPr>
          <w:rFonts w:ascii="Arial" w:hAnsi="Arial" w:cs="Arial"/>
          <w:sz w:val="24"/>
          <w:szCs w:val="24"/>
        </w:rPr>
        <w:t xml:space="preserve"> including the permanent access to live flood warnings, flood alerts and river levels and Water Framework Directive datasets as </w:t>
      </w:r>
      <w:r w:rsidR="007004AC">
        <w:rPr>
          <w:rFonts w:ascii="Arial" w:hAnsi="Arial" w:cs="Arial"/>
          <w:sz w:val="24"/>
          <w:szCs w:val="24"/>
        </w:rPr>
        <w:t>o</w:t>
      </w:r>
      <w:r w:rsidR="007004AC" w:rsidRPr="00531E7F">
        <w:rPr>
          <w:rFonts w:ascii="Arial" w:hAnsi="Arial" w:cs="Arial"/>
          <w:sz w:val="24"/>
          <w:szCs w:val="24"/>
        </w:rPr>
        <w:t xml:space="preserve">pen </w:t>
      </w:r>
      <w:r w:rsidR="007004AC">
        <w:rPr>
          <w:rFonts w:ascii="Arial" w:hAnsi="Arial" w:cs="Arial"/>
          <w:sz w:val="24"/>
          <w:szCs w:val="24"/>
        </w:rPr>
        <w:t>d</w:t>
      </w:r>
      <w:r w:rsidR="007004AC" w:rsidRPr="00531E7F">
        <w:rPr>
          <w:rFonts w:ascii="Arial" w:hAnsi="Arial" w:cs="Arial"/>
          <w:sz w:val="24"/>
          <w:szCs w:val="24"/>
        </w:rPr>
        <w:t>ata</w:t>
      </w:r>
      <w:r w:rsidRPr="00531E7F">
        <w:rPr>
          <w:rFonts w:ascii="Arial" w:hAnsi="Arial" w:cs="Arial"/>
          <w:sz w:val="24"/>
          <w:szCs w:val="24"/>
        </w:rPr>
        <w:t>.</w:t>
      </w:r>
    </w:p>
    <w:p w:rsidR="001D2AE1" w:rsidRPr="00531E7F" w:rsidRDefault="001D2AE1" w:rsidP="00166BA8">
      <w:pPr>
        <w:pStyle w:val="ListParagraph"/>
        <w:suppressAutoHyphens/>
        <w:autoSpaceDE w:val="0"/>
        <w:autoSpaceDN w:val="0"/>
        <w:adjustRightInd w:val="0"/>
        <w:spacing w:after="0" w:line="240" w:lineRule="auto"/>
        <w:contextualSpacing w:val="0"/>
        <w:jc w:val="both"/>
        <w:textAlignment w:val="baseline"/>
        <w:rPr>
          <w:rFonts w:ascii="Arial" w:hAnsi="Arial" w:cs="Arial"/>
          <w:sz w:val="24"/>
          <w:szCs w:val="24"/>
        </w:rPr>
      </w:pPr>
    </w:p>
    <w:p w:rsidR="00001E12" w:rsidRPr="00531E7F" w:rsidRDefault="002D56B4"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sz w:val="24"/>
          <w:szCs w:val="24"/>
        </w:rPr>
      </w:pPr>
      <w:r w:rsidRPr="00001E12">
        <w:rPr>
          <w:rFonts w:ascii="Arial" w:hAnsi="Arial" w:cs="Arial"/>
          <w:b/>
          <w:iCs/>
          <w:color w:val="000000"/>
          <w:sz w:val="24"/>
          <w:szCs w:val="24"/>
        </w:rPr>
        <w:t xml:space="preserve">DCMS </w:t>
      </w:r>
      <w:r w:rsidR="00001E12" w:rsidRPr="00531E7F">
        <w:rPr>
          <w:rFonts w:ascii="Arial" w:hAnsi="Arial" w:cs="Arial"/>
          <w:sz w:val="24"/>
          <w:szCs w:val="24"/>
        </w:rPr>
        <w:t>published a wide array of data</w:t>
      </w:r>
      <w:r w:rsidR="00253A64" w:rsidRPr="00531E7F">
        <w:rPr>
          <w:rFonts w:ascii="Arial" w:hAnsi="Arial" w:cs="Arial"/>
          <w:sz w:val="24"/>
          <w:szCs w:val="24"/>
        </w:rPr>
        <w:t>sets</w:t>
      </w:r>
      <w:r w:rsidR="00001E12" w:rsidRPr="00531E7F">
        <w:rPr>
          <w:rFonts w:ascii="Arial" w:hAnsi="Arial" w:cs="Arial"/>
          <w:sz w:val="24"/>
          <w:szCs w:val="24"/>
        </w:rPr>
        <w:t xml:space="preserve"> including </w:t>
      </w:r>
      <w:r w:rsidR="007004AC">
        <w:rPr>
          <w:rFonts w:ascii="Arial" w:hAnsi="Arial" w:cs="Arial"/>
          <w:sz w:val="24"/>
          <w:szCs w:val="24"/>
        </w:rPr>
        <w:t>their</w:t>
      </w:r>
      <w:r w:rsidR="00B01DB4" w:rsidRPr="002E08CF">
        <w:rPr>
          <w:rFonts w:ascii="Arial" w:hAnsi="Arial" w:cs="Arial"/>
          <w:sz w:val="24"/>
          <w:szCs w:val="24"/>
        </w:rPr>
        <w:t xml:space="preserve"> element of </w:t>
      </w:r>
      <w:r w:rsidR="00001E12" w:rsidRPr="002E08CF">
        <w:rPr>
          <w:rFonts w:ascii="Arial" w:hAnsi="Arial" w:cs="Arial"/>
          <w:sz w:val="24"/>
          <w:szCs w:val="24"/>
        </w:rPr>
        <w:t>Government Major Projects Portfolio data, the Creative Industries Economic</w:t>
      </w:r>
      <w:r w:rsidR="00001E12" w:rsidRPr="00531E7F">
        <w:rPr>
          <w:rFonts w:ascii="Arial" w:hAnsi="Arial" w:cs="Arial"/>
          <w:sz w:val="24"/>
          <w:szCs w:val="24"/>
        </w:rPr>
        <w:t xml:space="preserve"> Estimates, the Exports of Objects of Cultural Interest, the UK Broadband Impact Study, the DCMS component of the 2013 People Survey Results, a Secondary Analysis of the Gender Pay Gap and the Museums and Galleries Monthly Visits. </w:t>
      </w:r>
    </w:p>
    <w:p w:rsidR="0050165C" w:rsidRDefault="0050165C" w:rsidP="00166BA8">
      <w:pPr>
        <w:pStyle w:val="ListParagraph"/>
        <w:suppressAutoHyphens/>
        <w:autoSpaceDE w:val="0"/>
        <w:autoSpaceDN w:val="0"/>
        <w:adjustRightInd w:val="0"/>
        <w:spacing w:after="0" w:line="240" w:lineRule="auto"/>
        <w:contextualSpacing w:val="0"/>
        <w:jc w:val="both"/>
        <w:textAlignment w:val="baseline"/>
        <w:rPr>
          <w:rFonts w:ascii="Arial" w:hAnsi="Arial" w:cs="Arial"/>
          <w:iCs/>
          <w:color w:val="000000"/>
          <w:sz w:val="24"/>
          <w:szCs w:val="24"/>
        </w:rPr>
      </w:pPr>
    </w:p>
    <w:p w:rsidR="0050165C" w:rsidRPr="00531E7F" w:rsidRDefault="0050165C"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sz w:val="24"/>
          <w:szCs w:val="24"/>
        </w:rPr>
      </w:pPr>
      <w:r>
        <w:rPr>
          <w:rFonts w:ascii="Arial" w:hAnsi="Arial" w:cs="Arial"/>
          <w:b/>
          <w:iCs/>
          <w:color w:val="000000"/>
          <w:sz w:val="24"/>
          <w:szCs w:val="24"/>
        </w:rPr>
        <w:t xml:space="preserve">DfT </w:t>
      </w:r>
      <w:r w:rsidRPr="00531E7F">
        <w:rPr>
          <w:rFonts w:ascii="Arial" w:hAnsi="Arial" w:cs="Arial"/>
          <w:sz w:val="24"/>
          <w:szCs w:val="24"/>
        </w:rPr>
        <w:t xml:space="preserve">worked on opening up </w:t>
      </w:r>
      <w:r w:rsidR="00082028">
        <w:rPr>
          <w:rFonts w:ascii="Arial" w:hAnsi="Arial" w:cs="Arial"/>
          <w:sz w:val="24"/>
          <w:szCs w:val="24"/>
        </w:rPr>
        <w:t>t</w:t>
      </w:r>
      <w:r w:rsidRPr="00531E7F">
        <w:rPr>
          <w:rFonts w:ascii="Arial" w:hAnsi="Arial" w:cs="Arial"/>
          <w:sz w:val="24"/>
          <w:szCs w:val="24"/>
        </w:rPr>
        <w:t>wo key rail datasets for the DARWIN real-time service and the electronic rail routeing guide. I</w:t>
      </w:r>
      <w:r w:rsidR="002C73A0">
        <w:rPr>
          <w:rFonts w:ascii="Arial" w:hAnsi="Arial" w:cs="Arial"/>
          <w:sz w:val="24"/>
          <w:szCs w:val="24"/>
        </w:rPr>
        <w:t xml:space="preserve">n addition final measures were </w:t>
      </w:r>
      <w:r w:rsidRPr="00531E7F">
        <w:rPr>
          <w:rFonts w:ascii="Arial" w:hAnsi="Arial" w:cs="Arial"/>
          <w:sz w:val="24"/>
          <w:szCs w:val="24"/>
        </w:rPr>
        <w:t>taken to publish all bus service registration records in the next quarter.</w:t>
      </w:r>
      <w:r w:rsidR="00766739">
        <w:rPr>
          <w:rFonts w:ascii="Arial" w:hAnsi="Arial" w:cs="Arial"/>
          <w:sz w:val="24"/>
          <w:szCs w:val="24"/>
        </w:rPr>
        <w:t xml:space="preserve"> DARWIN is the source of information that provides prediction and actual train movements across the National Rail network. </w:t>
      </w:r>
    </w:p>
    <w:p w:rsidR="00001E12" w:rsidRPr="00531E7F" w:rsidRDefault="00001E12" w:rsidP="00166BA8">
      <w:pPr>
        <w:pStyle w:val="ListParagraph"/>
        <w:suppressAutoHyphens/>
        <w:autoSpaceDE w:val="0"/>
        <w:autoSpaceDN w:val="0"/>
        <w:adjustRightInd w:val="0"/>
        <w:spacing w:after="0" w:line="240" w:lineRule="auto"/>
        <w:contextualSpacing w:val="0"/>
        <w:jc w:val="both"/>
        <w:textAlignment w:val="baseline"/>
        <w:rPr>
          <w:rFonts w:ascii="Arial" w:hAnsi="Arial" w:cs="Arial"/>
          <w:sz w:val="24"/>
          <w:szCs w:val="24"/>
        </w:rPr>
      </w:pPr>
    </w:p>
    <w:p w:rsidR="00001E12" w:rsidRPr="00531E7F" w:rsidRDefault="00001E12"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sz w:val="24"/>
          <w:szCs w:val="24"/>
        </w:rPr>
      </w:pPr>
      <w:r w:rsidRPr="007C160F">
        <w:rPr>
          <w:rFonts w:ascii="Arial" w:hAnsi="Arial" w:cs="Arial"/>
          <w:b/>
          <w:iCs/>
          <w:color w:val="000000"/>
          <w:sz w:val="24"/>
          <w:szCs w:val="24"/>
        </w:rPr>
        <w:t>DH</w:t>
      </w:r>
      <w:r w:rsidR="00253A64" w:rsidRPr="00253A64">
        <w:rPr>
          <w:rFonts w:ascii="Arial" w:hAnsi="Arial" w:cs="Arial"/>
          <w:iCs/>
          <w:color w:val="000000"/>
          <w:sz w:val="24"/>
          <w:szCs w:val="24"/>
        </w:rPr>
        <w:t xml:space="preserve">’s </w:t>
      </w:r>
      <w:r w:rsidR="00253A64" w:rsidRPr="00531E7F">
        <w:rPr>
          <w:rFonts w:ascii="Arial" w:hAnsi="Arial" w:cs="Arial"/>
          <w:sz w:val="24"/>
          <w:szCs w:val="24"/>
        </w:rPr>
        <w:t xml:space="preserve">releases for this </w:t>
      </w:r>
      <w:r w:rsidR="00253A64" w:rsidRPr="002E08CF">
        <w:rPr>
          <w:rFonts w:ascii="Arial" w:hAnsi="Arial" w:cs="Arial"/>
          <w:sz w:val="24"/>
          <w:szCs w:val="24"/>
        </w:rPr>
        <w:t>quarter include</w:t>
      </w:r>
      <w:r w:rsidR="007004AC">
        <w:rPr>
          <w:rFonts w:ascii="Arial" w:hAnsi="Arial" w:cs="Arial"/>
          <w:sz w:val="24"/>
          <w:szCs w:val="24"/>
        </w:rPr>
        <w:t>d</w:t>
      </w:r>
      <w:r w:rsidR="00873DF0" w:rsidRPr="002E08CF">
        <w:rPr>
          <w:rFonts w:ascii="Arial" w:hAnsi="Arial" w:cs="Arial"/>
          <w:sz w:val="24"/>
          <w:szCs w:val="24"/>
        </w:rPr>
        <w:t xml:space="preserve"> </w:t>
      </w:r>
      <w:r w:rsidR="00082028">
        <w:rPr>
          <w:rFonts w:ascii="Arial" w:hAnsi="Arial" w:cs="Arial"/>
          <w:sz w:val="24"/>
          <w:szCs w:val="24"/>
        </w:rPr>
        <w:t xml:space="preserve">data </w:t>
      </w:r>
      <w:r w:rsidR="00873DF0" w:rsidRPr="002E08CF">
        <w:rPr>
          <w:rFonts w:ascii="Arial" w:hAnsi="Arial" w:cs="Arial"/>
          <w:sz w:val="24"/>
          <w:szCs w:val="24"/>
        </w:rPr>
        <w:t>on causes of</w:t>
      </w:r>
      <w:r w:rsidR="00873DF0" w:rsidRPr="00531E7F">
        <w:rPr>
          <w:rFonts w:ascii="Arial" w:hAnsi="Arial" w:cs="Arial"/>
          <w:sz w:val="24"/>
          <w:szCs w:val="24"/>
        </w:rPr>
        <w:t xml:space="preserve"> </w:t>
      </w:r>
      <w:r w:rsidRPr="00531E7F">
        <w:rPr>
          <w:rFonts w:ascii="Arial" w:hAnsi="Arial" w:cs="Arial"/>
          <w:sz w:val="24"/>
          <w:szCs w:val="24"/>
        </w:rPr>
        <w:t>mortality (</w:t>
      </w:r>
      <w:r w:rsidR="007C160F" w:rsidRPr="00531E7F">
        <w:rPr>
          <w:rFonts w:ascii="Arial" w:hAnsi="Arial" w:cs="Arial"/>
          <w:sz w:val="24"/>
          <w:szCs w:val="24"/>
        </w:rPr>
        <w:t xml:space="preserve">3 datasets), smoking prevalence, </w:t>
      </w:r>
      <w:r w:rsidR="00873DF0" w:rsidRPr="00531E7F">
        <w:rPr>
          <w:rFonts w:ascii="Arial" w:hAnsi="Arial" w:cs="Arial"/>
          <w:sz w:val="24"/>
          <w:szCs w:val="24"/>
        </w:rPr>
        <w:t>independence of</w:t>
      </w:r>
      <w:r w:rsidR="007C160F" w:rsidRPr="00531E7F">
        <w:rPr>
          <w:rFonts w:ascii="Arial" w:hAnsi="Arial" w:cs="Arial"/>
          <w:sz w:val="24"/>
          <w:szCs w:val="24"/>
        </w:rPr>
        <w:t xml:space="preserve"> older people and people affected by long term conditions</w:t>
      </w:r>
      <w:r w:rsidR="00217030">
        <w:rPr>
          <w:rFonts w:ascii="Arial" w:hAnsi="Arial" w:cs="Arial"/>
          <w:sz w:val="24"/>
          <w:szCs w:val="24"/>
        </w:rPr>
        <w:t xml:space="preserve">, </w:t>
      </w:r>
      <w:r w:rsidR="00E91856">
        <w:rPr>
          <w:rFonts w:ascii="Arial" w:hAnsi="Arial" w:cs="Arial"/>
          <w:sz w:val="24"/>
          <w:szCs w:val="24"/>
        </w:rPr>
        <w:t xml:space="preserve">and </w:t>
      </w:r>
      <w:r w:rsidR="00217030">
        <w:rPr>
          <w:rFonts w:ascii="Arial" w:hAnsi="Arial" w:cs="Arial"/>
          <w:sz w:val="24"/>
          <w:szCs w:val="24"/>
        </w:rPr>
        <w:t>healthy life expectancy. The d</w:t>
      </w:r>
      <w:r w:rsidR="00873DF0" w:rsidRPr="00531E7F">
        <w:rPr>
          <w:rFonts w:ascii="Arial" w:hAnsi="Arial" w:cs="Arial"/>
          <w:sz w:val="24"/>
          <w:szCs w:val="24"/>
        </w:rPr>
        <w:t xml:space="preserve">epartment </w:t>
      </w:r>
      <w:r w:rsidR="007C160F" w:rsidRPr="00531E7F">
        <w:rPr>
          <w:rFonts w:ascii="Arial" w:hAnsi="Arial" w:cs="Arial"/>
          <w:sz w:val="24"/>
          <w:szCs w:val="24"/>
        </w:rPr>
        <w:t>also published its NHS staff, patient choice, patient sur</w:t>
      </w:r>
      <w:r w:rsidR="00531E7F">
        <w:rPr>
          <w:rFonts w:ascii="Arial" w:hAnsi="Arial" w:cs="Arial"/>
          <w:sz w:val="24"/>
          <w:szCs w:val="24"/>
        </w:rPr>
        <w:t xml:space="preserve">veys, </w:t>
      </w:r>
      <w:r w:rsidR="00B01DB4">
        <w:rPr>
          <w:rFonts w:ascii="Arial" w:hAnsi="Arial" w:cs="Arial"/>
          <w:sz w:val="24"/>
          <w:szCs w:val="24"/>
        </w:rPr>
        <w:t xml:space="preserve">and </w:t>
      </w:r>
      <w:r w:rsidR="00531E7F">
        <w:rPr>
          <w:rFonts w:ascii="Arial" w:hAnsi="Arial" w:cs="Arial"/>
          <w:sz w:val="24"/>
          <w:szCs w:val="24"/>
        </w:rPr>
        <w:t xml:space="preserve">cancelled operations data. The </w:t>
      </w:r>
      <w:r w:rsidR="00217030">
        <w:rPr>
          <w:rFonts w:ascii="Arial" w:hAnsi="Arial" w:cs="Arial"/>
          <w:sz w:val="24"/>
          <w:szCs w:val="24"/>
        </w:rPr>
        <w:t>d</w:t>
      </w:r>
      <w:r w:rsidR="00531E7F">
        <w:rPr>
          <w:rFonts w:ascii="Arial" w:hAnsi="Arial" w:cs="Arial"/>
          <w:sz w:val="24"/>
          <w:szCs w:val="24"/>
        </w:rPr>
        <w:t xml:space="preserve">epartment </w:t>
      </w:r>
      <w:r w:rsidR="00873DF0" w:rsidRPr="00531E7F">
        <w:rPr>
          <w:rFonts w:ascii="Arial" w:hAnsi="Arial" w:cs="Arial"/>
          <w:sz w:val="24"/>
          <w:szCs w:val="24"/>
        </w:rPr>
        <w:t>is</w:t>
      </w:r>
      <w:r w:rsidR="00531E7F">
        <w:rPr>
          <w:rFonts w:ascii="Arial" w:hAnsi="Arial" w:cs="Arial"/>
          <w:sz w:val="24"/>
          <w:szCs w:val="24"/>
        </w:rPr>
        <w:t xml:space="preserve"> </w:t>
      </w:r>
      <w:r w:rsidR="007004AC">
        <w:rPr>
          <w:rFonts w:ascii="Arial" w:hAnsi="Arial" w:cs="Arial"/>
          <w:sz w:val="24"/>
          <w:szCs w:val="24"/>
        </w:rPr>
        <w:t>has made</w:t>
      </w:r>
      <w:r w:rsidR="00873DF0" w:rsidRPr="00531E7F">
        <w:rPr>
          <w:rFonts w:ascii="Arial" w:hAnsi="Arial" w:cs="Arial"/>
          <w:sz w:val="24"/>
          <w:szCs w:val="24"/>
        </w:rPr>
        <w:t xml:space="preserve"> progress towards the publication of the Friends and Family T</w:t>
      </w:r>
      <w:r w:rsidR="007C160F" w:rsidRPr="00531E7F">
        <w:rPr>
          <w:rFonts w:ascii="Arial" w:hAnsi="Arial" w:cs="Arial"/>
          <w:sz w:val="24"/>
          <w:szCs w:val="24"/>
        </w:rPr>
        <w:t xml:space="preserve">est data. </w:t>
      </w:r>
      <w:r w:rsidR="00296AC6">
        <w:rPr>
          <w:rFonts w:ascii="Arial" w:hAnsi="Arial" w:cs="Arial"/>
          <w:sz w:val="24"/>
          <w:szCs w:val="24"/>
        </w:rPr>
        <w:t xml:space="preserve">This data is on the public domain, and will be linked to data.gov.uk in due course. </w:t>
      </w:r>
    </w:p>
    <w:p w:rsidR="007C160F" w:rsidRPr="007C160F" w:rsidRDefault="007C160F" w:rsidP="00166BA8">
      <w:pPr>
        <w:pStyle w:val="ListParagraph"/>
        <w:jc w:val="both"/>
        <w:rPr>
          <w:rFonts w:ascii="Arial" w:hAnsi="Arial" w:cs="Arial"/>
          <w:iCs/>
          <w:color w:val="000000"/>
          <w:sz w:val="24"/>
          <w:szCs w:val="24"/>
        </w:rPr>
      </w:pPr>
    </w:p>
    <w:p w:rsidR="007C160F" w:rsidRPr="00001E12" w:rsidRDefault="007C160F"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iCs/>
          <w:color w:val="000000"/>
          <w:sz w:val="24"/>
          <w:szCs w:val="24"/>
        </w:rPr>
      </w:pPr>
      <w:r w:rsidRPr="007C160F">
        <w:rPr>
          <w:rFonts w:ascii="Arial" w:hAnsi="Arial" w:cs="Arial"/>
          <w:b/>
          <w:iCs/>
          <w:color w:val="000000"/>
          <w:sz w:val="24"/>
          <w:szCs w:val="24"/>
        </w:rPr>
        <w:t>DWP</w:t>
      </w:r>
      <w:r w:rsidR="00873DF0">
        <w:rPr>
          <w:rFonts w:ascii="Arial" w:hAnsi="Arial" w:cs="Arial"/>
          <w:iCs/>
          <w:color w:val="000000"/>
          <w:sz w:val="24"/>
          <w:szCs w:val="24"/>
        </w:rPr>
        <w:t xml:space="preserve"> published data updates on </w:t>
      </w:r>
      <w:r>
        <w:rPr>
          <w:rFonts w:ascii="Arial" w:hAnsi="Arial" w:cs="Arial"/>
          <w:iCs/>
          <w:color w:val="000000"/>
          <w:sz w:val="24"/>
          <w:szCs w:val="24"/>
        </w:rPr>
        <w:t>Universal Credit</w:t>
      </w:r>
      <w:r w:rsidR="009A35AC">
        <w:rPr>
          <w:rFonts w:ascii="Arial" w:hAnsi="Arial" w:cs="Arial"/>
          <w:iCs/>
          <w:color w:val="000000"/>
          <w:sz w:val="24"/>
          <w:szCs w:val="24"/>
        </w:rPr>
        <w:t>, Housing Benefit, Benefit Cap</w:t>
      </w:r>
      <w:r>
        <w:rPr>
          <w:rFonts w:ascii="Arial" w:hAnsi="Arial" w:cs="Arial"/>
          <w:iCs/>
          <w:color w:val="000000"/>
          <w:sz w:val="24"/>
          <w:szCs w:val="24"/>
        </w:rPr>
        <w:t xml:space="preserve"> and </w:t>
      </w:r>
      <w:r w:rsidR="009A35AC">
        <w:rPr>
          <w:rFonts w:ascii="Arial" w:hAnsi="Arial" w:cs="Arial"/>
          <w:iCs/>
          <w:color w:val="000000"/>
          <w:sz w:val="24"/>
          <w:szCs w:val="24"/>
        </w:rPr>
        <w:t xml:space="preserve">Jobseekers Allowance </w:t>
      </w:r>
      <w:r>
        <w:rPr>
          <w:rFonts w:ascii="Arial" w:hAnsi="Arial" w:cs="Arial"/>
          <w:iCs/>
          <w:color w:val="000000"/>
          <w:sz w:val="24"/>
          <w:szCs w:val="24"/>
        </w:rPr>
        <w:t xml:space="preserve">Sanctions, Work Capability </w:t>
      </w:r>
      <w:r w:rsidR="00873DF0">
        <w:rPr>
          <w:rFonts w:ascii="Arial" w:hAnsi="Arial" w:cs="Arial"/>
          <w:iCs/>
          <w:color w:val="000000"/>
          <w:sz w:val="24"/>
          <w:szCs w:val="24"/>
        </w:rPr>
        <w:t>Assessments</w:t>
      </w:r>
      <w:r>
        <w:rPr>
          <w:rFonts w:ascii="Arial" w:hAnsi="Arial" w:cs="Arial"/>
          <w:iCs/>
          <w:color w:val="000000"/>
          <w:sz w:val="24"/>
          <w:szCs w:val="24"/>
        </w:rPr>
        <w:t xml:space="preserve">, National Insurance Number registration for overseas workers and Personal Independence Payments. </w:t>
      </w:r>
    </w:p>
    <w:p w:rsidR="00001E12" w:rsidRDefault="00001E12" w:rsidP="00166BA8">
      <w:pPr>
        <w:pStyle w:val="ListParagraph"/>
        <w:suppressAutoHyphens/>
        <w:autoSpaceDE w:val="0"/>
        <w:autoSpaceDN w:val="0"/>
        <w:adjustRightInd w:val="0"/>
        <w:spacing w:after="0" w:line="240" w:lineRule="auto"/>
        <w:contextualSpacing w:val="0"/>
        <w:jc w:val="both"/>
        <w:textAlignment w:val="baseline"/>
        <w:rPr>
          <w:rFonts w:ascii="Arial" w:hAnsi="Arial" w:cs="Arial"/>
          <w:iCs/>
          <w:color w:val="000000"/>
          <w:sz w:val="24"/>
          <w:szCs w:val="24"/>
        </w:rPr>
      </w:pPr>
    </w:p>
    <w:p w:rsidR="00253A64" w:rsidRDefault="002D56B4"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b/>
          <w:iCs/>
          <w:color w:val="000000"/>
          <w:sz w:val="24"/>
          <w:szCs w:val="24"/>
        </w:rPr>
      </w:pPr>
      <w:r w:rsidRPr="007C160F">
        <w:rPr>
          <w:rFonts w:ascii="Arial" w:hAnsi="Arial" w:cs="Arial"/>
          <w:b/>
          <w:iCs/>
          <w:color w:val="000000"/>
          <w:sz w:val="24"/>
          <w:szCs w:val="24"/>
        </w:rPr>
        <w:t xml:space="preserve">DfE </w:t>
      </w:r>
      <w:r w:rsidR="008D4EA2" w:rsidRPr="007C160F">
        <w:rPr>
          <w:rFonts w:ascii="Arial" w:hAnsi="Arial" w:cs="Arial"/>
          <w:iCs/>
          <w:color w:val="000000"/>
          <w:sz w:val="24"/>
          <w:szCs w:val="24"/>
        </w:rPr>
        <w:t>released n</w:t>
      </w:r>
      <w:r w:rsidR="00253A64">
        <w:rPr>
          <w:rFonts w:ascii="Arial" w:hAnsi="Arial" w:cs="Arial"/>
          <w:iCs/>
          <w:color w:val="000000"/>
          <w:sz w:val="24"/>
          <w:szCs w:val="24"/>
        </w:rPr>
        <w:t xml:space="preserve">ew </w:t>
      </w:r>
      <w:r w:rsidR="007004AC">
        <w:rPr>
          <w:rFonts w:ascii="Arial" w:hAnsi="Arial" w:cs="Arial"/>
          <w:iCs/>
          <w:color w:val="000000"/>
          <w:sz w:val="24"/>
          <w:szCs w:val="24"/>
        </w:rPr>
        <w:t>open d</w:t>
      </w:r>
      <w:r w:rsidR="007004AC" w:rsidRPr="007C160F">
        <w:rPr>
          <w:rFonts w:ascii="Arial" w:hAnsi="Arial" w:cs="Arial"/>
          <w:iCs/>
          <w:color w:val="000000"/>
          <w:sz w:val="24"/>
          <w:szCs w:val="24"/>
        </w:rPr>
        <w:t xml:space="preserve">ata </w:t>
      </w:r>
      <w:r w:rsidR="00E91856">
        <w:rPr>
          <w:rFonts w:ascii="Arial" w:hAnsi="Arial" w:cs="Arial"/>
          <w:iCs/>
          <w:color w:val="000000"/>
          <w:sz w:val="24"/>
          <w:szCs w:val="24"/>
        </w:rPr>
        <w:t xml:space="preserve">on the “level 2 and 3 attainment by young people aged 19 in </w:t>
      </w:r>
      <w:r w:rsidR="007C160F" w:rsidRPr="007C160F">
        <w:rPr>
          <w:rFonts w:ascii="Arial" w:hAnsi="Arial" w:cs="Arial"/>
          <w:iCs/>
          <w:color w:val="000000"/>
          <w:sz w:val="24"/>
          <w:szCs w:val="24"/>
        </w:rPr>
        <w:t>2013” with enriched breakdowns</w:t>
      </w:r>
      <w:r w:rsidR="007C4D4A" w:rsidRPr="007C160F">
        <w:rPr>
          <w:rFonts w:ascii="Arial" w:hAnsi="Arial" w:cs="Arial"/>
          <w:iCs/>
          <w:color w:val="000000"/>
          <w:sz w:val="24"/>
          <w:szCs w:val="24"/>
        </w:rPr>
        <w:t xml:space="preserve">. </w:t>
      </w:r>
      <w:r w:rsidR="00206BE5" w:rsidRPr="007C160F">
        <w:rPr>
          <w:rFonts w:ascii="Arial" w:hAnsi="Arial" w:cs="Arial"/>
          <w:iCs/>
          <w:color w:val="000000"/>
          <w:sz w:val="24"/>
          <w:szCs w:val="24"/>
        </w:rPr>
        <w:t xml:space="preserve">DfE </w:t>
      </w:r>
      <w:r w:rsidR="00733579" w:rsidRPr="007C160F">
        <w:rPr>
          <w:rFonts w:ascii="Arial" w:hAnsi="Arial" w:cs="Arial"/>
          <w:iCs/>
          <w:color w:val="000000"/>
          <w:sz w:val="24"/>
          <w:szCs w:val="24"/>
        </w:rPr>
        <w:t xml:space="preserve">also published </w:t>
      </w:r>
      <w:r w:rsidR="00504260" w:rsidRPr="007C160F">
        <w:rPr>
          <w:rFonts w:ascii="Arial" w:hAnsi="Arial" w:cs="Arial"/>
          <w:iCs/>
          <w:color w:val="000000"/>
          <w:sz w:val="24"/>
          <w:szCs w:val="24"/>
        </w:rPr>
        <w:t xml:space="preserve">more data </w:t>
      </w:r>
      <w:r w:rsidR="00206BE5" w:rsidRPr="007C160F">
        <w:rPr>
          <w:rFonts w:ascii="Arial" w:hAnsi="Arial" w:cs="Arial"/>
          <w:iCs/>
          <w:color w:val="000000"/>
          <w:sz w:val="24"/>
          <w:szCs w:val="24"/>
        </w:rPr>
        <w:t xml:space="preserve">on </w:t>
      </w:r>
      <w:r w:rsidR="007C160F" w:rsidRPr="007C160F">
        <w:rPr>
          <w:rFonts w:ascii="Arial" w:hAnsi="Arial" w:cs="Arial"/>
          <w:iCs/>
          <w:color w:val="000000"/>
          <w:sz w:val="24"/>
          <w:szCs w:val="24"/>
        </w:rPr>
        <w:t>K</w:t>
      </w:r>
      <w:r w:rsidR="00766739">
        <w:rPr>
          <w:rFonts w:ascii="Arial" w:hAnsi="Arial" w:cs="Arial"/>
          <w:iCs/>
          <w:color w:val="000000"/>
          <w:sz w:val="24"/>
          <w:szCs w:val="24"/>
        </w:rPr>
        <w:t xml:space="preserve">ey </w:t>
      </w:r>
      <w:r w:rsidR="007C160F" w:rsidRPr="007C160F">
        <w:rPr>
          <w:rFonts w:ascii="Arial" w:hAnsi="Arial" w:cs="Arial"/>
          <w:iCs/>
          <w:color w:val="000000"/>
          <w:sz w:val="24"/>
          <w:szCs w:val="24"/>
        </w:rPr>
        <w:t>S</w:t>
      </w:r>
      <w:r w:rsidR="00766739">
        <w:rPr>
          <w:rFonts w:ascii="Arial" w:hAnsi="Arial" w:cs="Arial"/>
          <w:iCs/>
          <w:color w:val="000000"/>
          <w:sz w:val="24"/>
          <w:szCs w:val="24"/>
        </w:rPr>
        <w:t xml:space="preserve">tage </w:t>
      </w:r>
      <w:r w:rsidR="007C160F" w:rsidRPr="007C160F">
        <w:rPr>
          <w:rFonts w:ascii="Arial" w:hAnsi="Arial" w:cs="Arial"/>
          <w:iCs/>
          <w:color w:val="000000"/>
          <w:sz w:val="24"/>
          <w:szCs w:val="24"/>
        </w:rPr>
        <w:t>5 Destinations data for students with Special Educational Needs and Learners with Learning Difficulties and/or Disabilities as well as the complaints report.</w:t>
      </w:r>
      <w:r w:rsidR="007C160F" w:rsidRPr="007C160F">
        <w:rPr>
          <w:rFonts w:ascii="Arial" w:hAnsi="Arial" w:cs="Arial"/>
          <w:b/>
          <w:iCs/>
          <w:color w:val="000000"/>
          <w:sz w:val="24"/>
          <w:szCs w:val="24"/>
        </w:rPr>
        <w:t xml:space="preserve"> </w:t>
      </w:r>
    </w:p>
    <w:p w:rsidR="00253A64" w:rsidRPr="00253A64" w:rsidRDefault="00253A64" w:rsidP="00166BA8">
      <w:pPr>
        <w:pStyle w:val="ListParagraph"/>
        <w:suppressAutoHyphens/>
        <w:autoSpaceDE w:val="0"/>
        <w:autoSpaceDN w:val="0"/>
        <w:adjustRightInd w:val="0"/>
        <w:spacing w:after="0" w:line="240" w:lineRule="auto"/>
        <w:contextualSpacing w:val="0"/>
        <w:jc w:val="both"/>
        <w:textAlignment w:val="baseline"/>
        <w:rPr>
          <w:rFonts w:ascii="Arial" w:hAnsi="Arial" w:cs="Arial"/>
          <w:b/>
          <w:iCs/>
          <w:color w:val="000000"/>
          <w:sz w:val="24"/>
          <w:szCs w:val="24"/>
        </w:rPr>
      </w:pPr>
    </w:p>
    <w:p w:rsidR="000B130C" w:rsidRPr="00253A64" w:rsidRDefault="003B33C8" w:rsidP="00166BA8">
      <w:pPr>
        <w:pStyle w:val="ListParagraph"/>
        <w:numPr>
          <w:ilvl w:val="0"/>
          <w:numId w:val="1"/>
        </w:numPr>
        <w:suppressAutoHyphens/>
        <w:autoSpaceDE w:val="0"/>
        <w:autoSpaceDN w:val="0"/>
        <w:adjustRightInd w:val="0"/>
        <w:spacing w:after="0" w:line="240" w:lineRule="auto"/>
        <w:contextualSpacing w:val="0"/>
        <w:jc w:val="both"/>
        <w:textAlignment w:val="baseline"/>
        <w:rPr>
          <w:rFonts w:ascii="Arial" w:hAnsi="Arial" w:cs="Arial"/>
          <w:b/>
          <w:iCs/>
          <w:color w:val="000000"/>
          <w:sz w:val="24"/>
          <w:szCs w:val="24"/>
        </w:rPr>
      </w:pPr>
      <w:r w:rsidRPr="00253A64">
        <w:rPr>
          <w:rFonts w:ascii="Arial" w:hAnsi="Arial" w:cs="Arial"/>
          <w:iCs/>
          <w:color w:val="000000"/>
          <w:sz w:val="24"/>
          <w:szCs w:val="24"/>
        </w:rPr>
        <w:t>During the quarter</w:t>
      </w:r>
      <w:r w:rsidR="00253A64">
        <w:rPr>
          <w:rFonts w:ascii="Arial" w:hAnsi="Arial" w:cs="Arial"/>
          <w:iCs/>
          <w:color w:val="000000"/>
          <w:sz w:val="24"/>
          <w:szCs w:val="24"/>
        </w:rPr>
        <w:t>,</w:t>
      </w:r>
      <w:r w:rsidRPr="00253A64">
        <w:rPr>
          <w:rFonts w:ascii="Arial" w:hAnsi="Arial" w:cs="Arial"/>
          <w:iCs/>
          <w:color w:val="000000"/>
          <w:sz w:val="24"/>
          <w:szCs w:val="24"/>
        </w:rPr>
        <w:t xml:space="preserve"> </w:t>
      </w:r>
      <w:r w:rsidRPr="00253A64">
        <w:rPr>
          <w:rFonts w:ascii="Arial" w:hAnsi="Arial" w:cs="Arial"/>
          <w:b/>
          <w:iCs/>
          <w:color w:val="000000"/>
          <w:sz w:val="24"/>
          <w:szCs w:val="24"/>
        </w:rPr>
        <w:t>FCO</w:t>
      </w:r>
      <w:r w:rsidR="00E91856">
        <w:rPr>
          <w:rFonts w:ascii="Arial" w:hAnsi="Arial" w:cs="Arial"/>
          <w:iCs/>
          <w:color w:val="000000"/>
          <w:sz w:val="24"/>
          <w:szCs w:val="24"/>
        </w:rPr>
        <w:t xml:space="preserve"> released o</w:t>
      </w:r>
      <w:r w:rsidR="00360178">
        <w:rPr>
          <w:rFonts w:ascii="Arial" w:hAnsi="Arial" w:cs="Arial"/>
          <w:iCs/>
          <w:color w:val="000000"/>
          <w:sz w:val="24"/>
          <w:szCs w:val="24"/>
        </w:rPr>
        <w:t>verseas development aid</w:t>
      </w:r>
      <w:r w:rsidRPr="00253A64">
        <w:rPr>
          <w:rFonts w:ascii="Arial" w:hAnsi="Arial" w:cs="Arial"/>
          <w:iCs/>
          <w:color w:val="000000"/>
          <w:sz w:val="24"/>
          <w:szCs w:val="24"/>
        </w:rPr>
        <w:t xml:space="preserve"> data </w:t>
      </w:r>
      <w:r w:rsidR="00253A64">
        <w:rPr>
          <w:rFonts w:ascii="Arial" w:hAnsi="Arial" w:cs="Arial"/>
          <w:iCs/>
          <w:color w:val="000000"/>
          <w:sz w:val="24"/>
          <w:szCs w:val="24"/>
        </w:rPr>
        <w:t>for Jan</w:t>
      </w:r>
      <w:r w:rsidR="00082028">
        <w:rPr>
          <w:rFonts w:ascii="Arial" w:hAnsi="Arial" w:cs="Arial"/>
          <w:iCs/>
          <w:color w:val="000000"/>
          <w:sz w:val="24"/>
          <w:szCs w:val="24"/>
        </w:rPr>
        <w:t xml:space="preserve">uary to </w:t>
      </w:r>
      <w:r w:rsidR="00253A64">
        <w:rPr>
          <w:rFonts w:ascii="Arial" w:hAnsi="Arial" w:cs="Arial"/>
          <w:iCs/>
          <w:color w:val="000000"/>
          <w:sz w:val="24"/>
          <w:szCs w:val="24"/>
        </w:rPr>
        <w:t xml:space="preserve">March </w:t>
      </w:r>
      <w:r w:rsidR="00B01DB4">
        <w:rPr>
          <w:rFonts w:ascii="Arial" w:hAnsi="Arial" w:cs="Arial"/>
          <w:iCs/>
          <w:color w:val="000000"/>
          <w:sz w:val="24"/>
          <w:szCs w:val="24"/>
        </w:rPr>
        <w:t xml:space="preserve">in xml </w:t>
      </w:r>
      <w:r w:rsidR="00661F8A">
        <w:rPr>
          <w:rFonts w:ascii="Arial" w:hAnsi="Arial" w:cs="Arial"/>
          <w:iCs/>
          <w:color w:val="000000"/>
          <w:sz w:val="24"/>
          <w:szCs w:val="24"/>
        </w:rPr>
        <w:t>format and</w:t>
      </w:r>
      <w:r w:rsidR="00B01DB4">
        <w:rPr>
          <w:rFonts w:ascii="Arial" w:hAnsi="Arial" w:cs="Arial"/>
          <w:iCs/>
          <w:color w:val="000000"/>
          <w:sz w:val="24"/>
          <w:szCs w:val="24"/>
        </w:rPr>
        <w:t xml:space="preserve"> an u</w:t>
      </w:r>
      <w:r w:rsidRPr="00253A64">
        <w:rPr>
          <w:rFonts w:ascii="Arial" w:hAnsi="Arial" w:cs="Arial"/>
          <w:iCs/>
          <w:color w:val="000000"/>
          <w:sz w:val="24"/>
          <w:szCs w:val="24"/>
        </w:rPr>
        <w:t>pdated version of the Archive Inventory</w:t>
      </w:r>
      <w:r w:rsidR="002C73A0">
        <w:rPr>
          <w:rFonts w:ascii="Arial" w:hAnsi="Arial" w:cs="Arial"/>
          <w:iCs/>
          <w:color w:val="000000"/>
          <w:sz w:val="24"/>
          <w:szCs w:val="24"/>
        </w:rPr>
        <w:t>.</w:t>
      </w:r>
    </w:p>
    <w:bookmarkEnd w:id="1"/>
    <w:bookmarkEnd w:id="2"/>
    <w:p w:rsidR="00790616" w:rsidRDefault="00790616" w:rsidP="00166BA8">
      <w:pPr>
        <w:suppressAutoHyphens/>
        <w:autoSpaceDN w:val="0"/>
        <w:spacing w:after="0" w:line="240" w:lineRule="auto"/>
        <w:jc w:val="both"/>
        <w:textAlignment w:val="baseline"/>
      </w:pPr>
      <w:r>
        <w:t xml:space="preserve"> </w:t>
      </w:r>
    </w:p>
    <w:p w:rsidR="00790616" w:rsidRDefault="002D56B4" w:rsidP="00166BA8">
      <w:pPr>
        <w:numPr>
          <w:ilvl w:val="0"/>
          <w:numId w:val="1"/>
        </w:numPr>
        <w:autoSpaceDE w:val="0"/>
        <w:autoSpaceDN w:val="0"/>
        <w:adjustRightInd w:val="0"/>
        <w:spacing w:after="0"/>
        <w:jc w:val="both"/>
        <w:rPr>
          <w:rFonts w:ascii="Arial" w:hAnsi="Arial" w:cs="Arial"/>
          <w:sz w:val="24"/>
          <w:szCs w:val="24"/>
        </w:rPr>
      </w:pPr>
      <w:r w:rsidRPr="00CC472F">
        <w:rPr>
          <w:rFonts w:ascii="Arial" w:hAnsi="Arial" w:cs="Arial"/>
          <w:b/>
          <w:sz w:val="24"/>
          <w:szCs w:val="24"/>
        </w:rPr>
        <w:t>HMRC</w:t>
      </w:r>
      <w:r w:rsidR="00790616">
        <w:rPr>
          <w:rFonts w:ascii="Arial" w:hAnsi="Arial" w:cs="Arial"/>
          <w:b/>
          <w:sz w:val="24"/>
          <w:szCs w:val="24"/>
        </w:rPr>
        <w:t xml:space="preserve"> </w:t>
      </w:r>
      <w:r w:rsidR="00790616" w:rsidRPr="00790616">
        <w:rPr>
          <w:rFonts w:ascii="Arial" w:hAnsi="Arial" w:cs="Arial"/>
          <w:sz w:val="24"/>
          <w:szCs w:val="24"/>
        </w:rPr>
        <w:t>started releasing weekly and mo</w:t>
      </w:r>
      <w:r w:rsidR="00B01DB4">
        <w:rPr>
          <w:rFonts w:ascii="Arial" w:hAnsi="Arial" w:cs="Arial"/>
          <w:sz w:val="24"/>
          <w:szCs w:val="24"/>
        </w:rPr>
        <w:t>nthly Pay Adjustment Tables in o</w:t>
      </w:r>
      <w:r w:rsidR="00790616" w:rsidRPr="00790616">
        <w:rPr>
          <w:rFonts w:ascii="Arial" w:hAnsi="Arial" w:cs="Arial"/>
          <w:sz w:val="24"/>
          <w:szCs w:val="24"/>
        </w:rPr>
        <w:t>pen format for the first time this quarter</w:t>
      </w:r>
      <w:r w:rsidR="00790616" w:rsidRPr="002C73A0">
        <w:rPr>
          <w:rFonts w:ascii="Arial" w:hAnsi="Arial" w:cs="Arial"/>
          <w:sz w:val="24"/>
          <w:szCs w:val="24"/>
        </w:rPr>
        <w:t>.</w:t>
      </w:r>
      <w:r w:rsidR="00790616">
        <w:rPr>
          <w:rFonts w:ascii="Arial" w:hAnsi="Arial" w:cs="Arial"/>
          <w:b/>
          <w:sz w:val="24"/>
          <w:szCs w:val="24"/>
        </w:rPr>
        <w:t xml:space="preserve"> </w:t>
      </w:r>
      <w:r w:rsidR="00790616">
        <w:rPr>
          <w:rFonts w:ascii="Arial" w:hAnsi="Arial" w:cs="Arial"/>
          <w:sz w:val="24"/>
          <w:szCs w:val="24"/>
        </w:rPr>
        <w:t xml:space="preserve">In addition, HMRC </w:t>
      </w:r>
      <w:r w:rsidR="00B51D7E" w:rsidRPr="00CC472F">
        <w:rPr>
          <w:rFonts w:ascii="Arial" w:hAnsi="Arial" w:cs="Arial"/>
          <w:sz w:val="24"/>
          <w:szCs w:val="24"/>
        </w:rPr>
        <w:t>continued releasing transparency datasets on time, including air travel data,</w:t>
      </w:r>
      <w:r w:rsidR="00D7148E" w:rsidRPr="00CC472F">
        <w:rPr>
          <w:rFonts w:ascii="Arial" w:hAnsi="Arial" w:cs="Arial"/>
          <w:sz w:val="24"/>
          <w:szCs w:val="24"/>
        </w:rPr>
        <w:t xml:space="preserve"> </w:t>
      </w:r>
      <w:r w:rsidR="00B51D7E" w:rsidRPr="00CC472F">
        <w:rPr>
          <w:rFonts w:ascii="Arial" w:hAnsi="Arial" w:cs="Arial"/>
          <w:sz w:val="24"/>
          <w:szCs w:val="24"/>
        </w:rPr>
        <w:t>HMRC officials</w:t>
      </w:r>
      <w:r w:rsidR="0042467D">
        <w:rPr>
          <w:rFonts w:ascii="Arial" w:hAnsi="Arial" w:cs="Arial"/>
          <w:sz w:val="24"/>
          <w:szCs w:val="24"/>
        </w:rPr>
        <w:t>’</w:t>
      </w:r>
      <w:r w:rsidR="00B51D7E" w:rsidRPr="00CC472F">
        <w:rPr>
          <w:rFonts w:ascii="Arial" w:hAnsi="Arial" w:cs="Arial"/>
          <w:sz w:val="24"/>
          <w:szCs w:val="24"/>
        </w:rPr>
        <w:t xml:space="preserve"> meetings with the t</w:t>
      </w:r>
      <w:r w:rsidR="00CC472F">
        <w:rPr>
          <w:rFonts w:ascii="Arial" w:hAnsi="Arial" w:cs="Arial"/>
          <w:sz w:val="24"/>
          <w:szCs w:val="24"/>
        </w:rPr>
        <w:t xml:space="preserve">obacco industry, minutes of the </w:t>
      </w:r>
      <w:r w:rsidR="000646FE">
        <w:rPr>
          <w:rFonts w:ascii="Arial" w:hAnsi="Arial" w:cs="Arial"/>
          <w:sz w:val="24"/>
          <w:szCs w:val="24"/>
        </w:rPr>
        <w:t>Tax Transparency Sector Board</w:t>
      </w:r>
      <w:r w:rsidR="00790616">
        <w:rPr>
          <w:rFonts w:ascii="Arial" w:hAnsi="Arial" w:cs="Arial"/>
          <w:sz w:val="24"/>
          <w:szCs w:val="24"/>
        </w:rPr>
        <w:t>,</w:t>
      </w:r>
      <w:r w:rsidR="00B51D7E" w:rsidRPr="00CC472F">
        <w:rPr>
          <w:rFonts w:ascii="Arial" w:hAnsi="Arial" w:cs="Arial"/>
          <w:sz w:val="24"/>
          <w:szCs w:val="24"/>
        </w:rPr>
        <w:t xml:space="preserve"> performance reports</w:t>
      </w:r>
      <w:r w:rsidR="00790616">
        <w:rPr>
          <w:rFonts w:ascii="Arial" w:hAnsi="Arial" w:cs="Arial"/>
          <w:sz w:val="24"/>
          <w:szCs w:val="24"/>
        </w:rPr>
        <w:t xml:space="preserve"> and Business Plan Indicators</w:t>
      </w:r>
      <w:r w:rsidR="00B51D7E" w:rsidRPr="00CC472F">
        <w:rPr>
          <w:rFonts w:ascii="Arial" w:hAnsi="Arial" w:cs="Arial"/>
          <w:sz w:val="24"/>
          <w:szCs w:val="24"/>
        </w:rPr>
        <w:t>.</w:t>
      </w:r>
      <w:r w:rsidR="0024374D" w:rsidRPr="00CC472F">
        <w:rPr>
          <w:rFonts w:ascii="Arial" w:hAnsi="Arial" w:cs="Arial"/>
          <w:sz w:val="24"/>
          <w:szCs w:val="24"/>
        </w:rPr>
        <w:t xml:space="preserve"> </w:t>
      </w:r>
    </w:p>
    <w:p w:rsidR="00790616" w:rsidRDefault="00790616" w:rsidP="00166BA8">
      <w:pPr>
        <w:autoSpaceDE w:val="0"/>
        <w:autoSpaceDN w:val="0"/>
        <w:adjustRightInd w:val="0"/>
        <w:spacing w:after="0"/>
        <w:ind w:left="720"/>
        <w:jc w:val="both"/>
        <w:rPr>
          <w:rFonts w:ascii="Arial" w:hAnsi="Arial" w:cs="Arial"/>
          <w:sz w:val="24"/>
          <w:szCs w:val="24"/>
        </w:rPr>
      </w:pPr>
    </w:p>
    <w:p w:rsidR="00790616" w:rsidRDefault="002D56B4" w:rsidP="00166BA8">
      <w:pPr>
        <w:numPr>
          <w:ilvl w:val="0"/>
          <w:numId w:val="1"/>
        </w:numPr>
        <w:autoSpaceDE w:val="0"/>
        <w:autoSpaceDN w:val="0"/>
        <w:adjustRightInd w:val="0"/>
        <w:spacing w:after="0"/>
        <w:jc w:val="both"/>
        <w:rPr>
          <w:rFonts w:ascii="Arial" w:hAnsi="Arial" w:cs="Arial"/>
          <w:sz w:val="24"/>
          <w:szCs w:val="24"/>
        </w:rPr>
      </w:pPr>
      <w:r w:rsidRPr="00790616">
        <w:rPr>
          <w:rFonts w:ascii="Arial" w:hAnsi="Arial" w:cs="Arial"/>
          <w:b/>
          <w:sz w:val="24"/>
          <w:szCs w:val="24"/>
        </w:rPr>
        <w:t>HO</w:t>
      </w:r>
      <w:r w:rsidR="00790616" w:rsidRPr="00790616">
        <w:rPr>
          <w:rFonts w:ascii="Arial" w:hAnsi="Arial" w:cs="Arial"/>
          <w:sz w:val="24"/>
          <w:szCs w:val="24"/>
        </w:rPr>
        <w:t xml:space="preserve"> published the </w:t>
      </w:r>
      <w:r w:rsidR="00B01DB4">
        <w:rPr>
          <w:rFonts w:ascii="Arial" w:hAnsi="Arial" w:cs="Arial"/>
          <w:sz w:val="24"/>
          <w:szCs w:val="24"/>
        </w:rPr>
        <w:t>d</w:t>
      </w:r>
      <w:r w:rsidR="00790616" w:rsidRPr="00790616">
        <w:rPr>
          <w:rFonts w:ascii="Arial" w:hAnsi="Arial" w:cs="Arial"/>
          <w:sz w:val="24"/>
          <w:szCs w:val="24"/>
        </w:rPr>
        <w:t>ata on football banning orders for 2012/13 in March</w:t>
      </w:r>
      <w:r w:rsidR="00790616">
        <w:rPr>
          <w:rFonts w:ascii="Arial" w:hAnsi="Arial" w:cs="Arial"/>
          <w:sz w:val="24"/>
          <w:szCs w:val="24"/>
        </w:rPr>
        <w:t xml:space="preserve">. </w:t>
      </w:r>
    </w:p>
    <w:p w:rsidR="002C73A0" w:rsidRPr="002C73A0" w:rsidRDefault="002C73A0" w:rsidP="002C73A0">
      <w:pPr>
        <w:autoSpaceDE w:val="0"/>
        <w:autoSpaceDN w:val="0"/>
        <w:adjustRightInd w:val="0"/>
        <w:spacing w:after="0"/>
        <w:ind w:left="720"/>
        <w:jc w:val="both"/>
        <w:rPr>
          <w:rFonts w:ascii="Arial" w:hAnsi="Arial" w:cs="Arial"/>
          <w:sz w:val="24"/>
          <w:szCs w:val="24"/>
        </w:rPr>
      </w:pPr>
    </w:p>
    <w:p w:rsidR="002D56B4" w:rsidRPr="00D57981" w:rsidRDefault="00790616" w:rsidP="00166BA8">
      <w:pPr>
        <w:numPr>
          <w:ilvl w:val="0"/>
          <w:numId w:val="1"/>
        </w:numPr>
        <w:autoSpaceDE w:val="0"/>
        <w:autoSpaceDN w:val="0"/>
        <w:adjustRightInd w:val="0"/>
        <w:spacing w:after="0"/>
        <w:jc w:val="both"/>
        <w:rPr>
          <w:rFonts w:ascii="Arial" w:hAnsi="Arial" w:cs="Arial"/>
          <w:sz w:val="24"/>
          <w:szCs w:val="24"/>
        </w:rPr>
      </w:pPr>
      <w:r>
        <w:rPr>
          <w:rFonts w:ascii="Arial" w:hAnsi="Arial" w:cs="Arial"/>
          <w:b/>
          <w:sz w:val="24"/>
          <w:szCs w:val="24"/>
        </w:rPr>
        <w:t>MOD</w:t>
      </w:r>
      <w:r w:rsidR="00B01DB4">
        <w:rPr>
          <w:rFonts w:ascii="Arial" w:hAnsi="Arial" w:cs="Arial"/>
          <w:sz w:val="24"/>
          <w:szCs w:val="24"/>
        </w:rPr>
        <w:t xml:space="preserve"> released a dataset of its</w:t>
      </w:r>
      <w:r w:rsidRPr="00790616">
        <w:rPr>
          <w:rFonts w:ascii="Arial" w:hAnsi="Arial" w:cs="Arial"/>
          <w:sz w:val="24"/>
          <w:szCs w:val="24"/>
        </w:rPr>
        <w:t xml:space="preserve"> library catalogue.</w:t>
      </w:r>
      <w:r>
        <w:t xml:space="preserve"> </w:t>
      </w:r>
      <w:r w:rsidR="007A3A5D" w:rsidRPr="00790616">
        <w:rPr>
          <w:rFonts w:ascii="Arial" w:hAnsi="Arial" w:cs="Arial"/>
          <w:b/>
          <w:sz w:val="24"/>
          <w:szCs w:val="24"/>
        </w:rPr>
        <w:t xml:space="preserve"> </w:t>
      </w:r>
    </w:p>
    <w:p w:rsidR="002C73A0" w:rsidRPr="002C73A0" w:rsidRDefault="002C73A0" w:rsidP="002C73A0">
      <w:pPr>
        <w:autoSpaceDE w:val="0"/>
        <w:autoSpaceDN w:val="0"/>
        <w:adjustRightInd w:val="0"/>
        <w:spacing w:after="0"/>
        <w:ind w:left="720"/>
        <w:jc w:val="both"/>
        <w:rPr>
          <w:rFonts w:ascii="Arial" w:hAnsi="Arial" w:cs="Arial"/>
          <w:sz w:val="24"/>
          <w:szCs w:val="24"/>
        </w:rPr>
      </w:pPr>
    </w:p>
    <w:p w:rsidR="00D932E9" w:rsidRPr="009E4A6D" w:rsidRDefault="00D932E9" w:rsidP="00166BA8">
      <w:pPr>
        <w:numPr>
          <w:ilvl w:val="0"/>
          <w:numId w:val="1"/>
        </w:numPr>
        <w:autoSpaceDE w:val="0"/>
        <w:autoSpaceDN w:val="0"/>
        <w:adjustRightInd w:val="0"/>
        <w:spacing w:after="0"/>
        <w:jc w:val="both"/>
        <w:rPr>
          <w:rFonts w:ascii="Arial" w:hAnsi="Arial" w:cs="Arial"/>
          <w:sz w:val="24"/>
          <w:szCs w:val="24"/>
        </w:rPr>
      </w:pPr>
      <w:r w:rsidRPr="00D57981">
        <w:rPr>
          <w:rFonts w:ascii="Arial" w:hAnsi="Arial" w:cs="Arial"/>
          <w:b/>
          <w:sz w:val="24"/>
          <w:szCs w:val="24"/>
        </w:rPr>
        <w:t>MoJ</w:t>
      </w:r>
      <w:r>
        <w:rPr>
          <w:rFonts w:ascii="Arial" w:hAnsi="Arial" w:cs="Arial"/>
          <w:sz w:val="24"/>
          <w:szCs w:val="24"/>
        </w:rPr>
        <w:t xml:space="preserve"> enhanced ‘Court finder’; </w:t>
      </w:r>
      <w:r w:rsidRPr="00D57981">
        <w:rPr>
          <w:rFonts w:ascii="Arial" w:hAnsi="Arial" w:cs="Arial"/>
          <w:sz w:val="24"/>
          <w:szCs w:val="24"/>
        </w:rPr>
        <w:t>a digital tool for looking up court locations</w:t>
      </w:r>
      <w:r>
        <w:rPr>
          <w:rFonts w:ascii="Arial" w:hAnsi="Arial" w:cs="Arial"/>
          <w:sz w:val="24"/>
          <w:szCs w:val="24"/>
        </w:rPr>
        <w:t xml:space="preserve">. </w:t>
      </w:r>
      <w:r w:rsidRPr="00D57981">
        <w:rPr>
          <w:rFonts w:ascii="Arial" w:hAnsi="Arial" w:cs="Arial"/>
          <w:sz w:val="24"/>
          <w:szCs w:val="24"/>
        </w:rPr>
        <w:t xml:space="preserve">It </w:t>
      </w:r>
      <w:r w:rsidR="00082028">
        <w:rPr>
          <w:rFonts w:ascii="Arial" w:hAnsi="Arial" w:cs="Arial"/>
          <w:sz w:val="24"/>
          <w:szCs w:val="24"/>
        </w:rPr>
        <w:t>added</w:t>
      </w:r>
      <w:r w:rsidRPr="00D57981">
        <w:rPr>
          <w:rFonts w:ascii="Arial" w:hAnsi="Arial" w:cs="Arial"/>
          <w:sz w:val="24"/>
          <w:szCs w:val="24"/>
        </w:rPr>
        <w:t xml:space="preserve"> interfaces for other digital tools to automatically import the list of courts or the list of all postcodes covered by a specific court for an area of law.</w:t>
      </w:r>
      <w:r>
        <w:rPr>
          <w:rFonts w:ascii="Arial" w:hAnsi="Arial" w:cs="Arial"/>
          <w:sz w:val="24"/>
          <w:szCs w:val="24"/>
        </w:rPr>
        <w:t xml:space="preserve"> </w:t>
      </w:r>
      <w:r w:rsidR="00082028">
        <w:rPr>
          <w:rFonts w:ascii="Arial" w:hAnsi="Arial" w:cs="Arial"/>
          <w:sz w:val="24"/>
          <w:szCs w:val="24"/>
        </w:rPr>
        <w:t xml:space="preserve">Progress </w:t>
      </w:r>
      <w:r w:rsidR="00335602">
        <w:rPr>
          <w:rFonts w:ascii="Arial" w:hAnsi="Arial" w:cs="Arial"/>
          <w:sz w:val="24"/>
          <w:szCs w:val="24"/>
        </w:rPr>
        <w:t xml:space="preserve">was </w:t>
      </w:r>
      <w:r w:rsidR="00082028">
        <w:rPr>
          <w:rFonts w:ascii="Arial" w:hAnsi="Arial" w:cs="Arial"/>
          <w:sz w:val="24"/>
          <w:szCs w:val="24"/>
        </w:rPr>
        <w:t xml:space="preserve">made </w:t>
      </w:r>
      <w:r>
        <w:rPr>
          <w:rFonts w:ascii="Arial" w:hAnsi="Arial" w:cs="Arial"/>
          <w:sz w:val="24"/>
          <w:szCs w:val="24"/>
        </w:rPr>
        <w:t>on expanding the</w:t>
      </w:r>
      <w:r w:rsidRPr="00D57981">
        <w:rPr>
          <w:rFonts w:ascii="Arial" w:hAnsi="Arial" w:cs="Arial"/>
          <w:sz w:val="24"/>
          <w:szCs w:val="24"/>
        </w:rPr>
        <w:t xml:space="preserve"> coverage </w:t>
      </w:r>
      <w:r>
        <w:rPr>
          <w:rFonts w:ascii="Arial" w:hAnsi="Arial" w:cs="Arial"/>
          <w:sz w:val="24"/>
          <w:szCs w:val="24"/>
        </w:rPr>
        <w:t xml:space="preserve">of the ‘Tribunal decisions’ tool </w:t>
      </w:r>
      <w:r w:rsidRPr="00D57981">
        <w:rPr>
          <w:rFonts w:ascii="Arial" w:hAnsi="Arial" w:cs="Arial"/>
          <w:sz w:val="24"/>
          <w:szCs w:val="24"/>
        </w:rPr>
        <w:t xml:space="preserve">to all tribunal chamber decisions. Appeals to the Upper Tribunal for immigration and asylum chamber decisions are </w:t>
      </w:r>
      <w:r>
        <w:rPr>
          <w:rFonts w:ascii="Arial" w:hAnsi="Arial" w:cs="Arial"/>
          <w:sz w:val="24"/>
          <w:szCs w:val="24"/>
        </w:rPr>
        <w:t xml:space="preserve">currently </w:t>
      </w:r>
      <w:r w:rsidRPr="00D57981">
        <w:rPr>
          <w:rFonts w:ascii="Arial" w:hAnsi="Arial" w:cs="Arial"/>
          <w:sz w:val="24"/>
          <w:szCs w:val="24"/>
        </w:rPr>
        <w:t>included in the tool. 'Tribunal decisions' is a digital web based tool which makes tribunal decisions available online in a way that’s easy to search and view.</w:t>
      </w:r>
    </w:p>
    <w:p w:rsidR="00D932E9" w:rsidRPr="009E4A6D" w:rsidRDefault="00D932E9" w:rsidP="00166BA8">
      <w:pPr>
        <w:autoSpaceDE w:val="0"/>
        <w:autoSpaceDN w:val="0"/>
        <w:adjustRightInd w:val="0"/>
        <w:spacing w:after="0"/>
        <w:ind w:left="720"/>
        <w:jc w:val="both"/>
        <w:rPr>
          <w:rFonts w:ascii="Arial" w:hAnsi="Arial" w:cs="Arial"/>
          <w:sz w:val="24"/>
          <w:szCs w:val="24"/>
        </w:rPr>
      </w:pPr>
    </w:p>
    <w:p w:rsidR="00D57981" w:rsidRDefault="00D57981" w:rsidP="00166BA8">
      <w:pPr>
        <w:autoSpaceDE w:val="0"/>
        <w:autoSpaceDN w:val="0"/>
        <w:adjustRightInd w:val="0"/>
        <w:spacing w:after="0"/>
        <w:ind w:left="720"/>
        <w:jc w:val="both"/>
        <w:rPr>
          <w:rFonts w:ascii="Arial" w:hAnsi="Arial" w:cs="Arial"/>
          <w:sz w:val="24"/>
          <w:szCs w:val="24"/>
        </w:rPr>
      </w:pPr>
    </w:p>
    <w:p w:rsidR="00790616" w:rsidRDefault="00790616" w:rsidP="00166BA8">
      <w:pPr>
        <w:pStyle w:val="ListParagraph"/>
        <w:jc w:val="both"/>
        <w:rPr>
          <w:rFonts w:ascii="Arial" w:hAnsi="Arial" w:cs="Arial"/>
          <w:sz w:val="24"/>
          <w:szCs w:val="24"/>
        </w:rPr>
      </w:pPr>
    </w:p>
    <w:p w:rsidR="00790616" w:rsidRPr="006250BE" w:rsidRDefault="00790616" w:rsidP="00166BA8">
      <w:pPr>
        <w:autoSpaceDE w:val="0"/>
        <w:autoSpaceDN w:val="0"/>
        <w:adjustRightInd w:val="0"/>
        <w:spacing w:after="0"/>
        <w:ind w:left="720"/>
        <w:jc w:val="both"/>
        <w:rPr>
          <w:rFonts w:ascii="Arial" w:hAnsi="Arial" w:cs="Arial"/>
          <w:sz w:val="24"/>
          <w:szCs w:val="24"/>
        </w:rPr>
      </w:pPr>
    </w:p>
    <w:p w:rsidR="002D56B4" w:rsidRPr="006250BE" w:rsidRDefault="002D56B4" w:rsidP="00166BA8">
      <w:pPr>
        <w:autoSpaceDE w:val="0"/>
        <w:autoSpaceDN w:val="0"/>
        <w:adjustRightInd w:val="0"/>
        <w:spacing w:after="300"/>
        <w:jc w:val="both"/>
        <w:rPr>
          <w:rFonts w:ascii="Arial" w:hAnsi="Arial" w:cs="Arial"/>
          <w:b/>
          <w:sz w:val="24"/>
          <w:szCs w:val="24"/>
        </w:rPr>
      </w:pPr>
      <w:r w:rsidRPr="006250BE">
        <w:rPr>
          <w:rFonts w:ascii="Arial" w:hAnsi="Arial" w:cs="Arial"/>
          <w:b/>
          <w:sz w:val="24"/>
          <w:szCs w:val="24"/>
        </w:rPr>
        <w:t>Arm</w:t>
      </w:r>
      <w:r w:rsidR="00705608" w:rsidRPr="006250BE">
        <w:rPr>
          <w:rFonts w:ascii="Arial" w:hAnsi="Arial" w:cs="Arial"/>
          <w:b/>
          <w:sz w:val="24"/>
          <w:szCs w:val="24"/>
        </w:rPr>
        <w:t>’</w:t>
      </w:r>
      <w:r w:rsidRPr="006250BE">
        <w:rPr>
          <w:rFonts w:ascii="Arial" w:hAnsi="Arial" w:cs="Arial"/>
          <w:b/>
          <w:sz w:val="24"/>
          <w:szCs w:val="24"/>
        </w:rPr>
        <w:t>s Length Bodies Progress</w:t>
      </w:r>
    </w:p>
    <w:p w:rsidR="002D56B4" w:rsidRPr="006250BE" w:rsidRDefault="002D56B4" w:rsidP="00166BA8">
      <w:pPr>
        <w:autoSpaceDE w:val="0"/>
        <w:autoSpaceDN w:val="0"/>
        <w:adjustRightInd w:val="0"/>
        <w:spacing w:after="300"/>
        <w:jc w:val="both"/>
        <w:rPr>
          <w:rFonts w:ascii="Arial" w:hAnsi="Arial" w:cs="Arial"/>
          <w:i/>
          <w:sz w:val="24"/>
          <w:szCs w:val="24"/>
        </w:rPr>
      </w:pPr>
      <w:r w:rsidRPr="006250BE">
        <w:rPr>
          <w:rFonts w:ascii="Arial" w:hAnsi="Arial" w:cs="Arial"/>
          <w:i/>
          <w:sz w:val="24"/>
          <w:szCs w:val="24"/>
        </w:rPr>
        <w:t>ALB reporting supports progress against Public Data Principles 1, 2, 3, 4, 5, 8, 9, 10, 11, 12</w:t>
      </w:r>
    </w:p>
    <w:p w:rsidR="00310582" w:rsidRPr="002E08CF" w:rsidRDefault="002D56B4" w:rsidP="00166BA8">
      <w:pPr>
        <w:numPr>
          <w:ilvl w:val="0"/>
          <w:numId w:val="1"/>
        </w:numPr>
        <w:spacing w:after="300"/>
        <w:jc w:val="both"/>
        <w:rPr>
          <w:rFonts w:ascii="Arial" w:hAnsi="Arial" w:cs="Arial"/>
          <w:iCs/>
          <w:color w:val="000000"/>
          <w:sz w:val="24"/>
          <w:szCs w:val="24"/>
        </w:rPr>
      </w:pPr>
      <w:r w:rsidRPr="00310582">
        <w:rPr>
          <w:rFonts w:ascii="Arial" w:hAnsi="Arial" w:cs="Arial"/>
          <w:b/>
          <w:sz w:val="24"/>
          <w:szCs w:val="24"/>
        </w:rPr>
        <w:t>DCLG</w:t>
      </w:r>
      <w:r w:rsidRPr="00310582">
        <w:rPr>
          <w:rFonts w:ascii="Arial" w:hAnsi="Arial" w:cs="Arial"/>
          <w:sz w:val="24"/>
          <w:szCs w:val="24"/>
        </w:rPr>
        <w:t xml:space="preserve">’s </w:t>
      </w:r>
      <w:r w:rsidR="001D2AE1" w:rsidRPr="00310582">
        <w:rPr>
          <w:rFonts w:ascii="Arial" w:hAnsi="Arial" w:cs="Arial"/>
          <w:sz w:val="24"/>
          <w:szCs w:val="24"/>
        </w:rPr>
        <w:t>ALBs publish</w:t>
      </w:r>
      <w:r w:rsidR="00082028">
        <w:rPr>
          <w:rFonts w:ascii="Arial" w:hAnsi="Arial" w:cs="Arial"/>
          <w:sz w:val="24"/>
          <w:szCs w:val="24"/>
        </w:rPr>
        <w:t>ed</w:t>
      </w:r>
      <w:r w:rsidR="001D2AE1" w:rsidRPr="00310582">
        <w:rPr>
          <w:rFonts w:ascii="Arial" w:hAnsi="Arial" w:cs="Arial"/>
          <w:sz w:val="24"/>
          <w:szCs w:val="24"/>
        </w:rPr>
        <w:t xml:space="preserve"> </w:t>
      </w:r>
      <w:r w:rsidR="00310582" w:rsidRPr="00310582">
        <w:rPr>
          <w:rFonts w:ascii="Arial" w:hAnsi="Arial" w:cs="Arial"/>
          <w:sz w:val="24"/>
          <w:szCs w:val="24"/>
        </w:rPr>
        <w:t>all item of spend over £250, which goes beyond the Cabinet Office’s r</w:t>
      </w:r>
      <w:r w:rsidR="004B2A79">
        <w:rPr>
          <w:rFonts w:ascii="Arial" w:hAnsi="Arial" w:cs="Arial"/>
          <w:sz w:val="24"/>
          <w:szCs w:val="24"/>
        </w:rPr>
        <w:t>equirements. Many of DCLG’s ALBs</w:t>
      </w:r>
      <w:r w:rsidR="00310582" w:rsidRPr="00310582">
        <w:rPr>
          <w:rFonts w:ascii="Arial" w:hAnsi="Arial" w:cs="Arial"/>
          <w:sz w:val="24"/>
          <w:szCs w:val="24"/>
        </w:rPr>
        <w:t xml:space="preserve"> </w:t>
      </w:r>
      <w:r w:rsidR="00335602">
        <w:rPr>
          <w:rFonts w:ascii="Arial" w:hAnsi="Arial" w:cs="Arial"/>
          <w:sz w:val="24"/>
          <w:szCs w:val="24"/>
        </w:rPr>
        <w:t>have published</w:t>
      </w:r>
      <w:r w:rsidR="00310582" w:rsidRPr="00310582">
        <w:rPr>
          <w:rFonts w:ascii="Arial" w:hAnsi="Arial" w:cs="Arial"/>
          <w:sz w:val="24"/>
          <w:szCs w:val="24"/>
        </w:rPr>
        <w:t xml:space="preserve"> their data online</w:t>
      </w:r>
      <w:r w:rsidR="00310582">
        <w:rPr>
          <w:rFonts w:ascii="Arial" w:hAnsi="Arial" w:cs="Arial"/>
          <w:sz w:val="24"/>
          <w:szCs w:val="24"/>
        </w:rPr>
        <w:t>, on DCLG’s website</w:t>
      </w:r>
      <w:r w:rsidR="00310582" w:rsidRPr="00310582">
        <w:rPr>
          <w:rFonts w:ascii="Arial" w:hAnsi="Arial" w:cs="Arial"/>
          <w:sz w:val="24"/>
          <w:szCs w:val="24"/>
        </w:rPr>
        <w:t xml:space="preserve">, including the Queen Elizabeth II Conference Centre, The Valuation Tribunal, Housing and Local Government Ombudsmen, Architects Registration Board and the Leasehold Advisory Service. </w:t>
      </w:r>
      <w:r w:rsidR="00200B4D" w:rsidRPr="002E08CF">
        <w:rPr>
          <w:rFonts w:ascii="Arial" w:hAnsi="Arial" w:cs="Arial"/>
          <w:sz w:val="24"/>
          <w:szCs w:val="24"/>
        </w:rPr>
        <w:t>These data</w:t>
      </w:r>
      <w:r w:rsidR="00335602">
        <w:rPr>
          <w:rFonts w:ascii="Arial" w:hAnsi="Arial" w:cs="Arial"/>
          <w:sz w:val="24"/>
          <w:szCs w:val="24"/>
        </w:rPr>
        <w:t>sets</w:t>
      </w:r>
      <w:r w:rsidR="00200B4D" w:rsidRPr="002E08CF">
        <w:rPr>
          <w:rFonts w:ascii="Arial" w:hAnsi="Arial" w:cs="Arial"/>
          <w:sz w:val="24"/>
          <w:szCs w:val="24"/>
        </w:rPr>
        <w:t xml:space="preserve"> should be made available on data.gov.uk shortly. </w:t>
      </w:r>
    </w:p>
    <w:p w:rsidR="00BF7361" w:rsidRPr="00D607AC" w:rsidRDefault="00BF7361" w:rsidP="00166BA8">
      <w:pPr>
        <w:numPr>
          <w:ilvl w:val="0"/>
          <w:numId w:val="1"/>
        </w:numPr>
        <w:spacing w:after="300"/>
        <w:jc w:val="both"/>
        <w:rPr>
          <w:rFonts w:ascii="Arial" w:hAnsi="Arial" w:cs="Arial"/>
          <w:sz w:val="24"/>
          <w:szCs w:val="24"/>
        </w:rPr>
      </w:pPr>
      <w:r w:rsidRPr="00D607AC">
        <w:rPr>
          <w:rFonts w:ascii="Arial" w:hAnsi="Arial" w:cs="Arial"/>
          <w:b/>
          <w:sz w:val="24"/>
          <w:szCs w:val="24"/>
        </w:rPr>
        <w:t>BIS</w:t>
      </w:r>
      <w:r w:rsidRPr="004B2A79">
        <w:rPr>
          <w:rFonts w:ascii="Arial" w:hAnsi="Arial" w:cs="Arial"/>
          <w:sz w:val="24"/>
          <w:szCs w:val="24"/>
        </w:rPr>
        <w:t>’s</w:t>
      </w:r>
      <w:r w:rsidRPr="00D607AC">
        <w:rPr>
          <w:rFonts w:ascii="Arial" w:hAnsi="Arial" w:cs="Arial"/>
          <w:sz w:val="24"/>
          <w:szCs w:val="24"/>
        </w:rPr>
        <w:t xml:space="preserve"> </w:t>
      </w:r>
      <w:r w:rsidR="00E63E54">
        <w:rPr>
          <w:rFonts w:ascii="Arial" w:hAnsi="Arial" w:cs="Arial"/>
          <w:sz w:val="24"/>
          <w:szCs w:val="24"/>
        </w:rPr>
        <w:t>ALB</w:t>
      </w:r>
      <w:r w:rsidRPr="00BF7361">
        <w:rPr>
          <w:rFonts w:ascii="Arial" w:hAnsi="Arial" w:cs="Arial"/>
          <w:sz w:val="24"/>
          <w:szCs w:val="24"/>
        </w:rPr>
        <w:t>, the</w:t>
      </w:r>
      <w:r w:rsidRPr="00D607AC">
        <w:rPr>
          <w:rFonts w:ascii="Arial" w:hAnsi="Arial" w:cs="Arial"/>
          <w:sz w:val="24"/>
          <w:szCs w:val="24"/>
        </w:rPr>
        <w:t xml:space="preserve"> Intellectual Property Office is introducing secondary legislation to amend the Copyright Act and enable text and data mining for non-commercial purposes.  Following the 2011 Hargreaves Review of I</w:t>
      </w:r>
      <w:r w:rsidR="00E91856">
        <w:rPr>
          <w:rFonts w:ascii="Arial" w:hAnsi="Arial" w:cs="Arial"/>
          <w:sz w:val="24"/>
          <w:szCs w:val="24"/>
        </w:rPr>
        <w:t>ntellectual Property and Growth, t</w:t>
      </w:r>
      <w:r w:rsidRPr="00D607AC">
        <w:rPr>
          <w:rFonts w:ascii="Arial" w:hAnsi="Arial" w:cs="Arial"/>
          <w:sz w:val="24"/>
          <w:szCs w:val="24"/>
        </w:rPr>
        <w:t xml:space="preserve">he Land Registry released details of the first properties registered under the Land Registry Act 1862. Anyone researching a family tree or tracing the history of a property can view or download almost 2,000 records free of charge from Land Registry’s website. It also took part in the </w:t>
      </w:r>
      <w:r w:rsidR="00200B4D">
        <w:rPr>
          <w:rFonts w:ascii="Arial" w:hAnsi="Arial" w:cs="Arial"/>
          <w:sz w:val="24"/>
          <w:szCs w:val="24"/>
        </w:rPr>
        <w:t>‘</w:t>
      </w:r>
      <w:r w:rsidRPr="00D607AC">
        <w:rPr>
          <w:rFonts w:ascii="Arial" w:hAnsi="Arial" w:cs="Arial"/>
          <w:sz w:val="24"/>
          <w:szCs w:val="24"/>
        </w:rPr>
        <w:t>Education Open Data Challenge</w:t>
      </w:r>
      <w:r w:rsidR="00200B4D">
        <w:rPr>
          <w:rFonts w:ascii="Arial" w:hAnsi="Arial" w:cs="Arial"/>
          <w:sz w:val="24"/>
          <w:szCs w:val="24"/>
        </w:rPr>
        <w:t>’ series</w:t>
      </w:r>
      <w:r w:rsidRPr="00D607AC">
        <w:rPr>
          <w:rFonts w:ascii="Arial" w:hAnsi="Arial" w:cs="Arial"/>
          <w:sz w:val="24"/>
          <w:szCs w:val="24"/>
        </w:rPr>
        <w:t xml:space="preserve">. The Met Office took part in the SciActiHack 2014 as part of the Brighton Science Festival, and looked at solutions to produce resources for education, based on climate and energy resources. A workshop in February saw the kick-off of </w:t>
      </w:r>
      <w:r w:rsidR="00082028">
        <w:rPr>
          <w:rFonts w:ascii="Arial" w:hAnsi="Arial" w:cs="Arial"/>
          <w:sz w:val="24"/>
          <w:szCs w:val="24"/>
        </w:rPr>
        <w:t>‘</w:t>
      </w:r>
      <w:r w:rsidRPr="00D607AC">
        <w:rPr>
          <w:rFonts w:ascii="Arial" w:hAnsi="Arial" w:cs="Arial"/>
          <w:sz w:val="24"/>
          <w:szCs w:val="24"/>
        </w:rPr>
        <w:t>The Integrated Transport and Weather Information Pilot</w:t>
      </w:r>
      <w:r w:rsidR="00082028">
        <w:rPr>
          <w:rFonts w:ascii="Arial" w:hAnsi="Arial" w:cs="Arial"/>
          <w:sz w:val="24"/>
          <w:szCs w:val="24"/>
        </w:rPr>
        <w:t>’</w:t>
      </w:r>
      <w:r w:rsidRPr="00D607AC">
        <w:rPr>
          <w:rFonts w:ascii="Arial" w:hAnsi="Arial" w:cs="Arial"/>
          <w:sz w:val="24"/>
          <w:szCs w:val="24"/>
        </w:rPr>
        <w:t xml:space="preserve"> aiming to explore the potential of integrating accurate weather forecast information with other data sources in an urban transport and logistics scenario, involving a large variety of businesses. </w:t>
      </w:r>
      <w:r w:rsidR="00200B4D">
        <w:rPr>
          <w:rFonts w:ascii="Arial" w:hAnsi="Arial" w:cs="Arial"/>
          <w:sz w:val="24"/>
          <w:szCs w:val="24"/>
        </w:rPr>
        <w:t>The Ordnance S</w:t>
      </w:r>
      <w:r w:rsidR="00082028">
        <w:rPr>
          <w:rFonts w:ascii="Arial" w:hAnsi="Arial" w:cs="Arial"/>
          <w:sz w:val="24"/>
          <w:szCs w:val="24"/>
        </w:rPr>
        <w:t xml:space="preserve">urvey </w:t>
      </w:r>
      <w:r w:rsidR="00335602">
        <w:rPr>
          <w:rFonts w:ascii="Arial" w:hAnsi="Arial" w:cs="Arial"/>
          <w:sz w:val="24"/>
          <w:szCs w:val="24"/>
        </w:rPr>
        <w:t>reported</w:t>
      </w:r>
      <w:r w:rsidR="00335602" w:rsidRPr="00D607AC">
        <w:rPr>
          <w:rFonts w:ascii="Arial" w:hAnsi="Arial" w:cs="Arial"/>
          <w:sz w:val="24"/>
          <w:szCs w:val="24"/>
        </w:rPr>
        <w:t xml:space="preserve"> </w:t>
      </w:r>
      <w:r w:rsidR="00D607AC" w:rsidRPr="00D607AC">
        <w:rPr>
          <w:rFonts w:ascii="Arial" w:hAnsi="Arial" w:cs="Arial"/>
          <w:sz w:val="24"/>
          <w:szCs w:val="24"/>
        </w:rPr>
        <w:t>good progress, and announced a partnership with the Future City/ Glasgow, the winners of their GeoVation Challenge ‘‘How can we encourage</w:t>
      </w:r>
      <w:r w:rsidR="00E63E54">
        <w:rPr>
          <w:rFonts w:ascii="Arial" w:hAnsi="Arial" w:cs="Arial"/>
          <w:sz w:val="24"/>
          <w:szCs w:val="24"/>
        </w:rPr>
        <w:t xml:space="preserve"> active lifestyles in Britain?”. </w:t>
      </w:r>
    </w:p>
    <w:p w:rsidR="00850F73" w:rsidRPr="00310582" w:rsidRDefault="002D56B4" w:rsidP="00166BA8">
      <w:pPr>
        <w:numPr>
          <w:ilvl w:val="0"/>
          <w:numId w:val="1"/>
        </w:numPr>
        <w:spacing w:after="300"/>
        <w:jc w:val="both"/>
        <w:rPr>
          <w:rFonts w:ascii="Arial" w:hAnsi="Arial" w:cs="Arial"/>
          <w:iCs/>
          <w:color w:val="000000"/>
          <w:sz w:val="24"/>
          <w:szCs w:val="24"/>
        </w:rPr>
      </w:pPr>
      <w:r w:rsidRPr="00310582">
        <w:rPr>
          <w:rFonts w:ascii="Arial" w:hAnsi="Arial" w:cs="Arial"/>
          <w:b/>
          <w:sz w:val="24"/>
          <w:szCs w:val="24"/>
        </w:rPr>
        <w:t>DCMS</w:t>
      </w:r>
      <w:r w:rsidR="00FD6336" w:rsidRPr="00310582">
        <w:rPr>
          <w:rFonts w:ascii="Arial" w:hAnsi="Arial" w:cs="Arial"/>
          <w:sz w:val="24"/>
          <w:szCs w:val="24"/>
        </w:rPr>
        <w:t xml:space="preserve"> </w:t>
      </w:r>
      <w:r w:rsidR="00355E9B">
        <w:rPr>
          <w:rFonts w:ascii="Arial" w:hAnsi="Arial" w:cs="Arial"/>
          <w:sz w:val="24"/>
          <w:szCs w:val="24"/>
        </w:rPr>
        <w:t>reported</w:t>
      </w:r>
      <w:r w:rsidR="00310582">
        <w:rPr>
          <w:rFonts w:ascii="Arial" w:hAnsi="Arial" w:cs="Arial"/>
          <w:sz w:val="24"/>
          <w:szCs w:val="24"/>
        </w:rPr>
        <w:t xml:space="preserve"> a high level of compliance amongst its ALBs. Amongst the 33 ALBs included in this month’s report, 30 published their spend data above £25k, 26 their data on senior pay, and 29 their organograms. </w:t>
      </w:r>
      <w:r w:rsidR="00850F73" w:rsidRPr="00310582">
        <w:rPr>
          <w:rFonts w:ascii="Arial" w:hAnsi="Arial" w:cs="Arial"/>
          <w:sz w:val="24"/>
          <w:szCs w:val="24"/>
        </w:rPr>
        <w:t xml:space="preserve"> </w:t>
      </w:r>
    </w:p>
    <w:p w:rsidR="002D56B4" w:rsidRPr="006250BE" w:rsidRDefault="002D56B4" w:rsidP="00166BA8">
      <w:pPr>
        <w:numPr>
          <w:ilvl w:val="0"/>
          <w:numId w:val="1"/>
        </w:numPr>
        <w:spacing w:after="300"/>
        <w:jc w:val="both"/>
        <w:rPr>
          <w:rFonts w:ascii="Arial" w:hAnsi="Arial" w:cs="Arial"/>
          <w:sz w:val="24"/>
          <w:szCs w:val="24"/>
        </w:rPr>
      </w:pPr>
      <w:r w:rsidRPr="006250BE">
        <w:rPr>
          <w:rFonts w:ascii="Arial" w:hAnsi="Arial" w:cs="Arial"/>
          <w:b/>
          <w:sz w:val="24"/>
          <w:szCs w:val="24"/>
        </w:rPr>
        <w:t>DEFRA</w:t>
      </w:r>
      <w:r w:rsidR="00082028">
        <w:rPr>
          <w:rFonts w:ascii="Arial" w:hAnsi="Arial" w:cs="Arial"/>
          <w:b/>
          <w:sz w:val="24"/>
          <w:szCs w:val="24"/>
        </w:rPr>
        <w:t>:</w:t>
      </w:r>
      <w:r w:rsidR="004B2A79">
        <w:rPr>
          <w:rFonts w:ascii="Arial" w:hAnsi="Arial" w:cs="Arial"/>
          <w:sz w:val="24"/>
          <w:szCs w:val="24"/>
        </w:rPr>
        <w:t xml:space="preserve"> a</w:t>
      </w:r>
      <w:r w:rsidR="001A7527" w:rsidRPr="006250BE">
        <w:rPr>
          <w:rFonts w:ascii="Arial" w:hAnsi="Arial" w:cs="Arial"/>
          <w:sz w:val="24"/>
          <w:szCs w:val="24"/>
        </w:rPr>
        <w:t xml:space="preserve">s part of the </w:t>
      </w:r>
      <w:r w:rsidR="00082028">
        <w:rPr>
          <w:rFonts w:ascii="Arial" w:hAnsi="Arial" w:cs="Arial"/>
          <w:sz w:val="24"/>
          <w:szCs w:val="24"/>
        </w:rPr>
        <w:t>revised collection and approval</w:t>
      </w:r>
      <w:r w:rsidR="001A7527" w:rsidRPr="006250BE">
        <w:rPr>
          <w:rFonts w:ascii="Arial" w:hAnsi="Arial" w:cs="Arial"/>
          <w:sz w:val="24"/>
          <w:szCs w:val="24"/>
        </w:rPr>
        <w:t xml:space="preserve"> process, corporate spend data supplied by Defra's ALBs </w:t>
      </w:r>
      <w:r w:rsidR="00C55076">
        <w:rPr>
          <w:rFonts w:ascii="Arial" w:hAnsi="Arial" w:cs="Arial"/>
          <w:sz w:val="24"/>
          <w:szCs w:val="24"/>
        </w:rPr>
        <w:t>has been</w:t>
      </w:r>
      <w:r w:rsidR="001A7527" w:rsidRPr="006250BE">
        <w:rPr>
          <w:rFonts w:ascii="Arial" w:hAnsi="Arial" w:cs="Arial"/>
          <w:sz w:val="24"/>
          <w:szCs w:val="24"/>
        </w:rPr>
        <w:t xml:space="preserve"> </w:t>
      </w:r>
      <w:r w:rsidR="00082028" w:rsidRPr="006250BE">
        <w:rPr>
          <w:rFonts w:ascii="Arial" w:hAnsi="Arial" w:cs="Arial"/>
          <w:sz w:val="24"/>
          <w:szCs w:val="24"/>
        </w:rPr>
        <w:t>received</w:t>
      </w:r>
      <w:r w:rsidR="000558F8">
        <w:rPr>
          <w:rFonts w:ascii="Arial" w:hAnsi="Arial" w:cs="Arial"/>
          <w:sz w:val="24"/>
          <w:szCs w:val="24"/>
        </w:rPr>
        <w:t xml:space="preserve"> and excellent progress </w:t>
      </w:r>
      <w:r w:rsidR="00C55076">
        <w:rPr>
          <w:rFonts w:ascii="Arial" w:hAnsi="Arial" w:cs="Arial"/>
          <w:sz w:val="24"/>
          <w:szCs w:val="24"/>
        </w:rPr>
        <w:t xml:space="preserve">is </w:t>
      </w:r>
      <w:r w:rsidR="000558F8">
        <w:rPr>
          <w:rFonts w:ascii="Arial" w:hAnsi="Arial" w:cs="Arial"/>
          <w:sz w:val="24"/>
          <w:szCs w:val="24"/>
        </w:rPr>
        <w:t xml:space="preserve">being made with the Environment Agency (see above). </w:t>
      </w:r>
    </w:p>
    <w:p w:rsidR="000558F8" w:rsidRPr="000558F8" w:rsidRDefault="002D56B4" w:rsidP="00166BA8">
      <w:pPr>
        <w:numPr>
          <w:ilvl w:val="0"/>
          <w:numId w:val="1"/>
        </w:numPr>
        <w:spacing w:after="300"/>
        <w:jc w:val="both"/>
        <w:rPr>
          <w:rFonts w:ascii="Arial" w:hAnsi="Arial" w:cs="Arial"/>
          <w:b/>
          <w:color w:val="000000"/>
          <w:sz w:val="24"/>
          <w:szCs w:val="24"/>
        </w:rPr>
      </w:pPr>
      <w:r w:rsidRPr="000558F8">
        <w:rPr>
          <w:rFonts w:ascii="Arial" w:hAnsi="Arial" w:cs="Arial"/>
          <w:b/>
          <w:sz w:val="24"/>
          <w:szCs w:val="24"/>
        </w:rPr>
        <w:t>DH</w:t>
      </w:r>
      <w:r w:rsidRPr="000558F8">
        <w:rPr>
          <w:rFonts w:ascii="Arial" w:hAnsi="Arial" w:cs="Arial"/>
          <w:sz w:val="24"/>
          <w:szCs w:val="24"/>
        </w:rPr>
        <w:t>’s</w:t>
      </w:r>
      <w:r w:rsidRPr="000558F8">
        <w:rPr>
          <w:rFonts w:ascii="Arial" w:hAnsi="Arial" w:cs="Arial"/>
          <w:color w:val="000000"/>
          <w:sz w:val="24"/>
          <w:szCs w:val="24"/>
        </w:rPr>
        <w:t xml:space="preserve"> ALBs continue</w:t>
      </w:r>
      <w:r w:rsidR="00082028">
        <w:rPr>
          <w:rFonts w:ascii="Arial" w:hAnsi="Arial" w:cs="Arial"/>
          <w:color w:val="000000"/>
          <w:sz w:val="24"/>
          <w:szCs w:val="24"/>
        </w:rPr>
        <w:t>d</w:t>
      </w:r>
      <w:r w:rsidRPr="000558F8">
        <w:rPr>
          <w:rFonts w:ascii="Arial" w:hAnsi="Arial" w:cs="Arial"/>
          <w:color w:val="000000"/>
          <w:sz w:val="24"/>
          <w:szCs w:val="24"/>
        </w:rPr>
        <w:t xml:space="preserve"> to comply with the transparency requirements in relation to </w:t>
      </w:r>
      <w:r w:rsidR="001971E5" w:rsidRPr="000558F8">
        <w:rPr>
          <w:rFonts w:ascii="Arial" w:hAnsi="Arial" w:cs="Arial"/>
          <w:color w:val="000000"/>
          <w:sz w:val="24"/>
          <w:szCs w:val="24"/>
        </w:rPr>
        <w:t>o</w:t>
      </w:r>
      <w:r w:rsidRPr="000558F8">
        <w:rPr>
          <w:rFonts w:ascii="Arial" w:hAnsi="Arial" w:cs="Arial"/>
          <w:color w:val="000000"/>
          <w:sz w:val="24"/>
          <w:szCs w:val="24"/>
        </w:rPr>
        <w:t xml:space="preserve">rganogram publication and </w:t>
      </w:r>
      <w:r w:rsidR="001971E5" w:rsidRPr="000558F8">
        <w:rPr>
          <w:rFonts w:ascii="Arial" w:hAnsi="Arial" w:cs="Arial"/>
          <w:color w:val="000000"/>
          <w:sz w:val="24"/>
          <w:szCs w:val="24"/>
        </w:rPr>
        <w:t>e</w:t>
      </w:r>
      <w:r w:rsidRPr="000558F8">
        <w:rPr>
          <w:rFonts w:ascii="Arial" w:hAnsi="Arial" w:cs="Arial"/>
          <w:color w:val="000000"/>
          <w:sz w:val="24"/>
          <w:szCs w:val="24"/>
        </w:rPr>
        <w:t xml:space="preserve">xceptions to </w:t>
      </w:r>
      <w:r w:rsidR="001971E5" w:rsidRPr="000558F8">
        <w:rPr>
          <w:rFonts w:ascii="Arial" w:hAnsi="Arial" w:cs="Arial"/>
          <w:color w:val="000000"/>
          <w:sz w:val="24"/>
          <w:szCs w:val="24"/>
        </w:rPr>
        <w:t>m</w:t>
      </w:r>
      <w:r w:rsidRPr="000558F8">
        <w:rPr>
          <w:rFonts w:ascii="Arial" w:hAnsi="Arial" w:cs="Arial"/>
          <w:color w:val="000000"/>
          <w:sz w:val="24"/>
          <w:szCs w:val="24"/>
        </w:rPr>
        <w:t>oratoria</w:t>
      </w:r>
      <w:r w:rsidR="00137E85" w:rsidRPr="000558F8">
        <w:rPr>
          <w:rFonts w:ascii="Arial" w:hAnsi="Arial" w:cs="Arial"/>
          <w:color w:val="000000"/>
          <w:sz w:val="24"/>
          <w:szCs w:val="24"/>
        </w:rPr>
        <w:t xml:space="preserve">.  </w:t>
      </w:r>
      <w:r w:rsidR="00082028">
        <w:rPr>
          <w:rFonts w:ascii="Arial" w:hAnsi="Arial" w:cs="Arial"/>
          <w:color w:val="000000"/>
          <w:sz w:val="24"/>
          <w:szCs w:val="24"/>
        </w:rPr>
        <w:t>DH continued</w:t>
      </w:r>
      <w:r w:rsidR="007A46AE">
        <w:rPr>
          <w:rFonts w:ascii="Arial" w:hAnsi="Arial" w:cs="Arial"/>
          <w:color w:val="000000"/>
          <w:sz w:val="24"/>
          <w:szCs w:val="24"/>
        </w:rPr>
        <w:t xml:space="preserve"> to liaise with </w:t>
      </w:r>
      <w:r w:rsidRPr="000558F8">
        <w:rPr>
          <w:rFonts w:ascii="Arial" w:hAnsi="Arial" w:cs="Arial"/>
          <w:color w:val="000000"/>
          <w:sz w:val="24"/>
          <w:szCs w:val="24"/>
        </w:rPr>
        <w:t xml:space="preserve">ALBs to ensure that they are aware of the requirements of the transparency agenda. </w:t>
      </w:r>
    </w:p>
    <w:p w:rsidR="002E2F4B" w:rsidRPr="002E2F4B" w:rsidRDefault="00137E85" w:rsidP="00166BA8">
      <w:pPr>
        <w:numPr>
          <w:ilvl w:val="0"/>
          <w:numId w:val="1"/>
        </w:numPr>
        <w:autoSpaceDE w:val="0"/>
        <w:autoSpaceDN w:val="0"/>
        <w:adjustRightInd w:val="0"/>
        <w:spacing w:after="0"/>
        <w:jc w:val="both"/>
        <w:rPr>
          <w:rFonts w:ascii="Arial" w:hAnsi="Arial" w:cs="Arial"/>
          <w:sz w:val="24"/>
          <w:szCs w:val="24"/>
        </w:rPr>
      </w:pPr>
      <w:r w:rsidRPr="002E2F4B">
        <w:rPr>
          <w:rFonts w:ascii="Arial" w:hAnsi="Arial" w:cs="Arial"/>
          <w:b/>
          <w:color w:val="000000"/>
          <w:sz w:val="24"/>
          <w:szCs w:val="24"/>
        </w:rPr>
        <w:t>DWP</w:t>
      </w:r>
      <w:r w:rsidRPr="002E2F4B">
        <w:rPr>
          <w:rFonts w:ascii="Arial" w:hAnsi="Arial" w:cs="Arial"/>
          <w:color w:val="000000"/>
          <w:sz w:val="24"/>
          <w:szCs w:val="24"/>
        </w:rPr>
        <w:t xml:space="preserve"> reported tha</w:t>
      </w:r>
      <w:r w:rsidR="00082028" w:rsidRPr="002E2F4B">
        <w:rPr>
          <w:rFonts w:ascii="Arial" w:hAnsi="Arial" w:cs="Arial"/>
          <w:color w:val="000000"/>
          <w:sz w:val="24"/>
          <w:szCs w:val="24"/>
        </w:rPr>
        <w:t>t the majority of their ALBs were</w:t>
      </w:r>
      <w:r w:rsidRPr="002E2F4B">
        <w:rPr>
          <w:rFonts w:ascii="Arial" w:hAnsi="Arial" w:cs="Arial"/>
          <w:color w:val="000000"/>
          <w:sz w:val="24"/>
          <w:szCs w:val="24"/>
        </w:rPr>
        <w:t xml:space="preserve"> compliant with </w:t>
      </w:r>
      <w:r w:rsidR="002E2F4B" w:rsidRPr="002E2F4B">
        <w:rPr>
          <w:rFonts w:ascii="Arial" w:hAnsi="Arial" w:cs="Arial"/>
          <w:color w:val="000000"/>
          <w:sz w:val="24"/>
          <w:szCs w:val="24"/>
        </w:rPr>
        <w:t>Open Data requirements. A large number of their ALBs publishe</w:t>
      </w:r>
      <w:r w:rsidR="00C55076">
        <w:rPr>
          <w:rFonts w:ascii="Arial" w:hAnsi="Arial" w:cs="Arial"/>
          <w:color w:val="000000"/>
          <w:sz w:val="24"/>
          <w:szCs w:val="24"/>
        </w:rPr>
        <w:t>d</w:t>
      </w:r>
      <w:r w:rsidR="002E2F4B" w:rsidRPr="002E2F4B">
        <w:rPr>
          <w:rFonts w:ascii="Arial" w:hAnsi="Arial" w:cs="Arial"/>
          <w:color w:val="000000"/>
          <w:sz w:val="24"/>
          <w:szCs w:val="24"/>
        </w:rPr>
        <w:t xml:space="preserve"> spend data and / or organograms. The Health and Safety Executive (HSE) continue</w:t>
      </w:r>
      <w:r w:rsidR="00C55076">
        <w:rPr>
          <w:rFonts w:ascii="Arial" w:hAnsi="Arial" w:cs="Arial"/>
          <w:color w:val="000000"/>
          <w:sz w:val="24"/>
          <w:szCs w:val="24"/>
        </w:rPr>
        <w:t>d</w:t>
      </w:r>
      <w:r w:rsidR="002E2F4B" w:rsidRPr="002E2F4B">
        <w:rPr>
          <w:rFonts w:ascii="Arial" w:hAnsi="Arial" w:cs="Arial"/>
          <w:color w:val="000000"/>
          <w:sz w:val="24"/>
          <w:szCs w:val="24"/>
        </w:rPr>
        <w:t xml:space="preserve"> to review the unpublished datasets in their information asset inventory with a view to prioritising </w:t>
      </w:r>
      <w:r w:rsidR="00086DC2">
        <w:rPr>
          <w:rFonts w:ascii="Arial" w:hAnsi="Arial" w:cs="Arial"/>
          <w:color w:val="000000"/>
          <w:sz w:val="24"/>
          <w:szCs w:val="24"/>
        </w:rPr>
        <w:t>their publication</w:t>
      </w:r>
      <w:r w:rsidR="002E2F4B" w:rsidRPr="002E2F4B">
        <w:rPr>
          <w:rFonts w:ascii="Arial" w:hAnsi="Arial" w:cs="Arial"/>
          <w:color w:val="000000"/>
          <w:sz w:val="24"/>
          <w:szCs w:val="24"/>
        </w:rPr>
        <w:t xml:space="preserve">; and to assess information assurance risks. </w:t>
      </w:r>
      <w:smartTag w:uri="urn:schemas-microsoft-com:office:smarttags" w:element="stockticker">
        <w:r w:rsidR="002E2F4B" w:rsidRPr="002E2F4B">
          <w:rPr>
            <w:rFonts w:ascii="Arial" w:hAnsi="Arial" w:cs="Arial"/>
            <w:color w:val="000000"/>
            <w:sz w:val="24"/>
            <w:szCs w:val="24"/>
          </w:rPr>
          <w:t>HSE</w:t>
        </w:r>
      </w:smartTag>
      <w:r w:rsidR="00086DC2">
        <w:rPr>
          <w:rFonts w:ascii="Arial" w:hAnsi="Arial" w:cs="Arial"/>
          <w:color w:val="000000"/>
          <w:sz w:val="24"/>
          <w:szCs w:val="24"/>
        </w:rPr>
        <w:t xml:space="preserve"> continued</w:t>
      </w:r>
      <w:r w:rsidR="002E2F4B" w:rsidRPr="002E2F4B">
        <w:rPr>
          <w:rFonts w:ascii="Arial" w:hAnsi="Arial" w:cs="Arial"/>
          <w:color w:val="000000"/>
          <w:sz w:val="24"/>
          <w:szCs w:val="24"/>
        </w:rPr>
        <w:t xml:space="preserve"> to demonstrate their commitment to improve the transparency and accountability of government,</w:t>
      </w:r>
      <w:r w:rsidR="00C55076">
        <w:rPr>
          <w:rFonts w:ascii="Arial" w:hAnsi="Arial" w:cs="Arial"/>
          <w:color w:val="000000"/>
          <w:sz w:val="24"/>
          <w:szCs w:val="24"/>
        </w:rPr>
        <w:t xml:space="preserve"> and</w:t>
      </w:r>
      <w:r w:rsidR="002E2F4B" w:rsidRPr="002E2F4B">
        <w:rPr>
          <w:rFonts w:ascii="Arial" w:hAnsi="Arial" w:cs="Arial"/>
          <w:color w:val="000000"/>
          <w:sz w:val="24"/>
          <w:szCs w:val="24"/>
        </w:rPr>
        <w:t xml:space="preserve"> </w:t>
      </w:r>
      <w:r w:rsidR="00C55076" w:rsidRPr="002E2F4B">
        <w:rPr>
          <w:rFonts w:ascii="Arial" w:hAnsi="Arial" w:cs="Arial"/>
          <w:color w:val="000000"/>
          <w:sz w:val="24"/>
          <w:szCs w:val="24"/>
        </w:rPr>
        <w:t>publ</w:t>
      </w:r>
      <w:r w:rsidR="00C55076">
        <w:rPr>
          <w:rFonts w:ascii="Arial" w:hAnsi="Arial" w:cs="Arial"/>
          <w:color w:val="000000"/>
          <w:sz w:val="24"/>
          <w:szCs w:val="24"/>
        </w:rPr>
        <w:t xml:space="preserve">ished </w:t>
      </w:r>
      <w:r w:rsidR="00086DC2">
        <w:rPr>
          <w:rFonts w:ascii="Arial" w:hAnsi="Arial" w:cs="Arial"/>
          <w:color w:val="000000"/>
          <w:sz w:val="24"/>
          <w:szCs w:val="24"/>
        </w:rPr>
        <w:t xml:space="preserve">a variety of datasets on </w:t>
      </w:r>
      <w:r w:rsidR="002E2F4B" w:rsidRPr="002E2F4B">
        <w:rPr>
          <w:rFonts w:ascii="Arial" w:hAnsi="Arial" w:cs="Arial"/>
          <w:color w:val="000000"/>
          <w:sz w:val="24"/>
          <w:szCs w:val="24"/>
        </w:rPr>
        <w:t>data.gov.uk</w:t>
      </w:r>
      <w:r w:rsidR="00086DC2">
        <w:rPr>
          <w:rFonts w:ascii="Arial" w:hAnsi="Arial" w:cs="Arial"/>
          <w:color w:val="000000"/>
          <w:sz w:val="24"/>
          <w:szCs w:val="24"/>
        </w:rPr>
        <w:t>.</w:t>
      </w:r>
    </w:p>
    <w:p w:rsidR="002E2F4B" w:rsidRPr="002E2F4B" w:rsidRDefault="002E2F4B" w:rsidP="002E2F4B">
      <w:pPr>
        <w:autoSpaceDE w:val="0"/>
        <w:autoSpaceDN w:val="0"/>
        <w:adjustRightInd w:val="0"/>
        <w:spacing w:after="0"/>
        <w:ind w:left="720"/>
        <w:jc w:val="both"/>
        <w:rPr>
          <w:rFonts w:ascii="Arial" w:hAnsi="Arial" w:cs="Arial"/>
          <w:sz w:val="24"/>
          <w:szCs w:val="24"/>
        </w:rPr>
      </w:pPr>
    </w:p>
    <w:p w:rsidR="00AD18DC" w:rsidRPr="002E2F4B" w:rsidRDefault="003B33C8" w:rsidP="00166BA8">
      <w:pPr>
        <w:numPr>
          <w:ilvl w:val="0"/>
          <w:numId w:val="1"/>
        </w:numPr>
        <w:autoSpaceDE w:val="0"/>
        <w:autoSpaceDN w:val="0"/>
        <w:adjustRightInd w:val="0"/>
        <w:spacing w:after="0"/>
        <w:jc w:val="both"/>
        <w:rPr>
          <w:rFonts w:ascii="Arial" w:hAnsi="Arial" w:cs="Arial"/>
          <w:sz w:val="24"/>
          <w:szCs w:val="24"/>
        </w:rPr>
      </w:pPr>
      <w:r w:rsidRPr="002E2F4B">
        <w:rPr>
          <w:rFonts w:ascii="Arial" w:hAnsi="Arial" w:cs="Arial"/>
          <w:b/>
          <w:color w:val="000000"/>
          <w:sz w:val="24"/>
          <w:szCs w:val="24"/>
        </w:rPr>
        <w:t xml:space="preserve">FCO </w:t>
      </w:r>
      <w:r w:rsidRPr="002E2F4B">
        <w:rPr>
          <w:rFonts w:ascii="Arial" w:hAnsi="Arial" w:cs="Arial"/>
          <w:color w:val="000000"/>
          <w:sz w:val="24"/>
          <w:szCs w:val="24"/>
        </w:rPr>
        <w:t xml:space="preserve">ALB's </w:t>
      </w:r>
      <w:r w:rsidR="00C55076">
        <w:rPr>
          <w:rFonts w:ascii="Arial" w:hAnsi="Arial" w:cs="Arial"/>
          <w:color w:val="000000"/>
          <w:sz w:val="24"/>
          <w:szCs w:val="24"/>
        </w:rPr>
        <w:t>fulfilled</w:t>
      </w:r>
      <w:r w:rsidRPr="002E2F4B">
        <w:rPr>
          <w:rFonts w:ascii="Arial" w:hAnsi="Arial" w:cs="Arial"/>
          <w:color w:val="000000"/>
          <w:sz w:val="24"/>
          <w:szCs w:val="24"/>
        </w:rPr>
        <w:t xml:space="preserve"> their obligations where it </w:t>
      </w:r>
      <w:r w:rsidR="00C55076">
        <w:rPr>
          <w:rFonts w:ascii="Arial" w:hAnsi="Arial" w:cs="Arial"/>
          <w:color w:val="000000"/>
          <w:sz w:val="24"/>
          <w:szCs w:val="24"/>
        </w:rPr>
        <w:t>was</w:t>
      </w:r>
      <w:r w:rsidR="00C55076" w:rsidRPr="002E2F4B">
        <w:rPr>
          <w:rFonts w:ascii="Arial" w:hAnsi="Arial" w:cs="Arial"/>
          <w:color w:val="000000"/>
          <w:sz w:val="24"/>
          <w:szCs w:val="24"/>
        </w:rPr>
        <w:t xml:space="preserve"> </w:t>
      </w:r>
      <w:r w:rsidRPr="002E2F4B">
        <w:rPr>
          <w:rFonts w:ascii="Arial" w:hAnsi="Arial" w:cs="Arial"/>
          <w:color w:val="000000"/>
          <w:sz w:val="24"/>
          <w:szCs w:val="24"/>
        </w:rPr>
        <w:t>appropriate and possible given national security constraints.</w:t>
      </w:r>
      <w:r w:rsidR="007A46AE" w:rsidRPr="002E2F4B">
        <w:rPr>
          <w:rFonts w:ascii="Arial" w:hAnsi="Arial" w:cs="Arial"/>
          <w:color w:val="000000"/>
          <w:sz w:val="24"/>
          <w:szCs w:val="24"/>
        </w:rPr>
        <w:t xml:space="preserve"> </w:t>
      </w:r>
    </w:p>
    <w:p w:rsidR="00166BA8" w:rsidRPr="00166BA8" w:rsidRDefault="00166BA8" w:rsidP="00166BA8">
      <w:pPr>
        <w:autoSpaceDE w:val="0"/>
        <w:autoSpaceDN w:val="0"/>
        <w:adjustRightInd w:val="0"/>
        <w:spacing w:after="0"/>
        <w:ind w:left="720"/>
        <w:jc w:val="both"/>
        <w:rPr>
          <w:rFonts w:ascii="Arial" w:hAnsi="Arial" w:cs="Arial"/>
          <w:sz w:val="24"/>
          <w:szCs w:val="24"/>
        </w:rPr>
      </w:pPr>
    </w:p>
    <w:p w:rsidR="002D56B4" w:rsidRPr="006250BE" w:rsidRDefault="002D56B4" w:rsidP="00166BA8">
      <w:pPr>
        <w:numPr>
          <w:ilvl w:val="0"/>
          <w:numId w:val="1"/>
        </w:numPr>
        <w:spacing w:after="300"/>
        <w:jc w:val="both"/>
        <w:rPr>
          <w:rFonts w:ascii="Arial" w:hAnsi="Arial" w:cs="Arial"/>
          <w:sz w:val="24"/>
          <w:szCs w:val="24"/>
        </w:rPr>
      </w:pPr>
      <w:r w:rsidRPr="006250BE">
        <w:rPr>
          <w:rFonts w:ascii="Arial" w:hAnsi="Arial" w:cs="Arial"/>
          <w:b/>
          <w:color w:val="000000"/>
          <w:sz w:val="24"/>
          <w:szCs w:val="24"/>
        </w:rPr>
        <w:t>HMRC</w:t>
      </w:r>
      <w:r w:rsidRPr="006250BE">
        <w:rPr>
          <w:rFonts w:ascii="Arial" w:hAnsi="Arial" w:cs="Arial"/>
          <w:color w:val="000000"/>
          <w:sz w:val="24"/>
          <w:szCs w:val="24"/>
        </w:rPr>
        <w:t>'s executive partner, the Valuation Office Agency has continued to publish Council Tax and Non-Domestic Rating List Band and undertaken to release more information under the National Statistics programme.</w:t>
      </w:r>
    </w:p>
    <w:p w:rsidR="002D56B4" w:rsidRPr="006250BE" w:rsidRDefault="002D56B4" w:rsidP="00166BA8">
      <w:pPr>
        <w:autoSpaceDE w:val="0"/>
        <w:autoSpaceDN w:val="0"/>
        <w:adjustRightInd w:val="0"/>
        <w:spacing w:after="0"/>
        <w:jc w:val="both"/>
        <w:rPr>
          <w:rFonts w:ascii="Arial" w:hAnsi="Arial" w:cs="Arial"/>
          <w:b/>
          <w:sz w:val="24"/>
          <w:szCs w:val="24"/>
        </w:rPr>
      </w:pPr>
      <w:r w:rsidRPr="006250BE">
        <w:rPr>
          <w:rFonts w:ascii="Arial" w:hAnsi="Arial" w:cs="Arial"/>
          <w:b/>
          <w:sz w:val="24"/>
          <w:szCs w:val="24"/>
        </w:rPr>
        <w:t>Building Capacity</w:t>
      </w:r>
    </w:p>
    <w:p w:rsidR="00BF006A" w:rsidRDefault="00BF006A" w:rsidP="00166BA8">
      <w:pPr>
        <w:autoSpaceDE w:val="0"/>
        <w:autoSpaceDN w:val="0"/>
        <w:adjustRightInd w:val="0"/>
        <w:spacing w:after="0"/>
        <w:jc w:val="both"/>
        <w:rPr>
          <w:rFonts w:ascii="Arial" w:hAnsi="Arial" w:cs="Arial"/>
          <w:i/>
          <w:sz w:val="24"/>
          <w:szCs w:val="24"/>
        </w:rPr>
      </w:pPr>
    </w:p>
    <w:p w:rsidR="002D56B4" w:rsidRPr="006250BE" w:rsidRDefault="002D56B4" w:rsidP="00166BA8">
      <w:pPr>
        <w:autoSpaceDE w:val="0"/>
        <w:autoSpaceDN w:val="0"/>
        <w:adjustRightInd w:val="0"/>
        <w:spacing w:after="0"/>
        <w:jc w:val="both"/>
        <w:rPr>
          <w:rFonts w:ascii="Arial" w:hAnsi="Arial" w:cs="Arial"/>
          <w:i/>
          <w:sz w:val="24"/>
          <w:szCs w:val="24"/>
        </w:rPr>
      </w:pPr>
      <w:r w:rsidRPr="006250BE">
        <w:rPr>
          <w:rFonts w:ascii="Arial" w:hAnsi="Arial" w:cs="Arial"/>
          <w:i/>
          <w:sz w:val="24"/>
          <w:szCs w:val="24"/>
        </w:rPr>
        <w:t>Building Capacity supports all Open Data standards.</w:t>
      </w:r>
    </w:p>
    <w:p w:rsidR="006942E0" w:rsidRPr="006250BE" w:rsidRDefault="006942E0" w:rsidP="00166BA8">
      <w:pPr>
        <w:pStyle w:val="ListParagraph"/>
        <w:autoSpaceDE w:val="0"/>
        <w:autoSpaceDN w:val="0"/>
        <w:adjustRightInd w:val="0"/>
        <w:ind w:left="360"/>
        <w:jc w:val="both"/>
        <w:rPr>
          <w:rFonts w:ascii="Arial" w:hAnsi="Arial" w:cs="Arial"/>
          <w:sz w:val="24"/>
          <w:szCs w:val="24"/>
        </w:rPr>
      </w:pPr>
    </w:p>
    <w:p w:rsidR="000572BE" w:rsidRDefault="005E0BC0" w:rsidP="000572BE">
      <w:pPr>
        <w:pStyle w:val="ListParagraph"/>
        <w:numPr>
          <w:ilvl w:val="0"/>
          <w:numId w:val="1"/>
        </w:numPr>
        <w:autoSpaceDE w:val="0"/>
        <w:autoSpaceDN w:val="0"/>
        <w:adjustRightInd w:val="0"/>
        <w:jc w:val="both"/>
        <w:rPr>
          <w:rFonts w:ascii="Arial" w:hAnsi="Arial" w:cs="Arial"/>
          <w:sz w:val="24"/>
          <w:szCs w:val="24"/>
        </w:rPr>
      </w:pPr>
      <w:r w:rsidRPr="006250BE">
        <w:rPr>
          <w:rFonts w:ascii="Arial" w:hAnsi="Arial" w:cs="Arial"/>
          <w:b/>
          <w:sz w:val="24"/>
          <w:szCs w:val="24"/>
        </w:rPr>
        <w:t>CO</w:t>
      </w:r>
      <w:r w:rsidRPr="006250BE">
        <w:rPr>
          <w:rFonts w:ascii="Arial" w:hAnsi="Arial" w:cs="Arial"/>
          <w:sz w:val="24"/>
          <w:szCs w:val="24"/>
        </w:rPr>
        <w:t xml:space="preserve"> establish</w:t>
      </w:r>
      <w:r w:rsidR="00915BB4">
        <w:rPr>
          <w:rFonts w:ascii="Arial" w:hAnsi="Arial" w:cs="Arial"/>
          <w:sz w:val="24"/>
          <w:szCs w:val="24"/>
        </w:rPr>
        <w:t>ed</w:t>
      </w:r>
      <w:r w:rsidRPr="006250BE">
        <w:rPr>
          <w:rFonts w:ascii="Arial" w:hAnsi="Arial" w:cs="Arial"/>
          <w:sz w:val="24"/>
          <w:szCs w:val="24"/>
        </w:rPr>
        <w:t xml:space="preserve"> a</w:t>
      </w:r>
      <w:r w:rsidR="00965B5F">
        <w:rPr>
          <w:rFonts w:ascii="Arial" w:hAnsi="Arial" w:cs="Arial"/>
          <w:sz w:val="24"/>
          <w:szCs w:val="24"/>
        </w:rPr>
        <w:t>n internal</w:t>
      </w:r>
      <w:r w:rsidRPr="006250BE">
        <w:rPr>
          <w:rFonts w:ascii="Arial" w:hAnsi="Arial" w:cs="Arial"/>
          <w:sz w:val="24"/>
          <w:szCs w:val="24"/>
        </w:rPr>
        <w:t xml:space="preserve"> Cabinet Office Transparency Board as part of it</w:t>
      </w:r>
      <w:r w:rsidR="00DC7183">
        <w:rPr>
          <w:rFonts w:ascii="Arial" w:hAnsi="Arial" w:cs="Arial"/>
          <w:sz w:val="24"/>
          <w:szCs w:val="24"/>
        </w:rPr>
        <w:t>s Open Data Strategy for 2014</w:t>
      </w:r>
      <w:r w:rsidR="00E91856">
        <w:rPr>
          <w:rFonts w:ascii="Arial" w:hAnsi="Arial" w:cs="Arial"/>
          <w:sz w:val="24"/>
          <w:szCs w:val="24"/>
        </w:rPr>
        <w:t>, which</w:t>
      </w:r>
      <w:r w:rsidR="00915BB4">
        <w:rPr>
          <w:rFonts w:ascii="Arial" w:hAnsi="Arial" w:cs="Arial"/>
          <w:sz w:val="24"/>
          <w:szCs w:val="24"/>
        </w:rPr>
        <w:t xml:space="preserve"> met for the first time in June</w:t>
      </w:r>
      <w:r w:rsidR="00DC7183">
        <w:rPr>
          <w:rFonts w:ascii="Arial" w:hAnsi="Arial" w:cs="Arial"/>
          <w:sz w:val="24"/>
          <w:szCs w:val="24"/>
        </w:rPr>
        <w:t xml:space="preserve">. </w:t>
      </w:r>
      <w:r w:rsidR="00025A02" w:rsidRPr="006250BE">
        <w:rPr>
          <w:rFonts w:ascii="Arial" w:hAnsi="Arial" w:cs="Arial"/>
          <w:sz w:val="24"/>
          <w:szCs w:val="24"/>
        </w:rPr>
        <w:t>The Board will provide th</w:t>
      </w:r>
      <w:r w:rsidRPr="006250BE">
        <w:rPr>
          <w:rFonts w:ascii="Arial" w:hAnsi="Arial" w:cs="Arial"/>
          <w:sz w:val="24"/>
          <w:szCs w:val="24"/>
        </w:rPr>
        <w:t>e senior leadership to enable CO</w:t>
      </w:r>
      <w:r w:rsidR="00025A02" w:rsidRPr="006250BE">
        <w:rPr>
          <w:rFonts w:ascii="Arial" w:hAnsi="Arial" w:cs="Arial"/>
          <w:sz w:val="24"/>
          <w:szCs w:val="24"/>
        </w:rPr>
        <w:t xml:space="preserve"> to embed</w:t>
      </w:r>
      <w:r w:rsidR="00A908C9">
        <w:rPr>
          <w:rFonts w:ascii="Arial" w:hAnsi="Arial" w:cs="Arial"/>
          <w:sz w:val="24"/>
          <w:szCs w:val="24"/>
        </w:rPr>
        <w:t xml:space="preserve"> a culture of transparency and Open D</w:t>
      </w:r>
      <w:r w:rsidR="00025A02" w:rsidRPr="006250BE">
        <w:rPr>
          <w:rFonts w:ascii="Arial" w:hAnsi="Arial" w:cs="Arial"/>
          <w:sz w:val="24"/>
          <w:szCs w:val="24"/>
        </w:rPr>
        <w:t>at</w:t>
      </w:r>
      <w:r w:rsidRPr="006250BE">
        <w:rPr>
          <w:rFonts w:ascii="Arial" w:hAnsi="Arial" w:cs="Arial"/>
          <w:sz w:val="24"/>
          <w:szCs w:val="24"/>
        </w:rPr>
        <w:t>a</w:t>
      </w:r>
      <w:r w:rsidR="00D80A9E">
        <w:rPr>
          <w:rFonts w:ascii="Arial" w:hAnsi="Arial" w:cs="Arial"/>
          <w:sz w:val="24"/>
          <w:szCs w:val="24"/>
        </w:rPr>
        <w:t xml:space="preserve"> across Cabinet Office and its</w:t>
      </w:r>
      <w:r w:rsidRPr="006250BE">
        <w:rPr>
          <w:rFonts w:ascii="Arial" w:hAnsi="Arial" w:cs="Arial"/>
          <w:sz w:val="24"/>
          <w:szCs w:val="24"/>
        </w:rPr>
        <w:t xml:space="preserve"> </w:t>
      </w:r>
      <w:r w:rsidR="00025A02" w:rsidRPr="006250BE">
        <w:rPr>
          <w:rFonts w:ascii="Arial" w:hAnsi="Arial" w:cs="Arial"/>
          <w:sz w:val="24"/>
          <w:szCs w:val="24"/>
        </w:rPr>
        <w:t xml:space="preserve">Arm’s Length Bodies. </w:t>
      </w:r>
      <w:r w:rsidR="00915BB4">
        <w:rPr>
          <w:rFonts w:ascii="Arial" w:hAnsi="Arial" w:cs="Arial"/>
          <w:sz w:val="24"/>
          <w:szCs w:val="24"/>
        </w:rPr>
        <w:t xml:space="preserve">The Cabinet </w:t>
      </w:r>
      <w:r w:rsidR="00C84E41">
        <w:rPr>
          <w:rFonts w:ascii="Arial" w:hAnsi="Arial" w:cs="Arial"/>
          <w:sz w:val="24"/>
          <w:szCs w:val="24"/>
        </w:rPr>
        <w:t>Office -</w:t>
      </w:r>
      <w:r w:rsidR="00915BB4">
        <w:rPr>
          <w:rFonts w:ascii="Arial" w:hAnsi="Arial" w:cs="Arial"/>
          <w:sz w:val="24"/>
          <w:szCs w:val="24"/>
        </w:rPr>
        <w:t xml:space="preserve"> </w:t>
      </w:r>
      <w:r w:rsidR="00915BB4" w:rsidRPr="00915BB4">
        <w:rPr>
          <w:rFonts w:ascii="Arial" w:hAnsi="Arial" w:cs="Arial"/>
          <w:sz w:val="24"/>
          <w:szCs w:val="24"/>
        </w:rPr>
        <w:t>with the Open Data Insti</w:t>
      </w:r>
      <w:r w:rsidR="007A46AE">
        <w:rPr>
          <w:rFonts w:ascii="Arial" w:hAnsi="Arial" w:cs="Arial"/>
          <w:sz w:val="24"/>
          <w:szCs w:val="24"/>
        </w:rPr>
        <w:t xml:space="preserve">tute </w:t>
      </w:r>
      <w:r w:rsidR="00086DC2">
        <w:rPr>
          <w:rFonts w:ascii="Arial" w:hAnsi="Arial" w:cs="Arial"/>
          <w:sz w:val="24"/>
          <w:szCs w:val="24"/>
        </w:rPr>
        <w:t>-</w:t>
      </w:r>
      <w:r w:rsidR="007A46AE">
        <w:rPr>
          <w:rFonts w:ascii="Arial" w:hAnsi="Arial" w:cs="Arial"/>
          <w:sz w:val="24"/>
          <w:szCs w:val="24"/>
        </w:rPr>
        <w:t xml:space="preserve"> developed and ran an </w:t>
      </w:r>
      <w:r w:rsidR="00915BB4" w:rsidRPr="00915BB4">
        <w:rPr>
          <w:rFonts w:ascii="Arial" w:hAnsi="Arial" w:cs="Arial"/>
          <w:sz w:val="24"/>
          <w:szCs w:val="24"/>
        </w:rPr>
        <w:t xml:space="preserve">Open Data in Practice training day in March, targeted at staff working with key Cabinet Office data. Outcomes </w:t>
      </w:r>
      <w:r w:rsidR="00A908C9">
        <w:rPr>
          <w:rFonts w:ascii="Arial" w:hAnsi="Arial" w:cs="Arial"/>
          <w:sz w:val="24"/>
          <w:szCs w:val="24"/>
        </w:rPr>
        <w:t>include</w:t>
      </w:r>
      <w:r w:rsidR="00C55076">
        <w:rPr>
          <w:rFonts w:ascii="Arial" w:hAnsi="Arial" w:cs="Arial"/>
          <w:sz w:val="24"/>
          <w:szCs w:val="24"/>
        </w:rPr>
        <w:t>d</w:t>
      </w:r>
      <w:r w:rsidR="00A908C9">
        <w:rPr>
          <w:rFonts w:ascii="Arial" w:hAnsi="Arial" w:cs="Arial"/>
          <w:sz w:val="24"/>
          <w:szCs w:val="24"/>
        </w:rPr>
        <w:t xml:space="preserve"> a commitment to raise Open D</w:t>
      </w:r>
      <w:r w:rsidR="00915BB4" w:rsidRPr="00915BB4">
        <w:rPr>
          <w:rFonts w:ascii="Arial" w:hAnsi="Arial" w:cs="Arial"/>
          <w:sz w:val="24"/>
          <w:szCs w:val="24"/>
        </w:rPr>
        <w:t>ata skills across E</w:t>
      </w:r>
      <w:r w:rsidR="00766739">
        <w:rPr>
          <w:rFonts w:ascii="Arial" w:hAnsi="Arial" w:cs="Arial"/>
          <w:sz w:val="24"/>
          <w:szCs w:val="24"/>
        </w:rPr>
        <w:t xml:space="preserve">fficiency and </w:t>
      </w:r>
      <w:r w:rsidR="00915BB4" w:rsidRPr="00915BB4">
        <w:rPr>
          <w:rFonts w:ascii="Arial" w:hAnsi="Arial" w:cs="Arial"/>
          <w:sz w:val="24"/>
          <w:szCs w:val="24"/>
        </w:rPr>
        <w:t>R</w:t>
      </w:r>
      <w:r w:rsidR="00766739">
        <w:rPr>
          <w:rFonts w:ascii="Arial" w:hAnsi="Arial" w:cs="Arial"/>
          <w:sz w:val="24"/>
          <w:szCs w:val="24"/>
        </w:rPr>
        <w:t xml:space="preserve">eform </w:t>
      </w:r>
      <w:r w:rsidR="00915BB4" w:rsidRPr="00915BB4">
        <w:rPr>
          <w:rFonts w:ascii="Arial" w:hAnsi="Arial" w:cs="Arial"/>
          <w:sz w:val="24"/>
          <w:szCs w:val="24"/>
        </w:rPr>
        <w:t>G</w:t>
      </w:r>
      <w:r w:rsidR="00766739">
        <w:rPr>
          <w:rFonts w:ascii="Arial" w:hAnsi="Arial" w:cs="Arial"/>
          <w:sz w:val="24"/>
          <w:szCs w:val="24"/>
        </w:rPr>
        <w:t>roup (ERG)</w:t>
      </w:r>
      <w:r w:rsidR="00915BB4" w:rsidRPr="00915BB4">
        <w:rPr>
          <w:rFonts w:ascii="Arial" w:hAnsi="Arial" w:cs="Arial"/>
          <w:sz w:val="24"/>
          <w:szCs w:val="24"/>
        </w:rPr>
        <w:t>, and requests to run additional sessions for specific teams.</w:t>
      </w:r>
    </w:p>
    <w:p w:rsidR="000572BE" w:rsidRPr="000572BE" w:rsidRDefault="000572BE" w:rsidP="000572BE">
      <w:pPr>
        <w:pStyle w:val="ListParagraph"/>
        <w:autoSpaceDE w:val="0"/>
        <w:autoSpaceDN w:val="0"/>
        <w:adjustRightInd w:val="0"/>
        <w:jc w:val="both"/>
        <w:rPr>
          <w:rFonts w:ascii="Arial" w:hAnsi="Arial" w:cs="Arial"/>
          <w:sz w:val="24"/>
          <w:szCs w:val="24"/>
        </w:rPr>
      </w:pPr>
    </w:p>
    <w:p w:rsidR="000572BE" w:rsidRPr="006049D0" w:rsidRDefault="006049D0" w:rsidP="006049D0">
      <w:pPr>
        <w:numPr>
          <w:ilvl w:val="0"/>
          <w:numId w:val="1"/>
        </w:numPr>
        <w:spacing w:after="0"/>
        <w:ind w:left="714" w:hanging="357"/>
        <w:jc w:val="both"/>
        <w:rPr>
          <w:rFonts w:ascii="Arial" w:hAnsi="Arial" w:cs="Arial"/>
          <w:sz w:val="24"/>
          <w:szCs w:val="24"/>
        </w:rPr>
      </w:pPr>
      <w:r w:rsidRPr="006049D0">
        <w:rPr>
          <w:rFonts w:ascii="Arial" w:hAnsi="Arial" w:cs="Arial"/>
          <w:b/>
          <w:sz w:val="24"/>
          <w:szCs w:val="24"/>
        </w:rPr>
        <w:t>BIS</w:t>
      </w:r>
      <w:r w:rsidR="00362B44">
        <w:rPr>
          <w:rFonts w:ascii="Arial" w:hAnsi="Arial" w:cs="Arial"/>
          <w:b/>
          <w:sz w:val="24"/>
          <w:szCs w:val="24"/>
        </w:rPr>
        <w:t xml:space="preserve">’s </w:t>
      </w:r>
      <w:r w:rsidR="00362B44" w:rsidRPr="00362B44">
        <w:rPr>
          <w:rFonts w:ascii="Arial" w:hAnsi="Arial" w:cs="Arial"/>
          <w:sz w:val="24"/>
          <w:szCs w:val="24"/>
        </w:rPr>
        <w:t>then</w:t>
      </w:r>
      <w:r w:rsidRPr="006049D0">
        <w:rPr>
          <w:rFonts w:ascii="Arial" w:hAnsi="Arial" w:cs="Arial"/>
          <w:sz w:val="24"/>
          <w:szCs w:val="24"/>
        </w:rPr>
        <w:t xml:space="preserve"> Minister of State for Universities and Science, the Rt Hon David Willetts MP, launched Access to Research in February 2014. This scheme is designed to deliver thousands of scientific and research papers through dedicated terminals at public libraries. It is a global leading initiative for free and open access standards. Mr Willetts also accepted the Review of Progress in Implementing the Recommendations of the Finch report’s 14 recommendations. BIS held a Higher Education Statistics User Engagement Event in January to raise the HE statistics and products profile. The event produced actions to improve data quality, policy context and dissemination data.</w:t>
      </w:r>
      <w:r>
        <w:rPr>
          <w:rFonts w:ascii="Arial" w:hAnsi="Arial" w:cs="Arial"/>
          <w:sz w:val="24"/>
          <w:szCs w:val="24"/>
        </w:rPr>
        <w:t xml:space="preserve"> </w:t>
      </w:r>
      <w:r w:rsidRPr="006049D0">
        <w:rPr>
          <w:rFonts w:ascii="Arial" w:hAnsi="Arial" w:cs="Arial"/>
          <w:sz w:val="24"/>
          <w:szCs w:val="24"/>
        </w:rPr>
        <w:t>With funding from BIS and the Technology Strategy Board, the Open Data Challenge Series is run by Nesta and the Open Data Institute to generate innovative and sustainable open data solutions to social challenges and to encourage a new community of SMEs and start-ups to use open data.  In February ‘Check that Bike Ltd’ was announced as the winner of the Crime and Justice Open Data Challenge.  Weekend hackathons were also held during this quarter on the Education Open Data Challenge and the Energy and Environment Open Data Challenge.</w:t>
      </w:r>
      <w:r w:rsidR="000572BE" w:rsidRPr="006049D0">
        <w:rPr>
          <w:rFonts w:ascii="Arial" w:hAnsi="Arial" w:cs="Arial"/>
          <w:sz w:val="24"/>
          <w:szCs w:val="24"/>
        </w:rPr>
        <w:t> </w:t>
      </w:r>
    </w:p>
    <w:p w:rsidR="004B2A79" w:rsidRPr="004B2A79" w:rsidRDefault="004B2A79" w:rsidP="004B2A79">
      <w:pPr>
        <w:pStyle w:val="ListParagraph"/>
        <w:autoSpaceDE w:val="0"/>
        <w:autoSpaceDN w:val="0"/>
        <w:adjustRightInd w:val="0"/>
        <w:spacing w:after="0"/>
        <w:jc w:val="both"/>
        <w:rPr>
          <w:rFonts w:ascii="Arial" w:hAnsi="Arial" w:cs="Arial"/>
          <w:b/>
          <w:sz w:val="24"/>
          <w:szCs w:val="24"/>
        </w:rPr>
      </w:pPr>
    </w:p>
    <w:p w:rsidR="009358DC" w:rsidRPr="006049D0" w:rsidRDefault="002D56B4" w:rsidP="004B2A79">
      <w:pPr>
        <w:numPr>
          <w:ilvl w:val="0"/>
          <w:numId w:val="1"/>
        </w:numPr>
        <w:spacing w:after="0"/>
        <w:ind w:left="714" w:hanging="357"/>
        <w:jc w:val="both"/>
        <w:rPr>
          <w:rFonts w:ascii="Arial" w:hAnsi="Arial" w:cs="Arial"/>
          <w:b/>
          <w:sz w:val="24"/>
          <w:szCs w:val="24"/>
        </w:rPr>
      </w:pPr>
      <w:r w:rsidRPr="006049D0">
        <w:rPr>
          <w:rFonts w:ascii="Arial" w:hAnsi="Arial" w:cs="Arial"/>
          <w:b/>
          <w:sz w:val="24"/>
          <w:szCs w:val="24"/>
        </w:rPr>
        <w:t>DCLG</w:t>
      </w:r>
      <w:r w:rsidR="009358DC" w:rsidRPr="006049D0">
        <w:rPr>
          <w:rFonts w:ascii="Arial" w:hAnsi="Arial" w:cs="Arial"/>
          <w:sz w:val="24"/>
          <w:szCs w:val="24"/>
        </w:rPr>
        <w:t xml:space="preserve"> create</w:t>
      </w:r>
      <w:r w:rsidR="00934942" w:rsidRPr="006049D0">
        <w:rPr>
          <w:rFonts w:ascii="Arial" w:hAnsi="Arial" w:cs="Arial"/>
          <w:sz w:val="24"/>
          <w:szCs w:val="24"/>
        </w:rPr>
        <w:t>d</w:t>
      </w:r>
      <w:r w:rsidR="00F13C62" w:rsidRPr="006049D0">
        <w:rPr>
          <w:rFonts w:ascii="Arial" w:hAnsi="Arial" w:cs="Arial"/>
          <w:sz w:val="24"/>
          <w:szCs w:val="24"/>
        </w:rPr>
        <w:t xml:space="preserve"> </w:t>
      </w:r>
      <w:r w:rsidR="009358DC" w:rsidRPr="006049D0">
        <w:rPr>
          <w:rFonts w:ascii="Arial" w:hAnsi="Arial" w:cs="Arial"/>
          <w:sz w:val="24"/>
          <w:szCs w:val="24"/>
        </w:rPr>
        <w:t>in house an application overlaying data on new-build property sales (from Land Registry’s public price-paid series), with Environment Agency data on flood risk and warning areas. DCLG also collaborate</w:t>
      </w:r>
      <w:r w:rsidR="00934942" w:rsidRPr="006049D0">
        <w:rPr>
          <w:rFonts w:ascii="Arial" w:hAnsi="Arial" w:cs="Arial"/>
          <w:sz w:val="24"/>
          <w:szCs w:val="24"/>
        </w:rPr>
        <w:t>d</w:t>
      </w:r>
      <w:r w:rsidR="009358DC" w:rsidRPr="006049D0">
        <w:rPr>
          <w:rFonts w:ascii="Arial" w:hAnsi="Arial" w:cs="Arial"/>
          <w:sz w:val="24"/>
          <w:szCs w:val="24"/>
        </w:rPr>
        <w:t xml:space="preserve"> with partners in the local sector to promote the benefits of blending and combining local and national sources, to deliver new tools and insights. </w:t>
      </w:r>
    </w:p>
    <w:p w:rsidR="004B2A79" w:rsidRDefault="004B2A79" w:rsidP="004B2A79">
      <w:pPr>
        <w:spacing w:after="0"/>
        <w:ind w:left="720"/>
        <w:jc w:val="both"/>
        <w:rPr>
          <w:rFonts w:ascii="Arial" w:hAnsi="Arial" w:cs="Arial"/>
          <w:b/>
          <w:sz w:val="24"/>
          <w:szCs w:val="24"/>
        </w:rPr>
      </w:pPr>
    </w:p>
    <w:p w:rsidR="0050165C" w:rsidRDefault="0050165C" w:rsidP="004B2A79">
      <w:pPr>
        <w:numPr>
          <w:ilvl w:val="0"/>
          <w:numId w:val="1"/>
        </w:numPr>
        <w:spacing w:after="0"/>
        <w:ind w:left="714" w:hanging="357"/>
        <w:jc w:val="both"/>
        <w:rPr>
          <w:rFonts w:ascii="Arial" w:hAnsi="Arial" w:cs="Arial"/>
          <w:sz w:val="24"/>
          <w:szCs w:val="24"/>
        </w:rPr>
      </w:pPr>
      <w:r>
        <w:rPr>
          <w:rFonts w:ascii="Arial" w:hAnsi="Arial" w:cs="Arial"/>
          <w:b/>
          <w:sz w:val="24"/>
          <w:szCs w:val="24"/>
        </w:rPr>
        <w:t xml:space="preserve">DfT </w:t>
      </w:r>
      <w:r w:rsidRPr="0050165C">
        <w:rPr>
          <w:rFonts w:ascii="Arial" w:hAnsi="Arial" w:cs="Arial"/>
          <w:sz w:val="24"/>
          <w:szCs w:val="24"/>
        </w:rPr>
        <w:t xml:space="preserve">organised presentations to domestic and international audiences showcasing </w:t>
      </w:r>
      <w:r w:rsidR="00A908C9">
        <w:rPr>
          <w:rFonts w:ascii="Arial" w:hAnsi="Arial" w:cs="Arial"/>
          <w:sz w:val="24"/>
          <w:szCs w:val="24"/>
        </w:rPr>
        <w:t>the publication and take-up of Open D</w:t>
      </w:r>
      <w:r w:rsidRPr="0050165C">
        <w:rPr>
          <w:rFonts w:ascii="Arial" w:hAnsi="Arial" w:cs="Arial"/>
          <w:sz w:val="24"/>
          <w:szCs w:val="24"/>
        </w:rPr>
        <w:t xml:space="preserve">ata across the transport sector. </w:t>
      </w:r>
    </w:p>
    <w:p w:rsidR="004B2A79" w:rsidRPr="0050165C" w:rsidRDefault="004B2A79" w:rsidP="004B2A79">
      <w:pPr>
        <w:spacing w:after="0"/>
        <w:ind w:left="714"/>
        <w:jc w:val="both"/>
        <w:rPr>
          <w:rFonts w:ascii="Arial" w:hAnsi="Arial" w:cs="Arial"/>
          <w:sz w:val="24"/>
          <w:szCs w:val="24"/>
        </w:rPr>
      </w:pPr>
    </w:p>
    <w:p w:rsidR="004B2A79" w:rsidRDefault="002D56B4" w:rsidP="004B2A79">
      <w:pPr>
        <w:numPr>
          <w:ilvl w:val="0"/>
          <w:numId w:val="1"/>
        </w:numPr>
        <w:spacing w:after="0"/>
        <w:ind w:left="714" w:hanging="357"/>
        <w:jc w:val="both"/>
        <w:rPr>
          <w:rFonts w:ascii="Arial" w:hAnsi="Arial" w:cs="Arial"/>
          <w:b/>
          <w:sz w:val="24"/>
          <w:szCs w:val="24"/>
        </w:rPr>
      </w:pPr>
      <w:r w:rsidRPr="009358DC">
        <w:rPr>
          <w:rFonts w:ascii="Arial" w:hAnsi="Arial" w:cs="Arial"/>
          <w:b/>
          <w:sz w:val="24"/>
          <w:szCs w:val="24"/>
        </w:rPr>
        <w:t>DCM</w:t>
      </w:r>
      <w:r w:rsidR="009358DC">
        <w:rPr>
          <w:rFonts w:ascii="Arial" w:hAnsi="Arial" w:cs="Arial"/>
          <w:b/>
          <w:sz w:val="24"/>
          <w:szCs w:val="24"/>
        </w:rPr>
        <w:t xml:space="preserve">S </w:t>
      </w:r>
      <w:r w:rsidR="00200B4D">
        <w:rPr>
          <w:rFonts w:ascii="Arial" w:hAnsi="Arial" w:cs="Arial"/>
          <w:sz w:val="24"/>
          <w:szCs w:val="24"/>
        </w:rPr>
        <w:t>held</w:t>
      </w:r>
      <w:r w:rsidR="009358DC">
        <w:rPr>
          <w:rFonts w:ascii="Arial" w:hAnsi="Arial" w:cs="Arial"/>
          <w:sz w:val="24"/>
          <w:szCs w:val="24"/>
        </w:rPr>
        <w:t xml:space="preserve"> </w:t>
      </w:r>
      <w:r w:rsidR="00F13C62">
        <w:rPr>
          <w:rFonts w:ascii="Arial" w:hAnsi="Arial" w:cs="Arial"/>
          <w:sz w:val="24"/>
          <w:szCs w:val="24"/>
        </w:rPr>
        <w:t>outreach events, including work</w:t>
      </w:r>
      <w:r w:rsidR="009358DC">
        <w:rPr>
          <w:rFonts w:ascii="Arial" w:hAnsi="Arial" w:cs="Arial"/>
          <w:sz w:val="24"/>
          <w:szCs w:val="24"/>
        </w:rPr>
        <w:t xml:space="preserve"> around </w:t>
      </w:r>
      <w:r w:rsidR="00290FEA">
        <w:rPr>
          <w:rFonts w:ascii="Arial" w:hAnsi="Arial" w:cs="Arial"/>
          <w:sz w:val="24"/>
          <w:szCs w:val="24"/>
        </w:rPr>
        <w:t>the</w:t>
      </w:r>
      <w:r w:rsidR="009358DC">
        <w:rPr>
          <w:rFonts w:ascii="Arial" w:hAnsi="Arial" w:cs="Arial"/>
          <w:sz w:val="24"/>
          <w:szCs w:val="24"/>
        </w:rPr>
        <w:t xml:space="preserve"> Creative Industries Economic Estimates, hi</w:t>
      </w:r>
      <w:r w:rsidR="004620A0">
        <w:rPr>
          <w:rFonts w:ascii="Arial" w:hAnsi="Arial" w:cs="Arial"/>
          <w:sz w:val="24"/>
          <w:szCs w:val="24"/>
        </w:rPr>
        <w:t>gh profile Open Data s</w:t>
      </w:r>
      <w:r w:rsidR="009358DC">
        <w:rPr>
          <w:rFonts w:ascii="Arial" w:hAnsi="Arial" w:cs="Arial"/>
          <w:sz w:val="24"/>
          <w:szCs w:val="24"/>
        </w:rPr>
        <w:t>essions with A</w:t>
      </w:r>
      <w:r w:rsidR="00200B4D">
        <w:rPr>
          <w:rFonts w:ascii="Arial" w:hAnsi="Arial" w:cs="Arial"/>
          <w:sz w:val="24"/>
          <w:szCs w:val="24"/>
        </w:rPr>
        <w:t xml:space="preserve">rts </w:t>
      </w:r>
      <w:r w:rsidR="009358DC">
        <w:rPr>
          <w:rFonts w:ascii="Arial" w:hAnsi="Arial" w:cs="Arial"/>
          <w:sz w:val="24"/>
          <w:szCs w:val="24"/>
        </w:rPr>
        <w:t>C</w:t>
      </w:r>
      <w:r w:rsidR="00200B4D">
        <w:rPr>
          <w:rFonts w:ascii="Arial" w:hAnsi="Arial" w:cs="Arial"/>
          <w:sz w:val="24"/>
          <w:szCs w:val="24"/>
        </w:rPr>
        <w:t xml:space="preserve">ouncil </w:t>
      </w:r>
      <w:r w:rsidR="009358DC">
        <w:rPr>
          <w:rFonts w:ascii="Arial" w:hAnsi="Arial" w:cs="Arial"/>
          <w:sz w:val="24"/>
          <w:szCs w:val="24"/>
        </w:rPr>
        <w:t>E</w:t>
      </w:r>
      <w:r w:rsidR="00200B4D">
        <w:rPr>
          <w:rFonts w:ascii="Arial" w:hAnsi="Arial" w:cs="Arial"/>
          <w:sz w:val="24"/>
          <w:szCs w:val="24"/>
        </w:rPr>
        <w:t>ngland</w:t>
      </w:r>
      <w:r w:rsidR="004B2A79">
        <w:rPr>
          <w:rFonts w:ascii="Arial" w:hAnsi="Arial" w:cs="Arial"/>
          <w:sz w:val="24"/>
          <w:szCs w:val="24"/>
        </w:rPr>
        <w:t xml:space="preserve"> (ACE)</w:t>
      </w:r>
      <w:r w:rsidR="009358DC">
        <w:rPr>
          <w:rFonts w:ascii="Arial" w:hAnsi="Arial" w:cs="Arial"/>
          <w:sz w:val="24"/>
          <w:szCs w:val="24"/>
        </w:rPr>
        <w:t>, and launched a new project with ACE and</w:t>
      </w:r>
      <w:r w:rsidR="00C84FA6">
        <w:rPr>
          <w:rFonts w:ascii="Arial" w:hAnsi="Arial" w:cs="Arial"/>
          <w:sz w:val="24"/>
          <w:szCs w:val="24"/>
        </w:rPr>
        <w:t xml:space="preserve"> </w:t>
      </w:r>
      <w:r w:rsidR="009358DC">
        <w:rPr>
          <w:rFonts w:ascii="Arial" w:hAnsi="Arial" w:cs="Arial"/>
          <w:sz w:val="24"/>
          <w:szCs w:val="24"/>
        </w:rPr>
        <w:t xml:space="preserve">Lottery Grant to enable grant data to be made public. </w:t>
      </w:r>
    </w:p>
    <w:p w:rsidR="004B2A79" w:rsidRPr="004B2A79" w:rsidRDefault="004B2A79" w:rsidP="004B2A79">
      <w:pPr>
        <w:spacing w:after="0"/>
        <w:ind w:left="720"/>
        <w:jc w:val="both"/>
        <w:rPr>
          <w:rFonts w:ascii="Arial" w:hAnsi="Arial" w:cs="Arial"/>
          <w:sz w:val="24"/>
          <w:szCs w:val="24"/>
        </w:rPr>
      </w:pPr>
    </w:p>
    <w:p w:rsidR="00360178" w:rsidRDefault="002D56B4" w:rsidP="004B2A79">
      <w:pPr>
        <w:numPr>
          <w:ilvl w:val="0"/>
          <w:numId w:val="1"/>
        </w:numPr>
        <w:spacing w:after="0"/>
        <w:jc w:val="both"/>
        <w:rPr>
          <w:rFonts w:ascii="Arial" w:hAnsi="Arial" w:cs="Arial"/>
          <w:sz w:val="24"/>
          <w:szCs w:val="24"/>
        </w:rPr>
      </w:pPr>
      <w:r w:rsidRPr="004B2A79">
        <w:rPr>
          <w:rFonts w:ascii="Arial" w:hAnsi="Arial" w:cs="Arial"/>
          <w:b/>
          <w:sz w:val="24"/>
          <w:szCs w:val="24"/>
        </w:rPr>
        <w:t xml:space="preserve">DECC </w:t>
      </w:r>
      <w:r w:rsidR="009358DC" w:rsidRPr="004B2A79">
        <w:rPr>
          <w:rFonts w:ascii="Arial" w:hAnsi="Arial" w:cs="Arial"/>
          <w:sz w:val="24"/>
          <w:szCs w:val="24"/>
        </w:rPr>
        <w:t>completed an audit of Information Assets and published results in an update to the National Information Infrastructure at the end of March.  This annual exercise ensure</w:t>
      </w:r>
      <w:r w:rsidR="007A46AE" w:rsidRPr="004B2A79">
        <w:rPr>
          <w:rFonts w:ascii="Arial" w:hAnsi="Arial" w:cs="Arial"/>
          <w:sz w:val="24"/>
          <w:szCs w:val="24"/>
        </w:rPr>
        <w:t>s</w:t>
      </w:r>
      <w:r w:rsidR="009358DC" w:rsidRPr="004B2A79">
        <w:rPr>
          <w:rFonts w:ascii="Arial" w:hAnsi="Arial" w:cs="Arial"/>
          <w:sz w:val="24"/>
          <w:szCs w:val="24"/>
        </w:rPr>
        <w:t xml:space="preserve"> all new datasets are captured. In addition to its progress towards publishing the </w:t>
      </w:r>
      <w:r w:rsidR="004B2A79" w:rsidRPr="004B2A79">
        <w:rPr>
          <w:rFonts w:ascii="Arial" w:hAnsi="Arial" w:cs="Arial"/>
          <w:sz w:val="24"/>
          <w:szCs w:val="24"/>
        </w:rPr>
        <w:t xml:space="preserve">National Energy Efficiency Database </w:t>
      </w:r>
      <w:r w:rsidR="004B2A79">
        <w:rPr>
          <w:rFonts w:ascii="Arial" w:hAnsi="Arial" w:cs="Arial"/>
          <w:sz w:val="24"/>
          <w:szCs w:val="24"/>
        </w:rPr>
        <w:t xml:space="preserve">(NEED) </w:t>
      </w:r>
      <w:r w:rsidR="009358DC" w:rsidRPr="004B2A79">
        <w:rPr>
          <w:rFonts w:ascii="Arial" w:hAnsi="Arial" w:cs="Arial"/>
          <w:sz w:val="24"/>
          <w:szCs w:val="24"/>
        </w:rPr>
        <w:t xml:space="preserve">database, DECC also attended the Energy and Environment Open </w:t>
      </w:r>
      <w:r w:rsidR="00C84FA6" w:rsidRPr="004B2A79">
        <w:rPr>
          <w:rFonts w:ascii="Arial" w:hAnsi="Arial" w:cs="Arial"/>
          <w:sz w:val="24"/>
          <w:szCs w:val="24"/>
        </w:rPr>
        <w:t>Da</w:t>
      </w:r>
      <w:r w:rsidR="00200B4D" w:rsidRPr="004B2A79">
        <w:rPr>
          <w:rFonts w:ascii="Arial" w:hAnsi="Arial" w:cs="Arial"/>
          <w:sz w:val="24"/>
          <w:szCs w:val="24"/>
        </w:rPr>
        <w:t>ta C</w:t>
      </w:r>
      <w:r w:rsidR="009358DC" w:rsidRPr="004B2A79">
        <w:rPr>
          <w:rFonts w:ascii="Arial" w:hAnsi="Arial" w:cs="Arial"/>
          <w:sz w:val="24"/>
          <w:szCs w:val="24"/>
        </w:rPr>
        <w:t>hallenge</w:t>
      </w:r>
      <w:r w:rsidR="00360178" w:rsidRPr="004B2A79">
        <w:rPr>
          <w:rFonts w:ascii="Arial" w:hAnsi="Arial" w:cs="Arial"/>
          <w:sz w:val="24"/>
          <w:szCs w:val="24"/>
        </w:rPr>
        <w:t xml:space="preserve"> and the March </w:t>
      </w:r>
      <w:r w:rsidR="00200B4D" w:rsidRPr="004B2A79">
        <w:rPr>
          <w:rFonts w:ascii="Arial" w:hAnsi="Arial" w:cs="Arial"/>
          <w:sz w:val="24"/>
          <w:szCs w:val="24"/>
        </w:rPr>
        <w:t xml:space="preserve">Public Sector </w:t>
      </w:r>
      <w:r w:rsidR="00360178" w:rsidRPr="004B2A79">
        <w:rPr>
          <w:rFonts w:ascii="Arial" w:hAnsi="Arial" w:cs="Arial"/>
          <w:sz w:val="24"/>
          <w:szCs w:val="24"/>
        </w:rPr>
        <w:t>Transparency Board to provide an update and discuss preparations to release annonymised data from the NEED</w:t>
      </w:r>
      <w:r w:rsidR="004B2A79">
        <w:rPr>
          <w:rFonts w:ascii="Arial" w:hAnsi="Arial" w:cs="Arial"/>
          <w:sz w:val="24"/>
          <w:szCs w:val="24"/>
        </w:rPr>
        <w:t xml:space="preserve"> </w:t>
      </w:r>
      <w:r w:rsidR="00360178" w:rsidRPr="004B2A79">
        <w:rPr>
          <w:rFonts w:ascii="Arial" w:hAnsi="Arial" w:cs="Arial"/>
          <w:sz w:val="24"/>
          <w:szCs w:val="24"/>
        </w:rPr>
        <w:t>scheduled for April 2014.</w:t>
      </w:r>
    </w:p>
    <w:p w:rsidR="004B2A79" w:rsidRDefault="004B2A79" w:rsidP="004B2A79">
      <w:pPr>
        <w:pStyle w:val="ListParagraph"/>
        <w:spacing w:after="0"/>
        <w:rPr>
          <w:rFonts w:ascii="Arial" w:hAnsi="Arial" w:cs="Arial"/>
          <w:sz w:val="24"/>
          <w:szCs w:val="24"/>
        </w:rPr>
      </w:pPr>
    </w:p>
    <w:p w:rsidR="006C5154" w:rsidRPr="006C5154" w:rsidRDefault="002D56B4" w:rsidP="004B2A79">
      <w:pPr>
        <w:numPr>
          <w:ilvl w:val="0"/>
          <w:numId w:val="1"/>
        </w:numPr>
        <w:spacing w:after="0"/>
        <w:ind w:left="714" w:hanging="357"/>
        <w:jc w:val="both"/>
        <w:rPr>
          <w:rFonts w:ascii="Arial" w:hAnsi="Arial" w:cs="Arial"/>
          <w:sz w:val="24"/>
          <w:szCs w:val="24"/>
        </w:rPr>
      </w:pPr>
      <w:r w:rsidRPr="006C5154">
        <w:rPr>
          <w:rFonts w:ascii="Arial" w:hAnsi="Arial" w:cs="Arial"/>
          <w:b/>
          <w:sz w:val="24"/>
          <w:szCs w:val="24"/>
        </w:rPr>
        <w:t>DEFRA</w:t>
      </w:r>
      <w:r w:rsidR="004B2A79">
        <w:rPr>
          <w:rFonts w:ascii="Arial" w:hAnsi="Arial" w:cs="Arial"/>
          <w:sz w:val="24"/>
          <w:szCs w:val="24"/>
        </w:rPr>
        <w:t xml:space="preserve"> continued</w:t>
      </w:r>
      <w:r w:rsidR="006C5154" w:rsidRPr="006C5154">
        <w:rPr>
          <w:rFonts w:ascii="Arial" w:hAnsi="Arial" w:cs="Arial"/>
          <w:sz w:val="24"/>
          <w:szCs w:val="24"/>
        </w:rPr>
        <w:t xml:space="preserve"> to update its pilot registry service that holds and enables the publishing of connective reference data such as code lists and vocabularies that can be referenced from other data across the network alongside their definitions.  This has included contributions to the registry service project that is </w:t>
      </w:r>
      <w:r w:rsidR="00661F8A">
        <w:rPr>
          <w:rFonts w:ascii="Arial" w:hAnsi="Arial" w:cs="Arial"/>
          <w:sz w:val="24"/>
          <w:szCs w:val="24"/>
        </w:rPr>
        <w:t>open</w:t>
      </w:r>
      <w:r w:rsidR="006C5154" w:rsidRPr="006C5154">
        <w:rPr>
          <w:rFonts w:ascii="Arial" w:hAnsi="Arial" w:cs="Arial"/>
          <w:sz w:val="24"/>
          <w:szCs w:val="24"/>
        </w:rPr>
        <w:t xml:space="preserve"> source collaboration.  Defra has supported activities with geospatial standards bodies to identify best practice for the publication of open geospatial data in open standards that enable the maximum re-use.  Defra </w:t>
      </w:r>
      <w:r w:rsidR="007A46AE">
        <w:rPr>
          <w:rFonts w:ascii="Arial" w:hAnsi="Arial" w:cs="Arial"/>
          <w:sz w:val="24"/>
          <w:szCs w:val="24"/>
        </w:rPr>
        <w:t>also</w:t>
      </w:r>
      <w:r w:rsidR="006C5154" w:rsidRPr="006C5154">
        <w:rPr>
          <w:rFonts w:ascii="Arial" w:hAnsi="Arial" w:cs="Arial"/>
          <w:sz w:val="24"/>
          <w:szCs w:val="24"/>
        </w:rPr>
        <w:t xml:space="preserve"> made changes to its underlying </w:t>
      </w:r>
      <w:r w:rsidR="00934942">
        <w:rPr>
          <w:rFonts w:ascii="Arial" w:hAnsi="Arial" w:cs="Arial"/>
          <w:sz w:val="24"/>
          <w:szCs w:val="24"/>
        </w:rPr>
        <w:t>publication architecture for csv</w:t>
      </w:r>
      <w:r w:rsidR="006C5154" w:rsidRPr="006C5154">
        <w:rPr>
          <w:rFonts w:ascii="Arial" w:hAnsi="Arial" w:cs="Arial"/>
          <w:sz w:val="24"/>
          <w:szCs w:val="24"/>
        </w:rPr>
        <w:t>s t</w:t>
      </w:r>
      <w:r w:rsidR="00934942">
        <w:rPr>
          <w:rFonts w:ascii="Arial" w:hAnsi="Arial" w:cs="Arial"/>
          <w:sz w:val="24"/>
          <w:szCs w:val="24"/>
        </w:rPr>
        <w:t>o improve and validate those csv</w:t>
      </w:r>
      <w:r w:rsidR="006C5154" w:rsidRPr="006C5154">
        <w:rPr>
          <w:rFonts w:ascii="Arial" w:hAnsi="Arial" w:cs="Arial"/>
          <w:sz w:val="24"/>
          <w:szCs w:val="24"/>
        </w:rPr>
        <w:t xml:space="preserve">s against the ODI csvLint pilot.  Defra </w:t>
      </w:r>
      <w:r w:rsidR="00C55076">
        <w:rPr>
          <w:rFonts w:ascii="Arial" w:hAnsi="Arial" w:cs="Arial"/>
          <w:sz w:val="24"/>
          <w:szCs w:val="24"/>
        </w:rPr>
        <w:t xml:space="preserve">continued to </w:t>
      </w:r>
      <w:r w:rsidR="006C5154" w:rsidRPr="006C5154">
        <w:rPr>
          <w:rFonts w:ascii="Arial" w:hAnsi="Arial" w:cs="Arial"/>
          <w:sz w:val="24"/>
          <w:szCs w:val="24"/>
        </w:rPr>
        <w:t xml:space="preserve">work actively with data.gov.uk to improve the publishing and harvesting of data, metadata and data services through data.gov.uk for UK public sector spatial data.  </w:t>
      </w:r>
    </w:p>
    <w:p w:rsidR="001D49D6" w:rsidRPr="00F65548" w:rsidRDefault="001D49D6" w:rsidP="00166BA8">
      <w:pPr>
        <w:autoSpaceDE w:val="0"/>
        <w:autoSpaceDN w:val="0"/>
        <w:adjustRightInd w:val="0"/>
        <w:spacing w:after="0"/>
        <w:ind w:left="360"/>
        <w:jc w:val="both"/>
        <w:rPr>
          <w:rFonts w:ascii="Arial" w:hAnsi="Arial" w:cs="Arial"/>
          <w:sz w:val="24"/>
          <w:szCs w:val="24"/>
        </w:rPr>
      </w:pPr>
    </w:p>
    <w:p w:rsidR="00F65548" w:rsidRPr="00ED3377" w:rsidRDefault="002D56B4" w:rsidP="00166BA8">
      <w:pPr>
        <w:pStyle w:val="ListParagraph"/>
        <w:numPr>
          <w:ilvl w:val="0"/>
          <w:numId w:val="1"/>
        </w:numPr>
        <w:autoSpaceDE w:val="0"/>
        <w:autoSpaceDN w:val="0"/>
        <w:adjustRightInd w:val="0"/>
        <w:spacing w:after="0"/>
        <w:jc w:val="both"/>
        <w:rPr>
          <w:rFonts w:ascii="Arial" w:hAnsi="Arial" w:cs="Arial"/>
          <w:sz w:val="24"/>
          <w:szCs w:val="24"/>
        </w:rPr>
      </w:pPr>
      <w:r w:rsidRPr="00ED3377">
        <w:rPr>
          <w:rFonts w:ascii="Arial" w:hAnsi="Arial" w:cs="Arial"/>
          <w:b/>
          <w:sz w:val="24"/>
          <w:szCs w:val="24"/>
        </w:rPr>
        <w:t>DWP</w:t>
      </w:r>
      <w:r w:rsidR="00F65548" w:rsidRPr="00ED3377">
        <w:rPr>
          <w:rFonts w:ascii="Arial" w:hAnsi="Arial" w:cs="Arial"/>
          <w:b/>
          <w:sz w:val="24"/>
          <w:szCs w:val="24"/>
        </w:rPr>
        <w:t xml:space="preserve"> </w:t>
      </w:r>
      <w:r w:rsidR="00C55076">
        <w:rPr>
          <w:rFonts w:ascii="Arial" w:hAnsi="Arial" w:cs="Arial"/>
          <w:sz w:val="24"/>
          <w:szCs w:val="24"/>
        </w:rPr>
        <w:t>worked</w:t>
      </w:r>
      <w:r w:rsidR="00F65548" w:rsidRPr="00ED3377">
        <w:rPr>
          <w:rFonts w:ascii="Arial" w:hAnsi="Arial" w:cs="Arial"/>
          <w:sz w:val="24"/>
          <w:szCs w:val="24"/>
        </w:rPr>
        <w:t xml:space="preserve"> with</w:t>
      </w:r>
      <w:r w:rsidR="00C55076">
        <w:rPr>
          <w:rFonts w:ascii="Arial" w:hAnsi="Arial" w:cs="Arial"/>
          <w:sz w:val="24"/>
          <w:szCs w:val="24"/>
        </w:rPr>
        <w:t xml:space="preserve"> the</w:t>
      </w:r>
      <w:r w:rsidR="00F65548" w:rsidRPr="00ED3377">
        <w:rPr>
          <w:rFonts w:ascii="Arial" w:hAnsi="Arial" w:cs="Arial"/>
          <w:sz w:val="24"/>
          <w:szCs w:val="24"/>
        </w:rPr>
        <w:t xml:space="preserve"> E</w:t>
      </w:r>
      <w:r w:rsidR="009A35AC">
        <w:rPr>
          <w:rFonts w:ascii="Arial" w:hAnsi="Arial" w:cs="Arial"/>
          <w:sz w:val="24"/>
          <w:szCs w:val="24"/>
        </w:rPr>
        <w:t xml:space="preserve">conomic and </w:t>
      </w:r>
      <w:r w:rsidR="00F65548" w:rsidRPr="00ED3377">
        <w:rPr>
          <w:rFonts w:ascii="Arial" w:hAnsi="Arial" w:cs="Arial"/>
          <w:sz w:val="24"/>
          <w:szCs w:val="24"/>
        </w:rPr>
        <w:t>S</w:t>
      </w:r>
      <w:r w:rsidR="009A35AC">
        <w:rPr>
          <w:rFonts w:ascii="Arial" w:hAnsi="Arial" w:cs="Arial"/>
          <w:sz w:val="24"/>
          <w:szCs w:val="24"/>
        </w:rPr>
        <w:t xml:space="preserve">ocial </w:t>
      </w:r>
      <w:r w:rsidR="00F65548" w:rsidRPr="00ED3377">
        <w:rPr>
          <w:rFonts w:ascii="Arial" w:hAnsi="Arial" w:cs="Arial"/>
          <w:sz w:val="24"/>
          <w:szCs w:val="24"/>
        </w:rPr>
        <w:t>R</w:t>
      </w:r>
      <w:r w:rsidR="009A35AC">
        <w:rPr>
          <w:rFonts w:ascii="Arial" w:hAnsi="Arial" w:cs="Arial"/>
          <w:sz w:val="24"/>
          <w:szCs w:val="24"/>
        </w:rPr>
        <w:t xml:space="preserve">esearch </w:t>
      </w:r>
      <w:r w:rsidR="00F65548" w:rsidRPr="00ED3377">
        <w:rPr>
          <w:rFonts w:ascii="Arial" w:hAnsi="Arial" w:cs="Arial"/>
          <w:sz w:val="24"/>
          <w:szCs w:val="24"/>
        </w:rPr>
        <w:t>C</w:t>
      </w:r>
      <w:r w:rsidR="009A35AC">
        <w:rPr>
          <w:rFonts w:ascii="Arial" w:hAnsi="Arial" w:cs="Arial"/>
          <w:sz w:val="24"/>
          <w:szCs w:val="24"/>
        </w:rPr>
        <w:t>ouncil (ESRC)</w:t>
      </w:r>
      <w:r w:rsidR="00F65548" w:rsidRPr="00ED3377">
        <w:rPr>
          <w:rFonts w:ascii="Arial" w:hAnsi="Arial" w:cs="Arial"/>
          <w:sz w:val="24"/>
          <w:szCs w:val="24"/>
        </w:rPr>
        <w:t xml:space="preserve"> and </w:t>
      </w:r>
      <w:r w:rsidR="00F13C62" w:rsidRPr="00ED3377">
        <w:rPr>
          <w:rFonts w:ascii="Arial" w:hAnsi="Arial" w:cs="Arial"/>
          <w:sz w:val="24"/>
          <w:szCs w:val="24"/>
        </w:rPr>
        <w:t xml:space="preserve">the </w:t>
      </w:r>
      <w:r w:rsidR="00C55076">
        <w:rPr>
          <w:rFonts w:ascii="Arial" w:hAnsi="Arial" w:cs="Arial"/>
          <w:sz w:val="24"/>
          <w:szCs w:val="24"/>
        </w:rPr>
        <w:t>A</w:t>
      </w:r>
      <w:r w:rsidR="00C55076" w:rsidRPr="00ED3377">
        <w:rPr>
          <w:rFonts w:ascii="Arial" w:hAnsi="Arial" w:cs="Arial"/>
          <w:sz w:val="24"/>
          <w:szCs w:val="24"/>
        </w:rPr>
        <w:t>dmin</w:t>
      </w:r>
      <w:r w:rsidR="00C55076">
        <w:rPr>
          <w:rFonts w:ascii="Arial" w:hAnsi="Arial" w:cs="Arial"/>
          <w:sz w:val="24"/>
          <w:szCs w:val="24"/>
        </w:rPr>
        <w:t>istrative</w:t>
      </w:r>
      <w:r w:rsidR="00C55076" w:rsidRPr="00ED3377">
        <w:rPr>
          <w:rFonts w:ascii="Arial" w:hAnsi="Arial" w:cs="Arial"/>
          <w:sz w:val="24"/>
          <w:szCs w:val="24"/>
        </w:rPr>
        <w:t xml:space="preserve"> </w:t>
      </w:r>
      <w:r w:rsidR="00C55076">
        <w:rPr>
          <w:rFonts w:ascii="Arial" w:hAnsi="Arial" w:cs="Arial"/>
          <w:sz w:val="24"/>
          <w:szCs w:val="24"/>
        </w:rPr>
        <w:t>D</w:t>
      </w:r>
      <w:r w:rsidR="00F65548" w:rsidRPr="00ED3377">
        <w:rPr>
          <w:rFonts w:ascii="Arial" w:hAnsi="Arial" w:cs="Arial"/>
          <w:sz w:val="24"/>
          <w:szCs w:val="24"/>
        </w:rPr>
        <w:t xml:space="preserve">ata </w:t>
      </w:r>
      <w:r w:rsidR="00C55076">
        <w:rPr>
          <w:rFonts w:ascii="Arial" w:hAnsi="Arial" w:cs="Arial"/>
          <w:sz w:val="24"/>
          <w:szCs w:val="24"/>
        </w:rPr>
        <w:t>S</w:t>
      </w:r>
      <w:r w:rsidR="00C55076" w:rsidRPr="00ED3377">
        <w:rPr>
          <w:rFonts w:ascii="Arial" w:hAnsi="Arial" w:cs="Arial"/>
          <w:sz w:val="24"/>
          <w:szCs w:val="24"/>
        </w:rPr>
        <w:t xml:space="preserve">ervice </w:t>
      </w:r>
      <w:r w:rsidR="00F65548" w:rsidRPr="00ED3377">
        <w:rPr>
          <w:rFonts w:ascii="Arial" w:hAnsi="Arial" w:cs="Arial"/>
          <w:sz w:val="24"/>
          <w:szCs w:val="24"/>
        </w:rPr>
        <w:t>on establishing the Admin</w:t>
      </w:r>
      <w:r w:rsidR="00EB7AE8">
        <w:rPr>
          <w:rFonts w:ascii="Arial" w:hAnsi="Arial" w:cs="Arial"/>
          <w:sz w:val="24"/>
          <w:szCs w:val="24"/>
        </w:rPr>
        <w:t>istrative</w:t>
      </w:r>
      <w:r w:rsidR="00F65548" w:rsidRPr="00ED3377">
        <w:rPr>
          <w:rFonts w:ascii="Arial" w:hAnsi="Arial" w:cs="Arial"/>
          <w:sz w:val="24"/>
          <w:szCs w:val="24"/>
        </w:rPr>
        <w:t xml:space="preserve"> Data Research Network. It also report</w:t>
      </w:r>
      <w:r w:rsidR="00C55076">
        <w:rPr>
          <w:rFonts w:ascii="Arial" w:hAnsi="Arial" w:cs="Arial"/>
          <w:sz w:val="24"/>
          <w:szCs w:val="24"/>
        </w:rPr>
        <w:t>ed</w:t>
      </w:r>
      <w:r w:rsidR="00F65548" w:rsidRPr="00ED3377">
        <w:rPr>
          <w:rFonts w:ascii="Arial" w:hAnsi="Arial" w:cs="Arial"/>
          <w:sz w:val="24"/>
          <w:szCs w:val="24"/>
        </w:rPr>
        <w:t xml:space="preserve"> active involvement in </w:t>
      </w:r>
      <w:r w:rsidR="00F13C62" w:rsidRPr="00ED3377">
        <w:rPr>
          <w:rFonts w:ascii="Arial" w:hAnsi="Arial" w:cs="Arial"/>
          <w:sz w:val="24"/>
          <w:szCs w:val="24"/>
        </w:rPr>
        <w:t>the UK A</w:t>
      </w:r>
      <w:r w:rsidR="00F65548" w:rsidRPr="00ED3377">
        <w:rPr>
          <w:rFonts w:ascii="Arial" w:hAnsi="Arial" w:cs="Arial"/>
          <w:sz w:val="24"/>
          <w:szCs w:val="24"/>
        </w:rPr>
        <w:t xml:space="preserve">nonymisation </w:t>
      </w:r>
      <w:r w:rsidR="00F13C62" w:rsidRPr="00ED3377">
        <w:rPr>
          <w:rFonts w:ascii="Arial" w:hAnsi="Arial" w:cs="Arial"/>
          <w:sz w:val="24"/>
          <w:szCs w:val="24"/>
        </w:rPr>
        <w:t>N</w:t>
      </w:r>
      <w:r w:rsidR="00F65548" w:rsidRPr="00ED3377">
        <w:rPr>
          <w:rFonts w:ascii="Arial" w:hAnsi="Arial" w:cs="Arial"/>
          <w:sz w:val="24"/>
          <w:szCs w:val="24"/>
        </w:rPr>
        <w:t xml:space="preserve">etwork, including developing guidance on disclosure risk management for record level data to be released into the public domain or secure environments. </w:t>
      </w:r>
      <w:r w:rsidR="00F13C62" w:rsidRPr="00ED3377">
        <w:rPr>
          <w:rFonts w:ascii="Arial" w:hAnsi="Arial" w:cs="Arial"/>
          <w:sz w:val="24"/>
          <w:szCs w:val="24"/>
        </w:rPr>
        <w:t xml:space="preserve">Progress </w:t>
      </w:r>
      <w:r w:rsidR="00C55076">
        <w:rPr>
          <w:rFonts w:ascii="Arial" w:hAnsi="Arial" w:cs="Arial"/>
          <w:sz w:val="24"/>
          <w:szCs w:val="24"/>
        </w:rPr>
        <w:t xml:space="preserve">was </w:t>
      </w:r>
      <w:r w:rsidR="00217030">
        <w:rPr>
          <w:rFonts w:ascii="Arial" w:hAnsi="Arial" w:cs="Arial"/>
          <w:sz w:val="24"/>
          <w:szCs w:val="24"/>
        </w:rPr>
        <w:t>reported on the d</w:t>
      </w:r>
      <w:r w:rsidR="00F65548" w:rsidRPr="00ED3377">
        <w:rPr>
          <w:rFonts w:ascii="Arial" w:hAnsi="Arial" w:cs="Arial"/>
          <w:sz w:val="24"/>
          <w:szCs w:val="24"/>
        </w:rPr>
        <w:t xml:space="preserve">epartment’s External </w:t>
      </w:r>
      <w:r w:rsidR="009A35AC">
        <w:rPr>
          <w:rFonts w:ascii="Arial" w:hAnsi="Arial" w:cs="Arial"/>
          <w:sz w:val="24"/>
          <w:szCs w:val="24"/>
        </w:rPr>
        <w:t xml:space="preserve">Data </w:t>
      </w:r>
      <w:r w:rsidR="00F65548" w:rsidRPr="00ED3377">
        <w:rPr>
          <w:rFonts w:ascii="Arial" w:hAnsi="Arial" w:cs="Arial"/>
          <w:sz w:val="24"/>
          <w:szCs w:val="24"/>
        </w:rPr>
        <w:t>Sharing Advice Centre</w:t>
      </w:r>
      <w:r w:rsidR="009A35AC">
        <w:rPr>
          <w:rFonts w:ascii="Arial" w:hAnsi="Arial" w:cs="Arial"/>
          <w:sz w:val="24"/>
          <w:szCs w:val="24"/>
        </w:rPr>
        <w:t xml:space="preserve"> (EDSAC)</w:t>
      </w:r>
      <w:r w:rsidR="00F65548" w:rsidRPr="00ED3377">
        <w:rPr>
          <w:rFonts w:ascii="Arial" w:hAnsi="Arial" w:cs="Arial"/>
          <w:sz w:val="24"/>
          <w:szCs w:val="24"/>
        </w:rPr>
        <w:t xml:space="preserve">. </w:t>
      </w:r>
    </w:p>
    <w:p w:rsidR="00F65548" w:rsidRPr="00F65548" w:rsidRDefault="00F65548" w:rsidP="00166BA8">
      <w:pPr>
        <w:pStyle w:val="msolistparagraph0"/>
        <w:ind w:left="180"/>
        <w:jc w:val="both"/>
        <w:rPr>
          <w:rFonts w:ascii="Arial" w:hAnsi="Arial" w:cs="Arial"/>
          <w:sz w:val="24"/>
          <w:szCs w:val="24"/>
        </w:rPr>
      </w:pPr>
    </w:p>
    <w:p w:rsidR="00B51D7E" w:rsidRPr="00ED3377" w:rsidRDefault="002D56B4" w:rsidP="00166BA8">
      <w:pPr>
        <w:pStyle w:val="ListParagraph"/>
        <w:numPr>
          <w:ilvl w:val="0"/>
          <w:numId w:val="1"/>
        </w:numPr>
        <w:autoSpaceDE w:val="0"/>
        <w:autoSpaceDN w:val="0"/>
        <w:adjustRightInd w:val="0"/>
        <w:spacing w:after="0"/>
        <w:jc w:val="both"/>
        <w:rPr>
          <w:rFonts w:ascii="Arial" w:hAnsi="Arial" w:cs="Arial"/>
          <w:sz w:val="24"/>
          <w:szCs w:val="24"/>
        </w:rPr>
      </w:pPr>
      <w:r w:rsidRPr="00ED3377">
        <w:rPr>
          <w:rFonts w:ascii="Arial" w:hAnsi="Arial" w:cs="Arial"/>
          <w:b/>
          <w:sz w:val="24"/>
          <w:szCs w:val="24"/>
        </w:rPr>
        <w:t>HMRC</w:t>
      </w:r>
      <w:r w:rsidRPr="00ED3377">
        <w:rPr>
          <w:rFonts w:ascii="Arial" w:hAnsi="Arial" w:cs="Arial"/>
          <w:sz w:val="24"/>
          <w:szCs w:val="24"/>
        </w:rPr>
        <w:t xml:space="preserve"> </w:t>
      </w:r>
      <w:r w:rsidR="00C15E32" w:rsidRPr="00ED3377">
        <w:rPr>
          <w:rFonts w:ascii="Arial" w:hAnsi="Arial" w:cs="Arial"/>
          <w:sz w:val="24"/>
          <w:szCs w:val="24"/>
        </w:rPr>
        <w:t>released the Transparency Data Catalogue</w:t>
      </w:r>
      <w:r w:rsidR="00EB7AE8">
        <w:rPr>
          <w:rFonts w:ascii="Arial" w:hAnsi="Arial" w:cs="Arial"/>
          <w:sz w:val="24"/>
          <w:szCs w:val="24"/>
        </w:rPr>
        <w:t xml:space="preserve"> on data.gov.uk</w:t>
      </w:r>
      <w:r w:rsidR="00C15E32" w:rsidRPr="00ED3377">
        <w:rPr>
          <w:rFonts w:ascii="Arial" w:hAnsi="Arial" w:cs="Arial"/>
          <w:sz w:val="24"/>
          <w:szCs w:val="24"/>
        </w:rPr>
        <w:t>, an invento</w:t>
      </w:r>
      <w:r w:rsidR="00217030">
        <w:rPr>
          <w:rFonts w:ascii="Arial" w:hAnsi="Arial" w:cs="Arial"/>
          <w:sz w:val="24"/>
          <w:szCs w:val="24"/>
        </w:rPr>
        <w:t>ry of the datasets held by the d</w:t>
      </w:r>
      <w:r w:rsidR="00C15E32" w:rsidRPr="00ED3377">
        <w:rPr>
          <w:rFonts w:ascii="Arial" w:hAnsi="Arial" w:cs="Arial"/>
          <w:sz w:val="24"/>
          <w:szCs w:val="24"/>
        </w:rPr>
        <w:t xml:space="preserve">epartment. In addition, the HMRC pocket guide, organograms and the Equality Act </w:t>
      </w:r>
      <w:r w:rsidR="00C84E41" w:rsidRPr="00ED3377">
        <w:rPr>
          <w:rFonts w:ascii="Arial" w:hAnsi="Arial" w:cs="Arial"/>
          <w:sz w:val="24"/>
          <w:szCs w:val="24"/>
        </w:rPr>
        <w:t>Workforce</w:t>
      </w:r>
      <w:r w:rsidR="00C15E32" w:rsidRPr="00ED3377">
        <w:rPr>
          <w:rFonts w:ascii="Arial" w:hAnsi="Arial" w:cs="Arial"/>
          <w:sz w:val="24"/>
          <w:szCs w:val="24"/>
        </w:rPr>
        <w:t xml:space="preserve"> Data for 2012 to 2013 were published this quarter. </w:t>
      </w:r>
    </w:p>
    <w:p w:rsidR="00274271" w:rsidRDefault="00274271" w:rsidP="00166BA8">
      <w:pPr>
        <w:autoSpaceDE w:val="0"/>
        <w:autoSpaceDN w:val="0"/>
        <w:adjustRightInd w:val="0"/>
        <w:spacing w:after="0"/>
        <w:ind w:left="720"/>
        <w:jc w:val="both"/>
        <w:rPr>
          <w:rFonts w:ascii="Arial" w:hAnsi="Arial" w:cs="Arial"/>
          <w:sz w:val="24"/>
          <w:szCs w:val="24"/>
        </w:rPr>
      </w:pPr>
    </w:p>
    <w:p w:rsidR="00274271" w:rsidRPr="002E08CF" w:rsidRDefault="002D56B4" w:rsidP="00166BA8">
      <w:pPr>
        <w:pStyle w:val="ListParagraph"/>
        <w:numPr>
          <w:ilvl w:val="0"/>
          <w:numId w:val="1"/>
        </w:numPr>
        <w:autoSpaceDE w:val="0"/>
        <w:autoSpaceDN w:val="0"/>
        <w:adjustRightInd w:val="0"/>
        <w:spacing w:after="0"/>
        <w:jc w:val="both"/>
        <w:rPr>
          <w:rFonts w:ascii="Arial" w:hAnsi="Arial" w:cs="Arial"/>
          <w:sz w:val="24"/>
          <w:szCs w:val="24"/>
        </w:rPr>
      </w:pPr>
      <w:r w:rsidRPr="002E08CF">
        <w:rPr>
          <w:rFonts w:ascii="Arial" w:hAnsi="Arial" w:cs="Arial"/>
          <w:b/>
          <w:sz w:val="24"/>
          <w:szCs w:val="24"/>
        </w:rPr>
        <w:t xml:space="preserve">HMT </w:t>
      </w:r>
      <w:r w:rsidRPr="002E08CF">
        <w:rPr>
          <w:rFonts w:ascii="Arial" w:hAnsi="Arial" w:cs="Arial"/>
          <w:sz w:val="24"/>
          <w:szCs w:val="24"/>
        </w:rPr>
        <w:t>set up a dedicated M</w:t>
      </w:r>
      <w:r w:rsidR="00965B5F" w:rsidRPr="002E08CF">
        <w:rPr>
          <w:rFonts w:ascii="Arial" w:hAnsi="Arial" w:cs="Arial"/>
          <w:sz w:val="24"/>
          <w:szCs w:val="24"/>
        </w:rPr>
        <w:t xml:space="preserve">anagement </w:t>
      </w:r>
      <w:r w:rsidRPr="002E08CF">
        <w:rPr>
          <w:rFonts w:ascii="Arial" w:hAnsi="Arial" w:cs="Arial"/>
          <w:sz w:val="24"/>
          <w:szCs w:val="24"/>
        </w:rPr>
        <w:t>I</w:t>
      </w:r>
      <w:r w:rsidR="00965B5F" w:rsidRPr="002E08CF">
        <w:rPr>
          <w:rFonts w:ascii="Arial" w:hAnsi="Arial" w:cs="Arial"/>
          <w:sz w:val="24"/>
          <w:szCs w:val="24"/>
        </w:rPr>
        <w:t>nformation</w:t>
      </w:r>
      <w:r w:rsidR="00DC7183" w:rsidRPr="002E08CF">
        <w:rPr>
          <w:rFonts w:ascii="Arial" w:hAnsi="Arial" w:cs="Arial"/>
          <w:sz w:val="24"/>
          <w:szCs w:val="24"/>
        </w:rPr>
        <w:t xml:space="preserve"> unit within their</w:t>
      </w:r>
      <w:r w:rsidRPr="002E08CF">
        <w:rPr>
          <w:rFonts w:ascii="Arial" w:hAnsi="Arial" w:cs="Arial"/>
          <w:sz w:val="24"/>
          <w:szCs w:val="24"/>
        </w:rPr>
        <w:t xml:space="preserve"> corporate centre which is responsible for the </w:t>
      </w:r>
      <w:r w:rsidR="00965B5F" w:rsidRPr="002E08CF">
        <w:rPr>
          <w:rFonts w:ascii="Arial" w:hAnsi="Arial" w:cs="Arial"/>
          <w:sz w:val="24"/>
          <w:szCs w:val="24"/>
        </w:rPr>
        <w:t>d</w:t>
      </w:r>
      <w:r w:rsidRPr="002E08CF">
        <w:rPr>
          <w:rFonts w:ascii="Arial" w:hAnsi="Arial" w:cs="Arial"/>
          <w:sz w:val="24"/>
          <w:szCs w:val="24"/>
        </w:rPr>
        <w:t>epartment</w:t>
      </w:r>
      <w:r w:rsidR="001A6CC9" w:rsidRPr="002E08CF">
        <w:rPr>
          <w:rFonts w:ascii="Arial" w:hAnsi="Arial" w:cs="Arial"/>
          <w:sz w:val="24"/>
          <w:szCs w:val="24"/>
        </w:rPr>
        <w:t>’</w:t>
      </w:r>
      <w:r w:rsidRPr="002E08CF">
        <w:rPr>
          <w:rFonts w:ascii="Arial" w:hAnsi="Arial" w:cs="Arial"/>
          <w:sz w:val="24"/>
          <w:szCs w:val="24"/>
        </w:rPr>
        <w:t>s</w:t>
      </w:r>
      <w:r w:rsidR="001A6CC9" w:rsidRPr="002E08CF">
        <w:rPr>
          <w:rFonts w:ascii="Arial" w:hAnsi="Arial" w:cs="Arial"/>
          <w:sz w:val="24"/>
          <w:szCs w:val="24"/>
        </w:rPr>
        <w:t xml:space="preserve"> </w:t>
      </w:r>
      <w:r w:rsidR="00A908C9" w:rsidRPr="002E08CF">
        <w:rPr>
          <w:rFonts w:ascii="Arial" w:hAnsi="Arial" w:cs="Arial"/>
          <w:sz w:val="24"/>
          <w:szCs w:val="24"/>
        </w:rPr>
        <w:t>transparency and Open D</w:t>
      </w:r>
      <w:r w:rsidRPr="002E08CF">
        <w:rPr>
          <w:rFonts w:ascii="Arial" w:hAnsi="Arial" w:cs="Arial"/>
          <w:sz w:val="24"/>
          <w:szCs w:val="24"/>
        </w:rPr>
        <w:t>ata strategy.</w:t>
      </w:r>
    </w:p>
    <w:p w:rsidR="00274271" w:rsidRPr="006250BE" w:rsidRDefault="00274271" w:rsidP="00166BA8">
      <w:pPr>
        <w:autoSpaceDE w:val="0"/>
        <w:autoSpaceDN w:val="0"/>
        <w:adjustRightInd w:val="0"/>
        <w:spacing w:after="0"/>
        <w:ind w:left="360"/>
        <w:jc w:val="both"/>
        <w:rPr>
          <w:rFonts w:ascii="Arial" w:hAnsi="Arial" w:cs="Arial"/>
          <w:sz w:val="24"/>
          <w:szCs w:val="24"/>
        </w:rPr>
      </w:pPr>
    </w:p>
    <w:p w:rsidR="00E702D2" w:rsidRPr="00ED3377" w:rsidRDefault="00E702D2" w:rsidP="009A5B21">
      <w:pPr>
        <w:pStyle w:val="ListParagraph"/>
        <w:numPr>
          <w:ilvl w:val="0"/>
          <w:numId w:val="1"/>
        </w:numPr>
        <w:spacing w:after="0"/>
        <w:ind w:left="714" w:hanging="357"/>
        <w:jc w:val="both"/>
        <w:rPr>
          <w:rFonts w:ascii="Arial" w:hAnsi="Arial" w:cs="Arial"/>
          <w:sz w:val="24"/>
          <w:szCs w:val="24"/>
        </w:rPr>
      </w:pPr>
      <w:r w:rsidRPr="00ED3377">
        <w:rPr>
          <w:rFonts w:ascii="Arial" w:hAnsi="Arial" w:cs="Arial"/>
          <w:b/>
          <w:sz w:val="24"/>
          <w:szCs w:val="24"/>
        </w:rPr>
        <w:t xml:space="preserve">HO </w:t>
      </w:r>
      <w:r w:rsidRPr="00ED3377">
        <w:rPr>
          <w:rFonts w:ascii="Arial" w:hAnsi="Arial" w:cs="Arial"/>
          <w:sz w:val="24"/>
          <w:szCs w:val="24"/>
        </w:rPr>
        <w:t xml:space="preserve">reported that </w:t>
      </w:r>
      <w:r w:rsidR="00C15E32" w:rsidRPr="00ED3377">
        <w:rPr>
          <w:rFonts w:ascii="Arial" w:hAnsi="Arial" w:cs="Arial"/>
          <w:sz w:val="24"/>
          <w:szCs w:val="24"/>
        </w:rPr>
        <w:t xml:space="preserve">the legislative mandate for datasets linked to data.gov.uk has been entered onto the system, meeting this </w:t>
      </w:r>
      <w:r w:rsidR="00766739">
        <w:rPr>
          <w:rFonts w:ascii="Arial" w:hAnsi="Arial" w:cs="Arial"/>
          <w:sz w:val="24"/>
          <w:szCs w:val="24"/>
        </w:rPr>
        <w:t>National Information Infrastructure (</w:t>
      </w:r>
      <w:r w:rsidR="00C15E32" w:rsidRPr="00ED3377">
        <w:rPr>
          <w:rFonts w:ascii="Arial" w:hAnsi="Arial" w:cs="Arial"/>
          <w:sz w:val="24"/>
          <w:szCs w:val="24"/>
        </w:rPr>
        <w:t>NI</w:t>
      </w:r>
      <w:r w:rsidR="00766739">
        <w:rPr>
          <w:rFonts w:ascii="Arial" w:hAnsi="Arial" w:cs="Arial"/>
          <w:sz w:val="24"/>
          <w:szCs w:val="24"/>
        </w:rPr>
        <w:t>I)</w:t>
      </w:r>
      <w:r w:rsidR="00C15E32" w:rsidRPr="00ED3377">
        <w:rPr>
          <w:rFonts w:ascii="Arial" w:hAnsi="Arial" w:cs="Arial"/>
          <w:sz w:val="24"/>
          <w:szCs w:val="24"/>
        </w:rPr>
        <w:t xml:space="preserve"> commitment.  A high level working group has also been established to explore options to make police records more open and accessible, as recommended by the Hillsborough Independent Panel.</w:t>
      </w:r>
    </w:p>
    <w:p w:rsidR="003B33C8" w:rsidRDefault="003B33C8" w:rsidP="00166BA8">
      <w:pPr>
        <w:spacing w:after="0" w:line="240" w:lineRule="auto"/>
        <w:ind w:left="720"/>
        <w:jc w:val="both"/>
        <w:rPr>
          <w:rFonts w:ascii="Arial" w:hAnsi="Arial" w:cs="Arial"/>
          <w:sz w:val="24"/>
          <w:szCs w:val="24"/>
        </w:rPr>
      </w:pPr>
    </w:p>
    <w:p w:rsidR="003B33C8" w:rsidRPr="00ED3377" w:rsidRDefault="003B33C8" w:rsidP="009A5B21">
      <w:pPr>
        <w:pStyle w:val="ListParagraph"/>
        <w:numPr>
          <w:ilvl w:val="0"/>
          <w:numId w:val="1"/>
        </w:numPr>
        <w:spacing w:after="0"/>
        <w:ind w:left="714" w:hanging="357"/>
        <w:jc w:val="both"/>
        <w:rPr>
          <w:rFonts w:ascii="Arial" w:hAnsi="Arial" w:cs="Arial"/>
          <w:sz w:val="24"/>
          <w:szCs w:val="24"/>
        </w:rPr>
      </w:pPr>
      <w:r w:rsidRPr="00ED3377">
        <w:rPr>
          <w:rFonts w:ascii="Arial" w:hAnsi="Arial" w:cs="Arial"/>
          <w:b/>
          <w:sz w:val="24"/>
          <w:szCs w:val="24"/>
        </w:rPr>
        <w:t>FCO</w:t>
      </w:r>
      <w:r w:rsidRPr="00ED3377">
        <w:rPr>
          <w:rFonts w:ascii="Arial" w:hAnsi="Arial" w:cs="Arial"/>
          <w:sz w:val="24"/>
          <w:szCs w:val="24"/>
        </w:rPr>
        <w:t xml:space="preserve"> held its first </w:t>
      </w:r>
      <w:r w:rsidR="00C84E41" w:rsidRPr="00ED3377">
        <w:rPr>
          <w:rFonts w:ascii="Arial" w:hAnsi="Arial" w:cs="Arial"/>
          <w:sz w:val="24"/>
          <w:szCs w:val="24"/>
        </w:rPr>
        <w:t>Hack day</w:t>
      </w:r>
      <w:r w:rsidRPr="00ED3377">
        <w:rPr>
          <w:rFonts w:ascii="Arial" w:hAnsi="Arial" w:cs="Arial"/>
          <w:sz w:val="24"/>
          <w:szCs w:val="24"/>
        </w:rPr>
        <w:t xml:space="preserve"> (Jan 2014) engaging with a range of developers to build products using FCO data. In addition</w:t>
      </w:r>
      <w:r w:rsidR="007A46AE" w:rsidRPr="00ED3377">
        <w:rPr>
          <w:rFonts w:ascii="Arial" w:hAnsi="Arial" w:cs="Arial"/>
          <w:sz w:val="24"/>
          <w:szCs w:val="24"/>
        </w:rPr>
        <w:t>,</w:t>
      </w:r>
      <w:r w:rsidRPr="00ED3377">
        <w:rPr>
          <w:rFonts w:ascii="Arial" w:hAnsi="Arial" w:cs="Arial"/>
          <w:sz w:val="24"/>
          <w:szCs w:val="24"/>
        </w:rPr>
        <w:t xml:space="preserve"> a range of international </w:t>
      </w:r>
      <w:r w:rsidR="00661F8A" w:rsidRPr="00ED3377">
        <w:rPr>
          <w:rFonts w:ascii="Arial" w:hAnsi="Arial" w:cs="Arial"/>
          <w:sz w:val="24"/>
          <w:szCs w:val="24"/>
        </w:rPr>
        <w:t>initiatives were</w:t>
      </w:r>
      <w:r w:rsidRPr="00ED3377">
        <w:rPr>
          <w:rFonts w:ascii="Arial" w:hAnsi="Arial" w:cs="Arial"/>
          <w:sz w:val="24"/>
          <w:szCs w:val="24"/>
        </w:rPr>
        <w:t xml:space="preserve"> supported, including organising and providing speakers for an Open </w:t>
      </w:r>
      <w:r w:rsidR="00661F8A" w:rsidRPr="00ED3377">
        <w:rPr>
          <w:rFonts w:ascii="Arial" w:hAnsi="Arial" w:cs="Arial"/>
          <w:sz w:val="24"/>
          <w:szCs w:val="24"/>
        </w:rPr>
        <w:t>Data conference</w:t>
      </w:r>
      <w:r w:rsidR="007A46AE" w:rsidRPr="00ED3377">
        <w:rPr>
          <w:rFonts w:ascii="Arial" w:hAnsi="Arial" w:cs="Arial"/>
          <w:sz w:val="24"/>
          <w:szCs w:val="24"/>
        </w:rPr>
        <w:t xml:space="preserve"> in Prague, hosting and speaking</w:t>
      </w:r>
      <w:r w:rsidRPr="00ED3377">
        <w:rPr>
          <w:rFonts w:ascii="Arial" w:hAnsi="Arial" w:cs="Arial"/>
          <w:sz w:val="24"/>
          <w:szCs w:val="24"/>
        </w:rPr>
        <w:t xml:space="preserve"> </w:t>
      </w:r>
      <w:r w:rsidR="00661F8A" w:rsidRPr="00ED3377">
        <w:rPr>
          <w:rFonts w:ascii="Arial" w:hAnsi="Arial" w:cs="Arial"/>
          <w:sz w:val="24"/>
          <w:szCs w:val="24"/>
        </w:rPr>
        <w:t>at a</w:t>
      </w:r>
      <w:r w:rsidRPr="00ED3377">
        <w:rPr>
          <w:rFonts w:ascii="Arial" w:hAnsi="Arial" w:cs="Arial"/>
          <w:sz w:val="24"/>
          <w:szCs w:val="24"/>
        </w:rPr>
        <w:t xml:space="preserve"> regional Open D</w:t>
      </w:r>
      <w:r w:rsidR="007A46AE" w:rsidRPr="00ED3377">
        <w:rPr>
          <w:rFonts w:ascii="Arial" w:hAnsi="Arial" w:cs="Arial"/>
          <w:sz w:val="24"/>
          <w:szCs w:val="24"/>
        </w:rPr>
        <w:t xml:space="preserve">ata Seminar in Latin America, </w:t>
      </w:r>
      <w:r w:rsidR="006049D0">
        <w:rPr>
          <w:rFonts w:ascii="Arial" w:hAnsi="Arial" w:cs="Arial"/>
          <w:sz w:val="24"/>
          <w:szCs w:val="24"/>
        </w:rPr>
        <w:t>preparing for an</w:t>
      </w:r>
      <w:r w:rsidRPr="00ED3377">
        <w:rPr>
          <w:rFonts w:ascii="Arial" w:hAnsi="Arial" w:cs="Arial"/>
          <w:sz w:val="24"/>
          <w:szCs w:val="24"/>
        </w:rPr>
        <w:t xml:space="preserve"> innovation hack at the Embassy in Paris as well as holding workshops </w:t>
      </w:r>
      <w:r w:rsidR="007A46AE" w:rsidRPr="00ED3377">
        <w:rPr>
          <w:rFonts w:ascii="Arial" w:hAnsi="Arial" w:cs="Arial"/>
          <w:sz w:val="24"/>
          <w:szCs w:val="24"/>
        </w:rPr>
        <w:t>in</w:t>
      </w:r>
      <w:r w:rsidRPr="00ED3377">
        <w:rPr>
          <w:rFonts w:ascii="Arial" w:hAnsi="Arial" w:cs="Arial"/>
          <w:sz w:val="24"/>
          <w:szCs w:val="24"/>
        </w:rPr>
        <w:t xml:space="preserve"> London </w:t>
      </w:r>
      <w:r w:rsidR="00661F8A" w:rsidRPr="00ED3377">
        <w:rPr>
          <w:rFonts w:ascii="Arial" w:hAnsi="Arial" w:cs="Arial"/>
          <w:sz w:val="24"/>
          <w:szCs w:val="24"/>
        </w:rPr>
        <w:t>for Open</w:t>
      </w:r>
      <w:r w:rsidR="00766739">
        <w:rPr>
          <w:rFonts w:ascii="Arial" w:hAnsi="Arial" w:cs="Arial"/>
          <w:sz w:val="24"/>
          <w:szCs w:val="24"/>
        </w:rPr>
        <w:t xml:space="preserve"> Government Partnership (OGP) </w:t>
      </w:r>
      <w:r w:rsidRPr="00ED3377">
        <w:rPr>
          <w:rFonts w:ascii="Arial" w:hAnsi="Arial" w:cs="Arial"/>
          <w:sz w:val="24"/>
          <w:szCs w:val="24"/>
        </w:rPr>
        <w:t>countr</w:t>
      </w:r>
      <w:r w:rsidR="00A908C9">
        <w:rPr>
          <w:rFonts w:ascii="Arial" w:hAnsi="Arial" w:cs="Arial"/>
          <w:sz w:val="24"/>
          <w:szCs w:val="24"/>
        </w:rPr>
        <w:t>ies to support citizens use of Open D</w:t>
      </w:r>
      <w:r w:rsidRPr="00ED3377">
        <w:rPr>
          <w:rFonts w:ascii="Arial" w:hAnsi="Arial" w:cs="Arial"/>
          <w:sz w:val="24"/>
          <w:szCs w:val="24"/>
        </w:rPr>
        <w:t xml:space="preserve">ata.      </w:t>
      </w:r>
    </w:p>
    <w:p w:rsidR="00E702D2" w:rsidRPr="00E702D2" w:rsidRDefault="00E702D2" w:rsidP="00166BA8">
      <w:pPr>
        <w:autoSpaceDE w:val="0"/>
        <w:autoSpaceDN w:val="0"/>
        <w:adjustRightInd w:val="0"/>
        <w:spacing w:after="0"/>
        <w:jc w:val="both"/>
        <w:rPr>
          <w:rFonts w:ascii="Arial" w:hAnsi="Arial" w:cs="Arial"/>
          <w:b/>
          <w:sz w:val="24"/>
          <w:szCs w:val="24"/>
        </w:rPr>
      </w:pPr>
    </w:p>
    <w:p w:rsidR="00DD1CF8" w:rsidRPr="00ED3377" w:rsidRDefault="002D56B4" w:rsidP="00166BA8">
      <w:pPr>
        <w:pStyle w:val="ListParagraph"/>
        <w:numPr>
          <w:ilvl w:val="0"/>
          <w:numId w:val="1"/>
        </w:numPr>
        <w:autoSpaceDE w:val="0"/>
        <w:autoSpaceDN w:val="0"/>
        <w:adjustRightInd w:val="0"/>
        <w:spacing w:after="0"/>
        <w:jc w:val="both"/>
        <w:rPr>
          <w:rFonts w:ascii="Arial" w:hAnsi="Arial" w:cs="Arial"/>
          <w:sz w:val="24"/>
          <w:szCs w:val="24"/>
        </w:rPr>
      </w:pPr>
      <w:r w:rsidRPr="00ED3377">
        <w:rPr>
          <w:rFonts w:ascii="Arial" w:hAnsi="Arial" w:cs="Arial"/>
          <w:b/>
          <w:sz w:val="24"/>
          <w:szCs w:val="24"/>
        </w:rPr>
        <w:t>MOD</w:t>
      </w:r>
      <w:r w:rsidRPr="00ED3377">
        <w:rPr>
          <w:rFonts w:ascii="Arial" w:hAnsi="Arial" w:cs="Arial"/>
          <w:sz w:val="24"/>
          <w:szCs w:val="24"/>
        </w:rPr>
        <w:t xml:space="preserve"> continued to engage with </w:t>
      </w:r>
      <w:r w:rsidR="00766739">
        <w:rPr>
          <w:rFonts w:ascii="Arial" w:hAnsi="Arial" w:cs="Arial"/>
          <w:sz w:val="24"/>
          <w:szCs w:val="24"/>
        </w:rPr>
        <w:t>the Defence Science and Technology Laboratory (</w:t>
      </w:r>
      <w:r w:rsidR="003543BB" w:rsidRPr="00ED3377">
        <w:rPr>
          <w:rFonts w:ascii="Arial" w:hAnsi="Arial" w:cs="Arial"/>
          <w:sz w:val="24"/>
          <w:szCs w:val="24"/>
        </w:rPr>
        <w:t>DSTL</w:t>
      </w:r>
      <w:r w:rsidR="00766739">
        <w:rPr>
          <w:rFonts w:ascii="Arial" w:hAnsi="Arial" w:cs="Arial"/>
          <w:sz w:val="24"/>
          <w:szCs w:val="24"/>
        </w:rPr>
        <w:t>)</w:t>
      </w:r>
      <w:r w:rsidRPr="00ED3377">
        <w:rPr>
          <w:rFonts w:ascii="Arial" w:hAnsi="Arial" w:cs="Arial"/>
          <w:sz w:val="24"/>
          <w:szCs w:val="24"/>
        </w:rPr>
        <w:t xml:space="preserve"> and </w:t>
      </w:r>
      <w:r w:rsidR="003543BB" w:rsidRPr="00ED3377">
        <w:rPr>
          <w:rFonts w:ascii="Arial" w:hAnsi="Arial" w:cs="Arial"/>
          <w:sz w:val="24"/>
          <w:szCs w:val="24"/>
        </w:rPr>
        <w:t xml:space="preserve">the </w:t>
      </w:r>
      <w:r w:rsidRPr="00ED3377">
        <w:rPr>
          <w:rFonts w:ascii="Arial" w:hAnsi="Arial" w:cs="Arial"/>
          <w:sz w:val="24"/>
          <w:szCs w:val="24"/>
        </w:rPr>
        <w:t>D</w:t>
      </w:r>
      <w:r w:rsidR="003543BB" w:rsidRPr="00ED3377">
        <w:rPr>
          <w:rFonts w:ascii="Arial" w:hAnsi="Arial" w:cs="Arial"/>
          <w:sz w:val="24"/>
          <w:szCs w:val="24"/>
        </w:rPr>
        <w:t xml:space="preserve">efence </w:t>
      </w:r>
      <w:r w:rsidRPr="00ED3377">
        <w:rPr>
          <w:rFonts w:ascii="Arial" w:hAnsi="Arial" w:cs="Arial"/>
          <w:sz w:val="24"/>
          <w:szCs w:val="24"/>
        </w:rPr>
        <w:t>A</w:t>
      </w:r>
      <w:r w:rsidR="003543BB" w:rsidRPr="00ED3377">
        <w:rPr>
          <w:rFonts w:ascii="Arial" w:hAnsi="Arial" w:cs="Arial"/>
          <w:sz w:val="24"/>
          <w:szCs w:val="24"/>
        </w:rPr>
        <w:t xml:space="preserve">nalytical Services </w:t>
      </w:r>
      <w:r w:rsidRPr="00ED3377">
        <w:rPr>
          <w:rFonts w:ascii="Arial" w:hAnsi="Arial" w:cs="Arial"/>
          <w:sz w:val="24"/>
          <w:szCs w:val="24"/>
        </w:rPr>
        <w:t>A</w:t>
      </w:r>
      <w:r w:rsidR="003543BB" w:rsidRPr="00ED3377">
        <w:rPr>
          <w:rFonts w:ascii="Arial" w:hAnsi="Arial" w:cs="Arial"/>
          <w:sz w:val="24"/>
          <w:szCs w:val="24"/>
        </w:rPr>
        <w:t>gency</w:t>
      </w:r>
      <w:r w:rsidRPr="00ED3377">
        <w:rPr>
          <w:rFonts w:ascii="Arial" w:hAnsi="Arial" w:cs="Arial"/>
          <w:sz w:val="24"/>
          <w:szCs w:val="24"/>
        </w:rPr>
        <w:t xml:space="preserve"> to identify further datasets for release. </w:t>
      </w:r>
    </w:p>
    <w:p w:rsidR="00D57981" w:rsidRDefault="00D57981" w:rsidP="00166BA8">
      <w:pPr>
        <w:autoSpaceDE w:val="0"/>
        <w:autoSpaceDN w:val="0"/>
        <w:adjustRightInd w:val="0"/>
        <w:spacing w:after="0"/>
        <w:ind w:left="720"/>
        <w:jc w:val="both"/>
        <w:rPr>
          <w:rFonts w:ascii="Arial" w:hAnsi="Arial" w:cs="Arial"/>
          <w:sz w:val="24"/>
          <w:szCs w:val="24"/>
        </w:rPr>
      </w:pPr>
    </w:p>
    <w:p w:rsidR="00D57981" w:rsidRPr="00ED3377" w:rsidRDefault="00D57981" w:rsidP="00166BA8">
      <w:pPr>
        <w:pStyle w:val="ListParagraph"/>
        <w:numPr>
          <w:ilvl w:val="0"/>
          <w:numId w:val="1"/>
        </w:numPr>
        <w:autoSpaceDE w:val="0"/>
        <w:autoSpaceDN w:val="0"/>
        <w:adjustRightInd w:val="0"/>
        <w:spacing w:after="0"/>
        <w:jc w:val="both"/>
        <w:rPr>
          <w:rFonts w:ascii="Arial" w:hAnsi="Arial" w:cs="Arial"/>
          <w:sz w:val="24"/>
          <w:szCs w:val="24"/>
        </w:rPr>
      </w:pPr>
      <w:r w:rsidRPr="00ED3377">
        <w:rPr>
          <w:rFonts w:ascii="Arial" w:hAnsi="Arial" w:cs="Arial"/>
          <w:b/>
          <w:sz w:val="24"/>
          <w:szCs w:val="24"/>
        </w:rPr>
        <w:t>MoJ</w:t>
      </w:r>
      <w:r w:rsidRPr="00ED3377">
        <w:rPr>
          <w:rFonts w:ascii="Arial" w:hAnsi="Arial" w:cs="Arial"/>
          <w:sz w:val="24"/>
          <w:szCs w:val="24"/>
        </w:rPr>
        <w:t xml:space="preserve"> made significant progress in rationalising its ‘unpublished datasets’ on data.gov.uk so that stakeholders have a clearer picture of what data the department holds, but does not publish.</w:t>
      </w:r>
    </w:p>
    <w:p w:rsidR="0036741A" w:rsidRPr="0036741A" w:rsidRDefault="0036741A" w:rsidP="00166BA8">
      <w:pPr>
        <w:autoSpaceDE w:val="0"/>
        <w:autoSpaceDN w:val="0"/>
        <w:adjustRightInd w:val="0"/>
        <w:spacing w:after="0"/>
        <w:jc w:val="both"/>
        <w:rPr>
          <w:rFonts w:ascii="Arial" w:hAnsi="Arial" w:cs="Arial"/>
          <w:b/>
          <w:sz w:val="24"/>
          <w:szCs w:val="24"/>
        </w:rPr>
      </w:pPr>
    </w:p>
    <w:p w:rsidR="0036741A" w:rsidRPr="00027CEA" w:rsidRDefault="00D12DB1" w:rsidP="00166BA8">
      <w:pPr>
        <w:spacing w:after="0"/>
        <w:jc w:val="both"/>
        <w:rPr>
          <w:rFonts w:ascii="Arial" w:hAnsi="Arial" w:cs="Arial"/>
          <w:b/>
          <w:sz w:val="24"/>
          <w:szCs w:val="24"/>
        </w:rPr>
      </w:pPr>
      <w:r w:rsidRPr="00027CEA">
        <w:rPr>
          <w:rFonts w:ascii="Arial" w:hAnsi="Arial" w:cs="Arial"/>
          <w:b/>
          <w:sz w:val="24"/>
          <w:szCs w:val="24"/>
        </w:rPr>
        <w:t>O</w:t>
      </w:r>
      <w:r w:rsidR="00A1333A" w:rsidRPr="00027CEA">
        <w:rPr>
          <w:rFonts w:ascii="Arial" w:hAnsi="Arial" w:cs="Arial"/>
          <w:b/>
          <w:sz w:val="24"/>
          <w:szCs w:val="24"/>
        </w:rPr>
        <w:t xml:space="preserve">pen Government </w:t>
      </w:r>
      <w:r w:rsidRPr="00027CEA">
        <w:rPr>
          <w:rFonts w:ascii="Arial" w:hAnsi="Arial" w:cs="Arial"/>
          <w:b/>
          <w:sz w:val="24"/>
          <w:szCs w:val="24"/>
        </w:rPr>
        <w:t>P</w:t>
      </w:r>
      <w:r w:rsidR="00A1333A" w:rsidRPr="00027CEA">
        <w:rPr>
          <w:rFonts w:ascii="Arial" w:hAnsi="Arial" w:cs="Arial"/>
          <w:b/>
          <w:sz w:val="24"/>
          <w:szCs w:val="24"/>
        </w:rPr>
        <w:t>artnership</w:t>
      </w:r>
      <w:r w:rsidR="00D9092D" w:rsidRPr="00027CEA">
        <w:rPr>
          <w:rFonts w:ascii="Arial" w:hAnsi="Arial" w:cs="Arial"/>
          <w:b/>
          <w:sz w:val="24"/>
          <w:szCs w:val="24"/>
        </w:rPr>
        <w:t xml:space="preserve"> </w:t>
      </w:r>
      <w:r w:rsidR="008A4FDA">
        <w:rPr>
          <w:rFonts w:ascii="Arial" w:hAnsi="Arial" w:cs="Arial"/>
          <w:b/>
          <w:sz w:val="24"/>
          <w:szCs w:val="24"/>
        </w:rPr>
        <w:t>(OGP)</w:t>
      </w:r>
    </w:p>
    <w:p w:rsidR="00027CEA" w:rsidRPr="00027CEA" w:rsidRDefault="00027CEA" w:rsidP="00166BA8">
      <w:pPr>
        <w:spacing w:after="0"/>
        <w:jc w:val="both"/>
        <w:rPr>
          <w:rFonts w:ascii="Arial" w:eastAsiaTheme="minorEastAsia" w:hAnsi="Arial" w:cs="Arial"/>
          <w:b/>
          <w:sz w:val="24"/>
          <w:szCs w:val="24"/>
        </w:rPr>
      </w:pPr>
    </w:p>
    <w:p w:rsidR="00027CEA" w:rsidRPr="00166BA8" w:rsidRDefault="00027CEA" w:rsidP="00166BA8">
      <w:pPr>
        <w:pStyle w:val="ListParagraph"/>
        <w:numPr>
          <w:ilvl w:val="0"/>
          <w:numId w:val="1"/>
        </w:numPr>
        <w:jc w:val="both"/>
        <w:rPr>
          <w:rFonts w:ascii="Arial" w:hAnsi="Arial" w:cs="Arial"/>
          <w:sz w:val="24"/>
          <w:szCs w:val="24"/>
        </w:rPr>
      </w:pPr>
      <w:r w:rsidRPr="00166BA8">
        <w:rPr>
          <w:rFonts w:ascii="Arial" w:hAnsi="Arial" w:cs="Arial"/>
          <w:sz w:val="24"/>
          <w:szCs w:val="24"/>
        </w:rPr>
        <w:t>In January a UK delegation attended the Open Government Partnership</w:t>
      </w:r>
      <w:r w:rsidR="008A4FDA">
        <w:rPr>
          <w:rFonts w:ascii="Arial" w:hAnsi="Arial" w:cs="Arial"/>
          <w:sz w:val="24"/>
          <w:szCs w:val="24"/>
        </w:rPr>
        <w:t xml:space="preserve"> </w:t>
      </w:r>
      <w:r w:rsidRPr="00166BA8">
        <w:rPr>
          <w:rFonts w:ascii="Arial" w:hAnsi="Arial" w:cs="Arial"/>
          <w:sz w:val="24"/>
          <w:szCs w:val="24"/>
        </w:rPr>
        <w:t>Governance and Leadership Committee meeting in</w:t>
      </w:r>
      <w:r w:rsidR="009A4DE2" w:rsidRPr="00166BA8">
        <w:rPr>
          <w:rFonts w:ascii="Arial" w:hAnsi="Arial" w:cs="Arial"/>
          <w:sz w:val="24"/>
          <w:szCs w:val="24"/>
        </w:rPr>
        <w:t xml:space="preserve"> Mexico City</w:t>
      </w:r>
      <w:r w:rsidR="00C84E41" w:rsidRPr="00166BA8">
        <w:rPr>
          <w:rFonts w:ascii="Arial" w:hAnsi="Arial" w:cs="Arial"/>
          <w:sz w:val="24"/>
          <w:szCs w:val="24"/>
        </w:rPr>
        <w:t>.</w:t>
      </w:r>
      <w:r w:rsidR="009A4DE2" w:rsidRPr="00166BA8">
        <w:rPr>
          <w:rFonts w:ascii="Arial" w:hAnsi="Arial" w:cs="Arial"/>
          <w:sz w:val="24"/>
          <w:szCs w:val="24"/>
        </w:rPr>
        <w:t xml:space="preserve"> After this,</w:t>
      </w:r>
      <w:r w:rsidRPr="00166BA8">
        <w:rPr>
          <w:rFonts w:ascii="Arial" w:hAnsi="Arial" w:cs="Arial"/>
          <w:sz w:val="24"/>
          <w:szCs w:val="24"/>
        </w:rPr>
        <w:t xml:space="preserve"> the Cabinet Office continued to support the current co-chairs of the OGP Steering Committee as part of the “troika” system. An active role was also played in the Peer Learning and Support Subcommittee, working to strengthen the OGP agend</w:t>
      </w:r>
      <w:r w:rsidR="009A4DE2" w:rsidRPr="00166BA8">
        <w:rPr>
          <w:rFonts w:ascii="Arial" w:hAnsi="Arial" w:cs="Arial"/>
          <w:sz w:val="24"/>
          <w:szCs w:val="24"/>
        </w:rPr>
        <w:t>a in each participating country</w:t>
      </w:r>
      <w:r w:rsidRPr="00166BA8">
        <w:rPr>
          <w:rFonts w:ascii="Arial" w:hAnsi="Arial" w:cs="Arial"/>
          <w:sz w:val="24"/>
          <w:szCs w:val="24"/>
        </w:rPr>
        <w:t xml:space="preserve"> and to facilitate the creation of a reformer network with the potential to have a positive impact on open government reform around the world. </w:t>
      </w:r>
    </w:p>
    <w:p w:rsidR="00027CEA" w:rsidRPr="00027CEA" w:rsidRDefault="00027CEA" w:rsidP="00166BA8">
      <w:pPr>
        <w:pStyle w:val="ListParagraph"/>
        <w:jc w:val="both"/>
        <w:rPr>
          <w:rFonts w:ascii="Arial" w:hAnsi="Arial" w:cs="Arial"/>
          <w:sz w:val="24"/>
          <w:szCs w:val="24"/>
        </w:rPr>
      </w:pPr>
    </w:p>
    <w:p w:rsidR="00A1333A" w:rsidRDefault="00027CEA" w:rsidP="00166BA8">
      <w:pPr>
        <w:pStyle w:val="ListParagraph"/>
        <w:numPr>
          <w:ilvl w:val="0"/>
          <w:numId w:val="1"/>
        </w:numPr>
        <w:spacing w:after="0"/>
        <w:contextualSpacing w:val="0"/>
        <w:jc w:val="both"/>
        <w:rPr>
          <w:rFonts w:ascii="Arial" w:hAnsi="Arial" w:cs="Arial"/>
          <w:sz w:val="24"/>
          <w:szCs w:val="24"/>
        </w:rPr>
      </w:pPr>
      <w:r>
        <w:rPr>
          <w:rFonts w:ascii="Arial" w:hAnsi="Arial" w:cs="Arial"/>
          <w:sz w:val="24"/>
          <w:szCs w:val="24"/>
        </w:rPr>
        <w:t>The Cabinet Office</w:t>
      </w:r>
      <w:r w:rsidRPr="00027CEA">
        <w:rPr>
          <w:rFonts w:ascii="Arial" w:hAnsi="Arial" w:cs="Arial"/>
          <w:sz w:val="24"/>
          <w:szCs w:val="24"/>
        </w:rPr>
        <w:t xml:space="preserve"> developed a programme with the Jakart</w:t>
      </w:r>
      <w:r w:rsidR="009A4DE2">
        <w:rPr>
          <w:rFonts w:ascii="Arial" w:hAnsi="Arial" w:cs="Arial"/>
          <w:sz w:val="24"/>
          <w:szCs w:val="24"/>
        </w:rPr>
        <w:t xml:space="preserve">a Embassy </w:t>
      </w:r>
      <w:r w:rsidR="00C84E41">
        <w:rPr>
          <w:rFonts w:ascii="Arial" w:hAnsi="Arial" w:cs="Arial"/>
          <w:sz w:val="24"/>
          <w:szCs w:val="24"/>
        </w:rPr>
        <w:t>for visiting Indonesian journalists</w:t>
      </w:r>
      <w:r w:rsidRPr="00027CEA">
        <w:rPr>
          <w:rFonts w:ascii="Arial" w:hAnsi="Arial" w:cs="Arial"/>
          <w:sz w:val="24"/>
          <w:szCs w:val="24"/>
        </w:rPr>
        <w:t xml:space="preserve"> to the UK about Open Government</w:t>
      </w:r>
      <w:r w:rsidR="00362B44">
        <w:rPr>
          <w:rFonts w:ascii="Arial" w:hAnsi="Arial" w:cs="Arial"/>
          <w:sz w:val="24"/>
          <w:szCs w:val="24"/>
        </w:rPr>
        <w:t>.</w:t>
      </w:r>
    </w:p>
    <w:p w:rsidR="00A1333A" w:rsidRDefault="00A1333A" w:rsidP="00166BA8">
      <w:pPr>
        <w:pStyle w:val="ListParagraph"/>
        <w:spacing w:after="0"/>
        <w:contextualSpacing w:val="0"/>
        <w:jc w:val="both"/>
        <w:rPr>
          <w:rFonts w:ascii="Arial" w:hAnsi="Arial" w:cs="Arial"/>
          <w:sz w:val="24"/>
          <w:szCs w:val="24"/>
        </w:rPr>
      </w:pPr>
    </w:p>
    <w:p w:rsidR="00A1700C" w:rsidRPr="009A5B21" w:rsidRDefault="00A1700C" w:rsidP="009A5B21">
      <w:pPr>
        <w:spacing w:after="0"/>
        <w:jc w:val="both"/>
        <w:rPr>
          <w:rFonts w:ascii="Arial" w:hAnsi="Arial" w:cs="Arial"/>
          <w:b/>
          <w:bCs/>
          <w:sz w:val="24"/>
          <w:szCs w:val="24"/>
        </w:rPr>
      </w:pPr>
      <w:r w:rsidRPr="009A5B21">
        <w:rPr>
          <w:rFonts w:ascii="Arial" w:hAnsi="Arial" w:cs="Arial"/>
          <w:b/>
          <w:bCs/>
          <w:sz w:val="24"/>
          <w:szCs w:val="24"/>
        </w:rPr>
        <w:t>OGP UK National Action Plan (NAP) 2013-15</w:t>
      </w:r>
    </w:p>
    <w:p w:rsidR="00A1700C" w:rsidRPr="00A1700C" w:rsidRDefault="00A1700C" w:rsidP="00166BA8">
      <w:pPr>
        <w:pStyle w:val="ListParagraph"/>
        <w:jc w:val="both"/>
        <w:rPr>
          <w:rFonts w:ascii="Arial" w:hAnsi="Arial" w:cs="Arial"/>
          <w:sz w:val="24"/>
          <w:szCs w:val="24"/>
        </w:rPr>
      </w:pPr>
    </w:p>
    <w:p w:rsidR="00A1700C" w:rsidRPr="00166BA8" w:rsidRDefault="00A1700C" w:rsidP="00166BA8">
      <w:pPr>
        <w:pStyle w:val="ListParagraph"/>
        <w:numPr>
          <w:ilvl w:val="0"/>
          <w:numId w:val="1"/>
        </w:numPr>
        <w:jc w:val="both"/>
        <w:rPr>
          <w:rFonts w:ascii="Arial" w:hAnsi="Arial" w:cs="Arial"/>
          <w:sz w:val="24"/>
          <w:szCs w:val="24"/>
        </w:rPr>
      </w:pPr>
      <w:r w:rsidRPr="00166BA8">
        <w:rPr>
          <w:rFonts w:ascii="Arial" w:hAnsi="Arial" w:cs="Arial"/>
          <w:sz w:val="24"/>
          <w:szCs w:val="24"/>
        </w:rPr>
        <w:t>Sinc</w:t>
      </w:r>
      <w:r w:rsidR="00027CEA" w:rsidRPr="00166BA8">
        <w:rPr>
          <w:rFonts w:ascii="Arial" w:hAnsi="Arial" w:cs="Arial"/>
          <w:sz w:val="24"/>
          <w:szCs w:val="24"/>
        </w:rPr>
        <w:t>e publication of the NAP the Cabinet Office has</w:t>
      </w:r>
      <w:r w:rsidR="004620A0" w:rsidRPr="00166BA8">
        <w:rPr>
          <w:rFonts w:ascii="Arial" w:hAnsi="Arial" w:cs="Arial"/>
          <w:sz w:val="24"/>
          <w:szCs w:val="24"/>
        </w:rPr>
        <w:t xml:space="preserve"> been working ac</w:t>
      </w:r>
      <w:r w:rsidRPr="00166BA8">
        <w:rPr>
          <w:rFonts w:ascii="Arial" w:hAnsi="Arial" w:cs="Arial"/>
          <w:sz w:val="24"/>
          <w:szCs w:val="24"/>
        </w:rPr>
        <w:t>ross</w:t>
      </w:r>
      <w:r w:rsidR="004620A0" w:rsidRPr="00166BA8">
        <w:rPr>
          <w:rFonts w:ascii="Arial" w:hAnsi="Arial" w:cs="Arial"/>
          <w:sz w:val="24"/>
          <w:szCs w:val="24"/>
        </w:rPr>
        <w:t xml:space="preserve"> </w:t>
      </w:r>
      <w:r w:rsidRPr="00166BA8">
        <w:rPr>
          <w:rFonts w:ascii="Arial" w:hAnsi="Arial" w:cs="Arial"/>
          <w:sz w:val="24"/>
          <w:szCs w:val="24"/>
        </w:rPr>
        <w:t xml:space="preserve">government and with civil society to develop an implementation plan for existing commitments and to embed the NAP engagement process as the default way of developing policy. </w:t>
      </w:r>
      <w:r w:rsidR="008A4FDA">
        <w:rPr>
          <w:rFonts w:ascii="Arial" w:hAnsi="Arial" w:cs="Arial"/>
          <w:sz w:val="24"/>
          <w:szCs w:val="24"/>
        </w:rPr>
        <w:t>CO</w:t>
      </w:r>
      <w:r w:rsidR="008A4FDA" w:rsidRPr="00166BA8">
        <w:rPr>
          <w:rFonts w:ascii="Arial" w:hAnsi="Arial" w:cs="Arial"/>
          <w:sz w:val="24"/>
          <w:szCs w:val="24"/>
        </w:rPr>
        <w:t xml:space="preserve"> </w:t>
      </w:r>
      <w:r w:rsidRPr="00166BA8">
        <w:rPr>
          <w:rFonts w:ascii="Arial" w:hAnsi="Arial" w:cs="Arial"/>
          <w:sz w:val="24"/>
          <w:szCs w:val="24"/>
        </w:rPr>
        <w:t xml:space="preserve">have </w:t>
      </w:r>
      <w:r w:rsidR="008A4FDA" w:rsidRPr="00166BA8">
        <w:rPr>
          <w:rFonts w:ascii="Arial" w:hAnsi="Arial" w:cs="Arial"/>
          <w:sz w:val="24"/>
          <w:szCs w:val="24"/>
        </w:rPr>
        <w:t>encourag</w:t>
      </w:r>
      <w:r w:rsidR="008A4FDA">
        <w:rPr>
          <w:rFonts w:ascii="Arial" w:hAnsi="Arial" w:cs="Arial"/>
          <w:sz w:val="24"/>
          <w:szCs w:val="24"/>
        </w:rPr>
        <w:t>ed</w:t>
      </w:r>
      <w:r w:rsidR="008A4FDA" w:rsidRPr="00166BA8">
        <w:rPr>
          <w:rFonts w:ascii="Arial" w:hAnsi="Arial" w:cs="Arial"/>
          <w:sz w:val="24"/>
          <w:szCs w:val="24"/>
        </w:rPr>
        <w:t xml:space="preserve"> </w:t>
      </w:r>
      <w:r w:rsidRPr="00166BA8">
        <w:rPr>
          <w:rFonts w:ascii="Arial" w:hAnsi="Arial" w:cs="Arial"/>
          <w:sz w:val="24"/>
          <w:szCs w:val="24"/>
        </w:rPr>
        <w:t xml:space="preserve">government and civil society to continue engagement as part of the joint implementation of the commitments, and have commissioned the first progress updates which are due to be published on the OGP website in the next quarter. </w:t>
      </w:r>
    </w:p>
    <w:p w:rsidR="009A0878" w:rsidRDefault="009A0878" w:rsidP="00166BA8">
      <w:pPr>
        <w:pStyle w:val="ListParagraph"/>
        <w:spacing w:after="0"/>
        <w:ind w:left="0"/>
        <w:jc w:val="both"/>
        <w:rPr>
          <w:rFonts w:ascii="Arial" w:hAnsi="Arial" w:cs="Arial"/>
          <w:b/>
          <w:sz w:val="24"/>
          <w:szCs w:val="24"/>
        </w:rPr>
      </w:pPr>
    </w:p>
    <w:p w:rsidR="001863E5" w:rsidRDefault="00E85BFA" w:rsidP="00166BA8">
      <w:pPr>
        <w:pStyle w:val="ListParagraph"/>
        <w:spacing w:after="0"/>
        <w:ind w:left="0"/>
        <w:jc w:val="both"/>
        <w:rPr>
          <w:rFonts w:ascii="Arial" w:hAnsi="Arial" w:cs="Arial"/>
          <w:b/>
          <w:sz w:val="24"/>
          <w:szCs w:val="24"/>
        </w:rPr>
      </w:pPr>
      <w:r w:rsidRPr="00D21484">
        <w:rPr>
          <w:rFonts w:ascii="Arial" w:hAnsi="Arial" w:cs="Arial"/>
          <w:b/>
          <w:sz w:val="24"/>
          <w:szCs w:val="24"/>
        </w:rPr>
        <w:t>National Information Infrastructure</w:t>
      </w:r>
      <w:r w:rsidR="009E4A6D" w:rsidRPr="00D21484">
        <w:rPr>
          <w:rFonts w:ascii="Arial" w:hAnsi="Arial" w:cs="Arial"/>
          <w:b/>
          <w:sz w:val="24"/>
          <w:szCs w:val="24"/>
        </w:rPr>
        <w:t xml:space="preserve"> </w:t>
      </w:r>
      <w:r w:rsidR="00EB7AE8">
        <w:rPr>
          <w:rFonts w:ascii="Arial" w:hAnsi="Arial" w:cs="Arial"/>
          <w:b/>
          <w:sz w:val="24"/>
          <w:szCs w:val="24"/>
        </w:rPr>
        <w:t>(NII)</w:t>
      </w:r>
    </w:p>
    <w:p w:rsidR="00296E4F" w:rsidRDefault="00296E4F" w:rsidP="00166BA8">
      <w:pPr>
        <w:pStyle w:val="ListParagraph"/>
        <w:spacing w:after="0"/>
        <w:jc w:val="both"/>
        <w:rPr>
          <w:rFonts w:ascii="Arial" w:hAnsi="Arial" w:cs="Arial"/>
          <w:sz w:val="24"/>
          <w:szCs w:val="24"/>
        </w:rPr>
      </w:pPr>
    </w:p>
    <w:p w:rsidR="00BE3675" w:rsidRPr="003E5981" w:rsidRDefault="004F614B" w:rsidP="009A5B21">
      <w:pPr>
        <w:pStyle w:val="ListParagraph"/>
        <w:numPr>
          <w:ilvl w:val="0"/>
          <w:numId w:val="1"/>
        </w:numPr>
        <w:spacing w:after="0"/>
        <w:ind w:left="714" w:hanging="357"/>
        <w:jc w:val="both"/>
        <w:rPr>
          <w:rFonts w:ascii="Arial" w:hAnsi="Arial" w:cs="Arial"/>
          <w:sz w:val="24"/>
          <w:szCs w:val="24"/>
        </w:rPr>
      </w:pPr>
      <w:r>
        <w:rPr>
          <w:rFonts w:ascii="Arial" w:hAnsi="Arial" w:cs="Arial"/>
          <w:sz w:val="24"/>
          <w:szCs w:val="24"/>
        </w:rPr>
        <w:t>T</w:t>
      </w:r>
      <w:r w:rsidR="00296E4F" w:rsidRPr="003E5981">
        <w:rPr>
          <w:rFonts w:ascii="Arial" w:hAnsi="Arial" w:cs="Arial"/>
          <w:sz w:val="24"/>
          <w:szCs w:val="24"/>
        </w:rPr>
        <w:t xml:space="preserve">he </w:t>
      </w:r>
      <w:r w:rsidR="00296E4F" w:rsidRPr="003E5981">
        <w:rPr>
          <w:rFonts w:ascii="Arial" w:hAnsi="Arial" w:cs="Arial"/>
          <w:b/>
          <w:sz w:val="24"/>
          <w:szCs w:val="24"/>
        </w:rPr>
        <w:t xml:space="preserve">Cabinet </w:t>
      </w:r>
      <w:r w:rsidR="00296E4F" w:rsidRPr="004620A0">
        <w:rPr>
          <w:rFonts w:ascii="Arial" w:hAnsi="Arial" w:cs="Arial"/>
          <w:b/>
          <w:sz w:val="24"/>
          <w:szCs w:val="24"/>
        </w:rPr>
        <w:t>Office</w:t>
      </w:r>
      <w:r w:rsidR="00296E4F" w:rsidRPr="003E5981">
        <w:rPr>
          <w:rFonts w:ascii="Arial" w:hAnsi="Arial" w:cs="Arial"/>
          <w:sz w:val="24"/>
          <w:szCs w:val="24"/>
        </w:rPr>
        <w:t xml:space="preserve"> </w:t>
      </w:r>
      <w:r w:rsidR="0011055F">
        <w:rPr>
          <w:rFonts w:ascii="Arial" w:hAnsi="Arial" w:cs="Arial"/>
          <w:sz w:val="24"/>
          <w:szCs w:val="24"/>
        </w:rPr>
        <w:t>made good progress against</w:t>
      </w:r>
      <w:r>
        <w:rPr>
          <w:rFonts w:ascii="Arial" w:hAnsi="Arial" w:cs="Arial"/>
          <w:sz w:val="24"/>
          <w:szCs w:val="24"/>
        </w:rPr>
        <w:t xml:space="preserve"> </w:t>
      </w:r>
      <w:r w:rsidR="0011055F">
        <w:rPr>
          <w:rFonts w:ascii="Arial" w:hAnsi="Arial" w:cs="Arial"/>
          <w:sz w:val="24"/>
          <w:szCs w:val="24"/>
        </w:rPr>
        <w:t>the</w:t>
      </w:r>
      <w:r>
        <w:rPr>
          <w:rFonts w:ascii="Arial" w:hAnsi="Arial" w:cs="Arial"/>
          <w:sz w:val="24"/>
          <w:szCs w:val="24"/>
        </w:rPr>
        <w:t xml:space="preserve"> NII commitments, and </w:t>
      </w:r>
      <w:r w:rsidR="00603AE3">
        <w:rPr>
          <w:rFonts w:ascii="Arial" w:hAnsi="Arial" w:cs="Arial"/>
          <w:sz w:val="24"/>
          <w:szCs w:val="24"/>
        </w:rPr>
        <w:t>has been</w:t>
      </w:r>
      <w:r w:rsidR="003E5981">
        <w:rPr>
          <w:rFonts w:ascii="Arial" w:hAnsi="Arial" w:cs="Arial"/>
          <w:sz w:val="24"/>
          <w:szCs w:val="24"/>
        </w:rPr>
        <w:t xml:space="preserve"> </w:t>
      </w:r>
      <w:r w:rsidR="003E5981" w:rsidRPr="003E5981">
        <w:rPr>
          <w:rFonts w:ascii="Arial" w:hAnsi="Arial" w:cs="Arial"/>
          <w:sz w:val="24"/>
          <w:szCs w:val="24"/>
        </w:rPr>
        <w:t>actively working on publis</w:t>
      </w:r>
      <w:r>
        <w:rPr>
          <w:rFonts w:ascii="Arial" w:hAnsi="Arial" w:cs="Arial"/>
          <w:sz w:val="24"/>
          <w:szCs w:val="24"/>
        </w:rPr>
        <w:t>hing more datasets, and provide</w:t>
      </w:r>
      <w:r w:rsidR="0011055F">
        <w:rPr>
          <w:rFonts w:ascii="Arial" w:hAnsi="Arial" w:cs="Arial"/>
          <w:sz w:val="24"/>
          <w:szCs w:val="24"/>
        </w:rPr>
        <w:t>d</w:t>
      </w:r>
      <w:r w:rsidR="003E5981" w:rsidRPr="003E5981">
        <w:rPr>
          <w:rFonts w:ascii="Arial" w:hAnsi="Arial" w:cs="Arial"/>
          <w:sz w:val="24"/>
          <w:szCs w:val="24"/>
        </w:rPr>
        <w:t xml:space="preserve"> explanation for non publication where relevant. </w:t>
      </w:r>
      <w:r w:rsidR="006049D0">
        <w:rPr>
          <w:rFonts w:ascii="Arial" w:hAnsi="Arial" w:cs="Arial"/>
          <w:sz w:val="24"/>
          <w:szCs w:val="24"/>
        </w:rPr>
        <w:t xml:space="preserve">The CO </w:t>
      </w:r>
      <w:r>
        <w:rPr>
          <w:rFonts w:ascii="Arial" w:hAnsi="Arial" w:cs="Arial"/>
          <w:sz w:val="24"/>
          <w:szCs w:val="24"/>
        </w:rPr>
        <w:t>has established</w:t>
      </w:r>
      <w:r w:rsidR="003E5981">
        <w:rPr>
          <w:rFonts w:ascii="Arial" w:hAnsi="Arial" w:cs="Arial"/>
          <w:sz w:val="24"/>
          <w:szCs w:val="24"/>
        </w:rPr>
        <w:t xml:space="preserve"> new process</w:t>
      </w:r>
      <w:r w:rsidR="00603AE3">
        <w:rPr>
          <w:rFonts w:ascii="Arial" w:hAnsi="Arial" w:cs="Arial"/>
          <w:sz w:val="24"/>
          <w:szCs w:val="24"/>
        </w:rPr>
        <w:t>es</w:t>
      </w:r>
      <w:r w:rsidR="003E5981">
        <w:rPr>
          <w:rFonts w:ascii="Arial" w:hAnsi="Arial" w:cs="Arial"/>
          <w:sz w:val="24"/>
          <w:szCs w:val="24"/>
        </w:rPr>
        <w:t xml:space="preserve"> to ensure that unpublished datasets are identified, and added to the inventory. </w:t>
      </w:r>
    </w:p>
    <w:p w:rsidR="002E08CF" w:rsidRPr="003E5981" w:rsidRDefault="002E08CF" w:rsidP="00166BA8">
      <w:pPr>
        <w:pStyle w:val="ListParagraph"/>
        <w:spacing w:after="0" w:line="240" w:lineRule="auto"/>
        <w:jc w:val="both"/>
        <w:rPr>
          <w:rFonts w:ascii="Arial" w:hAnsi="Arial" w:cs="Arial"/>
          <w:sz w:val="24"/>
          <w:szCs w:val="24"/>
        </w:rPr>
      </w:pPr>
    </w:p>
    <w:p w:rsidR="00BE3675" w:rsidRDefault="00BE3675" w:rsidP="009A5B21">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DCMS</w:t>
      </w:r>
      <w:r w:rsidR="006049D0">
        <w:rPr>
          <w:rFonts w:ascii="Arial" w:hAnsi="Arial" w:cs="Arial"/>
          <w:sz w:val="24"/>
          <w:szCs w:val="24"/>
        </w:rPr>
        <w:t xml:space="preserve"> </w:t>
      </w:r>
      <w:r w:rsidR="0011055F">
        <w:rPr>
          <w:rFonts w:ascii="Arial" w:hAnsi="Arial" w:cs="Arial"/>
          <w:sz w:val="24"/>
          <w:szCs w:val="24"/>
        </w:rPr>
        <w:t>also made progress against</w:t>
      </w:r>
      <w:r w:rsidRPr="009B651B">
        <w:rPr>
          <w:rFonts w:ascii="Arial" w:hAnsi="Arial" w:cs="Arial"/>
          <w:sz w:val="24"/>
          <w:szCs w:val="24"/>
        </w:rPr>
        <w:t xml:space="preserve"> its commitment to provide publication dates, or justification for non publication of existing d</w:t>
      </w:r>
      <w:r w:rsidR="00A908C9">
        <w:rPr>
          <w:rFonts w:ascii="Arial" w:hAnsi="Arial" w:cs="Arial"/>
          <w:sz w:val="24"/>
          <w:szCs w:val="24"/>
        </w:rPr>
        <w:t xml:space="preserve">atasets, and </w:t>
      </w:r>
      <w:r w:rsidR="0011055F">
        <w:rPr>
          <w:rFonts w:ascii="Arial" w:hAnsi="Arial" w:cs="Arial"/>
          <w:sz w:val="24"/>
          <w:szCs w:val="24"/>
        </w:rPr>
        <w:t>has monitored</w:t>
      </w:r>
      <w:r w:rsidR="00A908C9">
        <w:rPr>
          <w:rFonts w:ascii="Arial" w:hAnsi="Arial" w:cs="Arial"/>
          <w:sz w:val="24"/>
          <w:szCs w:val="24"/>
        </w:rPr>
        <w:t xml:space="preserve"> its ALBs Open D</w:t>
      </w:r>
      <w:r w:rsidRPr="009B651B">
        <w:rPr>
          <w:rFonts w:ascii="Arial" w:hAnsi="Arial" w:cs="Arial"/>
          <w:sz w:val="24"/>
          <w:szCs w:val="24"/>
        </w:rPr>
        <w:t xml:space="preserve">ata activities as part of the </w:t>
      </w:r>
      <w:r w:rsidR="00603AE3">
        <w:rPr>
          <w:rFonts w:ascii="Arial" w:hAnsi="Arial" w:cs="Arial"/>
          <w:sz w:val="24"/>
          <w:szCs w:val="24"/>
        </w:rPr>
        <w:t xml:space="preserve">Quarterly </w:t>
      </w:r>
      <w:r w:rsidRPr="009B651B">
        <w:rPr>
          <w:rFonts w:ascii="Arial" w:hAnsi="Arial" w:cs="Arial"/>
          <w:sz w:val="24"/>
          <w:szCs w:val="24"/>
        </w:rPr>
        <w:t>W</w:t>
      </w:r>
      <w:r w:rsidR="00766739">
        <w:rPr>
          <w:rFonts w:ascii="Arial" w:hAnsi="Arial" w:cs="Arial"/>
          <w:sz w:val="24"/>
          <w:szCs w:val="24"/>
        </w:rPr>
        <w:t xml:space="preserve">ritten </w:t>
      </w:r>
      <w:r w:rsidRPr="009B651B">
        <w:rPr>
          <w:rFonts w:ascii="Arial" w:hAnsi="Arial" w:cs="Arial"/>
          <w:sz w:val="24"/>
          <w:szCs w:val="24"/>
        </w:rPr>
        <w:t>M</w:t>
      </w:r>
      <w:r w:rsidR="00766739">
        <w:rPr>
          <w:rFonts w:ascii="Arial" w:hAnsi="Arial" w:cs="Arial"/>
          <w:sz w:val="24"/>
          <w:szCs w:val="24"/>
        </w:rPr>
        <w:t xml:space="preserve">inisterial </w:t>
      </w:r>
      <w:r w:rsidRPr="009B651B">
        <w:rPr>
          <w:rFonts w:ascii="Arial" w:hAnsi="Arial" w:cs="Arial"/>
          <w:sz w:val="24"/>
          <w:szCs w:val="24"/>
        </w:rPr>
        <w:t>S</w:t>
      </w:r>
      <w:r w:rsidR="00603AE3">
        <w:rPr>
          <w:rFonts w:ascii="Arial" w:hAnsi="Arial" w:cs="Arial"/>
          <w:sz w:val="24"/>
          <w:szCs w:val="24"/>
        </w:rPr>
        <w:t>tatement (</w:t>
      </w:r>
      <w:r w:rsidR="00766739">
        <w:rPr>
          <w:rFonts w:ascii="Arial" w:hAnsi="Arial" w:cs="Arial"/>
          <w:sz w:val="24"/>
          <w:szCs w:val="24"/>
        </w:rPr>
        <w:t>Q</w:t>
      </w:r>
      <w:r w:rsidR="00603AE3">
        <w:rPr>
          <w:rFonts w:ascii="Arial" w:hAnsi="Arial" w:cs="Arial"/>
          <w:sz w:val="24"/>
          <w:szCs w:val="24"/>
        </w:rPr>
        <w:t>W</w:t>
      </w:r>
      <w:r w:rsidR="00766739">
        <w:rPr>
          <w:rFonts w:ascii="Arial" w:hAnsi="Arial" w:cs="Arial"/>
          <w:sz w:val="24"/>
          <w:szCs w:val="24"/>
        </w:rPr>
        <w:t>MS)</w:t>
      </w:r>
      <w:r w:rsidRPr="009B651B">
        <w:rPr>
          <w:rFonts w:ascii="Arial" w:hAnsi="Arial" w:cs="Arial"/>
          <w:sz w:val="24"/>
          <w:szCs w:val="24"/>
        </w:rPr>
        <w:t xml:space="preserve"> process. The comprehensiveness of its data inventory will be re-addressed in 2015, and updated ad-hoc thro</w:t>
      </w:r>
      <w:r w:rsidR="00217030">
        <w:rPr>
          <w:rFonts w:ascii="Arial" w:hAnsi="Arial" w:cs="Arial"/>
          <w:sz w:val="24"/>
          <w:szCs w:val="24"/>
        </w:rPr>
        <w:t>ughout the year. Both the core d</w:t>
      </w:r>
      <w:r w:rsidR="0011055F">
        <w:rPr>
          <w:rFonts w:ascii="Arial" w:hAnsi="Arial" w:cs="Arial"/>
          <w:sz w:val="24"/>
          <w:szCs w:val="24"/>
        </w:rPr>
        <w:t>epartment and ALBs were</w:t>
      </w:r>
      <w:r w:rsidRPr="009B651B">
        <w:rPr>
          <w:rFonts w:ascii="Arial" w:hAnsi="Arial" w:cs="Arial"/>
          <w:sz w:val="24"/>
          <w:szCs w:val="24"/>
        </w:rPr>
        <w:t xml:space="preserve"> regularly asked about new unpublished data as part of the engagement on Open Data Forum and through the QWMS on Open Data &amp; Transparency.</w:t>
      </w:r>
      <w:r w:rsidR="004620A0">
        <w:rPr>
          <w:rFonts w:ascii="Arial" w:hAnsi="Arial" w:cs="Arial"/>
          <w:sz w:val="24"/>
          <w:szCs w:val="24"/>
        </w:rPr>
        <w:t xml:space="preserve"> </w:t>
      </w:r>
      <w:r w:rsidRPr="009B651B">
        <w:rPr>
          <w:rFonts w:ascii="Arial" w:hAnsi="Arial" w:cs="Arial"/>
          <w:sz w:val="24"/>
          <w:szCs w:val="24"/>
        </w:rPr>
        <w:t>Of DCMS’s</w:t>
      </w:r>
      <w:r w:rsidR="0011055F">
        <w:rPr>
          <w:rFonts w:ascii="Arial" w:hAnsi="Arial" w:cs="Arial"/>
          <w:sz w:val="24"/>
          <w:szCs w:val="24"/>
        </w:rPr>
        <w:t xml:space="preserve"> two data sets </w:t>
      </w:r>
      <w:r w:rsidR="00603AE3">
        <w:rPr>
          <w:rFonts w:ascii="Arial" w:hAnsi="Arial" w:cs="Arial"/>
          <w:sz w:val="24"/>
          <w:szCs w:val="24"/>
        </w:rPr>
        <w:t>in</w:t>
      </w:r>
      <w:r w:rsidR="0011055F">
        <w:rPr>
          <w:rFonts w:ascii="Arial" w:hAnsi="Arial" w:cs="Arial"/>
          <w:sz w:val="24"/>
          <w:szCs w:val="24"/>
        </w:rPr>
        <w:t xml:space="preserve"> the NII, one was</w:t>
      </w:r>
      <w:r w:rsidRPr="009B651B">
        <w:rPr>
          <w:rFonts w:ascii="Arial" w:hAnsi="Arial" w:cs="Arial"/>
          <w:sz w:val="24"/>
          <w:szCs w:val="24"/>
        </w:rPr>
        <w:t xml:space="preserve"> unpublished, but DCMS </w:t>
      </w:r>
      <w:r w:rsidR="00603AE3">
        <w:rPr>
          <w:rFonts w:ascii="Arial" w:hAnsi="Arial" w:cs="Arial"/>
          <w:sz w:val="24"/>
          <w:szCs w:val="24"/>
        </w:rPr>
        <w:t>has been</w:t>
      </w:r>
      <w:r w:rsidRPr="009B651B">
        <w:rPr>
          <w:rFonts w:ascii="Arial" w:hAnsi="Arial" w:cs="Arial"/>
          <w:sz w:val="24"/>
          <w:szCs w:val="24"/>
        </w:rPr>
        <w:t xml:space="preserve"> working with HMRC on a strategy to release non-disclosive postcode data for the lottery database. Finally, DCMS </w:t>
      </w:r>
      <w:r w:rsidR="0011055F">
        <w:rPr>
          <w:rFonts w:ascii="Arial" w:hAnsi="Arial" w:cs="Arial"/>
          <w:sz w:val="24"/>
          <w:szCs w:val="24"/>
        </w:rPr>
        <w:t>continued to work</w:t>
      </w:r>
      <w:r w:rsidRPr="009B651B">
        <w:rPr>
          <w:rFonts w:ascii="Arial" w:hAnsi="Arial" w:cs="Arial"/>
          <w:sz w:val="24"/>
          <w:szCs w:val="24"/>
        </w:rPr>
        <w:t xml:space="preserve"> on user engagement, through the o</w:t>
      </w:r>
      <w:r w:rsidR="00B15480">
        <w:rPr>
          <w:rFonts w:ascii="Arial" w:hAnsi="Arial" w:cs="Arial"/>
          <w:sz w:val="24"/>
          <w:szCs w:val="24"/>
        </w:rPr>
        <w:t xml:space="preserve">rganisation of events like the </w:t>
      </w:r>
      <w:r w:rsidRPr="009B651B">
        <w:rPr>
          <w:rFonts w:ascii="Arial" w:hAnsi="Arial" w:cs="Arial"/>
          <w:sz w:val="24"/>
          <w:szCs w:val="24"/>
        </w:rPr>
        <w:t>Op</w:t>
      </w:r>
      <w:r w:rsidR="0061374B">
        <w:rPr>
          <w:rFonts w:ascii="Arial" w:hAnsi="Arial" w:cs="Arial"/>
          <w:sz w:val="24"/>
          <w:szCs w:val="24"/>
        </w:rPr>
        <w:t xml:space="preserve">en Data Forum with its ALBs. </w:t>
      </w:r>
    </w:p>
    <w:p w:rsidR="0061374B" w:rsidRPr="0061374B" w:rsidRDefault="0061374B" w:rsidP="00166BA8">
      <w:pPr>
        <w:pStyle w:val="ListParagraph"/>
        <w:jc w:val="both"/>
        <w:rPr>
          <w:rFonts w:ascii="Arial" w:hAnsi="Arial" w:cs="Arial"/>
          <w:sz w:val="24"/>
          <w:szCs w:val="24"/>
        </w:rPr>
      </w:pPr>
    </w:p>
    <w:p w:rsidR="0061374B" w:rsidRPr="0061374B" w:rsidRDefault="0061374B" w:rsidP="00166BA8">
      <w:pPr>
        <w:pStyle w:val="ListParagraph"/>
        <w:numPr>
          <w:ilvl w:val="0"/>
          <w:numId w:val="1"/>
        </w:numPr>
        <w:jc w:val="both"/>
        <w:rPr>
          <w:rFonts w:ascii="Arial" w:hAnsi="Arial" w:cs="Arial"/>
          <w:sz w:val="24"/>
          <w:szCs w:val="24"/>
        </w:rPr>
      </w:pPr>
      <w:r w:rsidRPr="0061374B">
        <w:rPr>
          <w:rFonts w:ascii="Arial" w:hAnsi="Arial" w:cs="Arial"/>
          <w:b/>
          <w:sz w:val="24"/>
          <w:szCs w:val="24"/>
        </w:rPr>
        <w:t>BIS</w:t>
      </w:r>
      <w:r w:rsidR="009A5B21">
        <w:rPr>
          <w:rFonts w:ascii="Arial" w:hAnsi="Arial" w:cs="Arial"/>
          <w:b/>
          <w:sz w:val="24"/>
          <w:szCs w:val="24"/>
        </w:rPr>
        <w:t xml:space="preserve"> </w:t>
      </w:r>
      <w:r w:rsidR="0011055F">
        <w:rPr>
          <w:rFonts w:ascii="Arial" w:hAnsi="Arial" w:cs="Arial"/>
          <w:sz w:val="24"/>
          <w:szCs w:val="24"/>
        </w:rPr>
        <w:t>demonstrated commitment</w:t>
      </w:r>
      <w:r w:rsidRPr="0061374B">
        <w:rPr>
          <w:rFonts w:ascii="Arial" w:hAnsi="Arial" w:cs="Arial"/>
          <w:sz w:val="24"/>
          <w:szCs w:val="24"/>
        </w:rPr>
        <w:t xml:space="preserve"> to the NII and </w:t>
      </w:r>
      <w:r w:rsidR="001B7AD7">
        <w:rPr>
          <w:rFonts w:ascii="Arial" w:hAnsi="Arial" w:cs="Arial"/>
          <w:sz w:val="24"/>
          <w:szCs w:val="24"/>
        </w:rPr>
        <w:t xml:space="preserve">established processes to </w:t>
      </w:r>
      <w:r w:rsidR="0011055F">
        <w:rPr>
          <w:rFonts w:ascii="Arial" w:hAnsi="Arial" w:cs="Arial"/>
          <w:sz w:val="24"/>
          <w:szCs w:val="24"/>
        </w:rPr>
        <w:t>ensure th</w:t>
      </w:r>
      <w:r w:rsidR="001B7AD7">
        <w:rPr>
          <w:rFonts w:ascii="Arial" w:hAnsi="Arial" w:cs="Arial"/>
          <w:sz w:val="24"/>
          <w:szCs w:val="24"/>
        </w:rPr>
        <w:t>a</w:t>
      </w:r>
      <w:r w:rsidR="0011055F">
        <w:rPr>
          <w:rFonts w:ascii="Arial" w:hAnsi="Arial" w:cs="Arial"/>
          <w:sz w:val="24"/>
          <w:szCs w:val="24"/>
        </w:rPr>
        <w:t>t</w:t>
      </w:r>
      <w:r w:rsidRPr="0061374B">
        <w:rPr>
          <w:rFonts w:ascii="Arial" w:hAnsi="Arial" w:cs="Arial"/>
          <w:sz w:val="24"/>
          <w:szCs w:val="24"/>
        </w:rPr>
        <w:t xml:space="preserve"> all data from the Depart</w:t>
      </w:r>
      <w:r w:rsidR="001B7AD7">
        <w:rPr>
          <w:rFonts w:ascii="Arial" w:hAnsi="Arial" w:cs="Arial"/>
          <w:sz w:val="24"/>
          <w:szCs w:val="24"/>
        </w:rPr>
        <w:t>ment and Partner Organisation is accessible when released. BIS endeavoured</w:t>
      </w:r>
      <w:r w:rsidRPr="0061374B">
        <w:rPr>
          <w:rFonts w:ascii="Arial" w:hAnsi="Arial" w:cs="Arial"/>
          <w:sz w:val="24"/>
          <w:szCs w:val="24"/>
        </w:rPr>
        <w:t xml:space="preserve"> to comply with the Code of Practice for Official Statistics and has published</w:t>
      </w:r>
      <w:r w:rsidR="00934942">
        <w:rPr>
          <w:rFonts w:ascii="Arial" w:hAnsi="Arial" w:cs="Arial"/>
          <w:sz w:val="24"/>
          <w:szCs w:val="24"/>
        </w:rPr>
        <w:t xml:space="preserve"> statements on this matter at GOV.UK</w:t>
      </w:r>
      <w:r w:rsidR="0011055F">
        <w:rPr>
          <w:rFonts w:ascii="Arial" w:hAnsi="Arial" w:cs="Arial"/>
          <w:sz w:val="24"/>
          <w:szCs w:val="24"/>
        </w:rPr>
        <w:t xml:space="preserve"> (under the section: ‘</w:t>
      </w:r>
      <w:hyperlink r:id="rId9" w:history="1">
        <w:r w:rsidRPr="0061374B">
          <w:rPr>
            <w:rFonts w:ascii="Arial" w:hAnsi="Arial" w:cs="Arial"/>
            <w:sz w:val="24"/>
            <w:szCs w:val="24"/>
          </w:rPr>
          <w:t>About our statistics</w:t>
        </w:r>
      </w:hyperlink>
      <w:r w:rsidR="0011055F">
        <w:t>’)</w:t>
      </w:r>
      <w:r w:rsidRPr="0061374B">
        <w:rPr>
          <w:rFonts w:ascii="Arial" w:hAnsi="Arial" w:cs="Arial"/>
          <w:sz w:val="24"/>
          <w:szCs w:val="24"/>
        </w:rPr>
        <w:t xml:space="preserve"> </w:t>
      </w:r>
      <w:r w:rsidR="00F22A50">
        <w:rPr>
          <w:rFonts w:ascii="Arial" w:hAnsi="Arial" w:cs="Arial"/>
          <w:sz w:val="24"/>
          <w:szCs w:val="24"/>
        </w:rPr>
        <w:t xml:space="preserve">where </w:t>
      </w:r>
      <w:r w:rsidR="009A5B21">
        <w:rPr>
          <w:rFonts w:ascii="Arial" w:hAnsi="Arial" w:cs="Arial"/>
          <w:sz w:val="24"/>
          <w:szCs w:val="24"/>
        </w:rPr>
        <w:t>t</w:t>
      </w:r>
      <w:r w:rsidRPr="0061374B">
        <w:rPr>
          <w:rFonts w:ascii="Arial" w:hAnsi="Arial" w:cs="Arial"/>
          <w:sz w:val="24"/>
          <w:szCs w:val="24"/>
        </w:rPr>
        <w:t xml:space="preserve">he Department </w:t>
      </w:r>
      <w:r w:rsidR="00F22A50">
        <w:rPr>
          <w:rFonts w:ascii="Arial" w:hAnsi="Arial" w:cs="Arial"/>
          <w:sz w:val="24"/>
          <w:szCs w:val="24"/>
        </w:rPr>
        <w:t xml:space="preserve">has worked </w:t>
      </w:r>
      <w:r w:rsidRPr="0061374B">
        <w:rPr>
          <w:rFonts w:ascii="Arial" w:hAnsi="Arial" w:cs="Arial"/>
          <w:sz w:val="24"/>
          <w:szCs w:val="24"/>
        </w:rPr>
        <w:t>actively with Partners to support their data delivery. Processes have been developed for BIS dataset inventory and work with Partners to review their inventories</w:t>
      </w:r>
      <w:r w:rsidR="001B7AD7">
        <w:rPr>
          <w:rFonts w:ascii="Arial" w:hAnsi="Arial" w:cs="Arial"/>
          <w:sz w:val="24"/>
          <w:szCs w:val="24"/>
        </w:rPr>
        <w:t xml:space="preserve"> has continued to progress</w:t>
      </w:r>
      <w:r w:rsidRPr="0061374B">
        <w:rPr>
          <w:rFonts w:ascii="Arial" w:hAnsi="Arial" w:cs="Arial"/>
          <w:sz w:val="24"/>
          <w:szCs w:val="24"/>
        </w:rPr>
        <w:t>. Work will begin to embed this activity within organisations going forward.</w:t>
      </w:r>
      <w:r w:rsidR="009A5B21">
        <w:rPr>
          <w:rFonts w:ascii="Arial" w:hAnsi="Arial" w:cs="Arial"/>
          <w:sz w:val="24"/>
          <w:szCs w:val="24"/>
        </w:rPr>
        <w:t xml:space="preserve"> </w:t>
      </w:r>
      <w:r w:rsidRPr="0061374B">
        <w:rPr>
          <w:rFonts w:ascii="Arial" w:hAnsi="Arial" w:cs="Arial"/>
          <w:sz w:val="24"/>
          <w:szCs w:val="24"/>
        </w:rPr>
        <w:t>Partners and the Department actively engage</w:t>
      </w:r>
      <w:r w:rsidR="001B7AD7">
        <w:rPr>
          <w:rFonts w:ascii="Arial" w:hAnsi="Arial" w:cs="Arial"/>
          <w:sz w:val="24"/>
          <w:szCs w:val="24"/>
        </w:rPr>
        <w:t>d</w:t>
      </w:r>
      <w:r w:rsidRPr="0061374B">
        <w:rPr>
          <w:rFonts w:ascii="Arial" w:hAnsi="Arial" w:cs="Arial"/>
          <w:sz w:val="24"/>
          <w:szCs w:val="24"/>
        </w:rPr>
        <w:t xml:space="preserve"> with users through events such as conferences, hackathons, training provision and the like. </w:t>
      </w:r>
      <w:r w:rsidR="001B7AD7">
        <w:rPr>
          <w:rFonts w:ascii="Arial" w:hAnsi="Arial" w:cs="Arial"/>
          <w:sz w:val="24"/>
          <w:szCs w:val="24"/>
        </w:rPr>
        <w:t xml:space="preserve">The Department made very clear its </w:t>
      </w:r>
      <w:r w:rsidRPr="0061374B">
        <w:rPr>
          <w:rFonts w:ascii="Arial" w:hAnsi="Arial" w:cs="Arial"/>
          <w:sz w:val="24"/>
          <w:szCs w:val="24"/>
        </w:rPr>
        <w:t xml:space="preserve">intention to </w:t>
      </w:r>
      <w:r w:rsidR="001B7AD7">
        <w:rPr>
          <w:rFonts w:ascii="Arial" w:hAnsi="Arial" w:cs="Arial"/>
          <w:sz w:val="24"/>
          <w:szCs w:val="24"/>
        </w:rPr>
        <w:t xml:space="preserve">continue with this activity and to </w:t>
      </w:r>
      <w:r w:rsidRPr="0061374B">
        <w:rPr>
          <w:rFonts w:ascii="Arial" w:hAnsi="Arial" w:cs="Arial"/>
          <w:sz w:val="24"/>
          <w:szCs w:val="24"/>
        </w:rPr>
        <w:t>encourage greater dialogue between official</w:t>
      </w:r>
      <w:r w:rsidR="001B7AD7">
        <w:rPr>
          <w:rFonts w:ascii="Arial" w:hAnsi="Arial" w:cs="Arial"/>
          <w:sz w:val="24"/>
          <w:szCs w:val="24"/>
        </w:rPr>
        <w:t>s, academics, industry and user</w:t>
      </w:r>
      <w:r w:rsidRPr="0061374B">
        <w:rPr>
          <w:rFonts w:ascii="Arial" w:hAnsi="Arial" w:cs="Arial"/>
          <w:sz w:val="24"/>
          <w:szCs w:val="24"/>
        </w:rPr>
        <w:t>.</w:t>
      </w:r>
    </w:p>
    <w:p w:rsidR="0061374B" w:rsidRPr="0061374B" w:rsidRDefault="0061374B" w:rsidP="00166BA8">
      <w:pPr>
        <w:pStyle w:val="ListParagraph"/>
        <w:spacing w:after="0" w:line="240" w:lineRule="auto"/>
        <w:jc w:val="both"/>
        <w:rPr>
          <w:rFonts w:ascii="Arial" w:hAnsi="Arial" w:cs="Arial"/>
          <w:sz w:val="24"/>
          <w:szCs w:val="24"/>
        </w:rPr>
      </w:pPr>
    </w:p>
    <w:p w:rsidR="00ED3377" w:rsidRPr="009B651B" w:rsidRDefault="00C84E41" w:rsidP="00F22A50">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Defra</w:t>
      </w:r>
      <w:r w:rsidRPr="009B651B">
        <w:rPr>
          <w:rFonts w:ascii="Arial" w:hAnsi="Arial" w:cs="Arial"/>
          <w:sz w:val="24"/>
          <w:szCs w:val="24"/>
        </w:rPr>
        <w:t xml:space="preserve"> </w:t>
      </w:r>
      <w:r w:rsidR="001B7AD7">
        <w:rPr>
          <w:rFonts w:ascii="Arial" w:hAnsi="Arial" w:cs="Arial"/>
          <w:sz w:val="24"/>
          <w:szCs w:val="24"/>
        </w:rPr>
        <w:t>continued to make</w:t>
      </w:r>
      <w:r w:rsidRPr="009B651B">
        <w:rPr>
          <w:rFonts w:ascii="Arial" w:hAnsi="Arial" w:cs="Arial"/>
          <w:sz w:val="24"/>
          <w:szCs w:val="24"/>
        </w:rPr>
        <w:t xml:space="preserve"> progress in providing release dates and in the explanation of barriers to publication. </w:t>
      </w:r>
      <w:r w:rsidR="004620A0">
        <w:rPr>
          <w:rFonts w:ascii="Arial" w:hAnsi="Arial" w:cs="Arial"/>
          <w:sz w:val="24"/>
          <w:szCs w:val="24"/>
        </w:rPr>
        <w:t>For example – the Environment Agency has</w:t>
      </w:r>
      <w:r w:rsidR="001863E5" w:rsidRPr="009B651B">
        <w:rPr>
          <w:rFonts w:ascii="Arial" w:hAnsi="Arial" w:cs="Arial"/>
          <w:sz w:val="24"/>
          <w:szCs w:val="24"/>
        </w:rPr>
        <w:t xml:space="preserve"> announced the release of a number of key datasets including the permanent access to live flood warnings, flood alerts and river levels and Water Framework Directive datasets as Open Data.</w:t>
      </w:r>
      <w:r w:rsidR="00B12328" w:rsidRPr="009B651B">
        <w:rPr>
          <w:rFonts w:ascii="Arial" w:hAnsi="Arial" w:cs="Arial"/>
          <w:sz w:val="24"/>
          <w:szCs w:val="24"/>
        </w:rPr>
        <w:t xml:space="preserve"> The department</w:t>
      </w:r>
      <w:r w:rsidR="001863E5" w:rsidRPr="009B651B">
        <w:rPr>
          <w:rFonts w:ascii="Arial" w:hAnsi="Arial" w:cs="Arial"/>
          <w:sz w:val="24"/>
          <w:szCs w:val="24"/>
        </w:rPr>
        <w:t xml:space="preserve"> </w:t>
      </w:r>
      <w:r w:rsidR="00B12328" w:rsidRPr="009B651B">
        <w:rPr>
          <w:rFonts w:ascii="Arial" w:hAnsi="Arial" w:cs="Arial"/>
          <w:sz w:val="24"/>
          <w:szCs w:val="24"/>
        </w:rPr>
        <w:t>also</w:t>
      </w:r>
      <w:r w:rsidR="001863E5" w:rsidRPr="009B651B">
        <w:rPr>
          <w:rFonts w:ascii="Arial" w:hAnsi="Arial" w:cs="Arial"/>
          <w:sz w:val="24"/>
          <w:szCs w:val="24"/>
        </w:rPr>
        <w:t xml:space="preserve"> made changes to its underlying </w:t>
      </w:r>
      <w:r w:rsidR="00EB7AE8">
        <w:rPr>
          <w:rFonts w:ascii="Arial" w:hAnsi="Arial" w:cs="Arial"/>
          <w:sz w:val="24"/>
          <w:szCs w:val="24"/>
        </w:rPr>
        <w:t xml:space="preserve">publication architecture for </w:t>
      </w:r>
      <w:r w:rsidR="00934942">
        <w:rPr>
          <w:rFonts w:ascii="Arial" w:hAnsi="Arial" w:cs="Arial"/>
          <w:sz w:val="24"/>
          <w:szCs w:val="24"/>
        </w:rPr>
        <w:t>csv</w:t>
      </w:r>
      <w:r w:rsidR="00F22A50">
        <w:rPr>
          <w:rFonts w:ascii="Arial" w:hAnsi="Arial" w:cs="Arial"/>
          <w:sz w:val="24"/>
          <w:szCs w:val="24"/>
        </w:rPr>
        <w:t xml:space="preserve"> </w:t>
      </w:r>
      <w:r w:rsidR="00EB7AE8">
        <w:rPr>
          <w:rFonts w:ascii="Arial" w:hAnsi="Arial" w:cs="Arial"/>
          <w:sz w:val="24"/>
          <w:szCs w:val="24"/>
        </w:rPr>
        <w:t>format</w:t>
      </w:r>
      <w:r w:rsidR="001863E5" w:rsidRPr="009B651B">
        <w:rPr>
          <w:rFonts w:ascii="Arial" w:hAnsi="Arial" w:cs="Arial"/>
          <w:sz w:val="24"/>
          <w:szCs w:val="24"/>
        </w:rPr>
        <w:t xml:space="preserve">s to improve </w:t>
      </w:r>
      <w:r w:rsidR="001B7AD7">
        <w:rPr>
          <w:rFonts w:ascii="Arial" w:hAnsi="Arial" w:cs="Arial"/>
          <w:sz w:val="24"/>
          <w:szCs w:val="24"/>
        </w:rPr>
        <w:t>data quality and continued to</w:t>
      </w:r>
      <w:r w:rsidR="00B12328" w:rsidRPr="009B651B">
        <w:rPr>
          <w:rFonts w:ascii="Arial" w:hAnsi="Arial" w:cs="Arial"/>
          <w:sz w:val="24"/>
          <w:szCs w:val="24"/>
        </w:rPr>
        <w:t xml:space="preserve"> </w:t>
      </w:r>
      <w:r w:rsidR="001863E5" w:rsidRPr="009B651B">
        <w:rPr>
          <w:rFonts w:ascii="Arial" w:hAnsi="Arial" w:cs="Arial"/>
          <w:sz w:val="24"/>
          <w:szCs w:val="24"/>
        </w:rPr>
        <w:t>wor</w:t>
      </w:r>
      <w:r w:rsidR="001B7AD7">
        <w:rPr>
          <w:rFonts w:ascii="Arial" w:hAnsi="Arial" w:cs="Arial"/>
          <w:sz w:val="24"/>
          <w:szCs w:val="24"/>
        </w:rPr>
        <w:t xml:space="preserve">k on </w:t>
      </w:r>
      <w:r w:rsidR="001863E5" w:rsidRPr="009B651B">
        <w:rPr>
          <w:rFonts w:ascii="Arial" w:hAnsi="Arial" w:cs="Arial"/>
          <w:sz w:val="24"/>
          <w:szCs w:val="24"/>
        </w:rPr>
        <w:t>document</w:t>
      </w:r>
      <w:r w:rsidR="001B7AD7">
        <w:rPr>
          <w:rFonts w:ascii="Arial" w:hAnsi="Arial" w:cs="Arial"/>
          <w:sz w:val="24"/>
          <w:szCs w:val="24"/>
        </w:rPr>
        <w:t>ing</w:t>
      </w:r>
      <w:r w:rsidR="001863E5" w:rsidRPr="009B651B">
        <w:rPr>
          <w:rFonts w:ascii="Arial" w:hAnsi="Arial" w:cs="Arial"/>
          <w:sz w:val="24"/>
          <w:szCs w:val="24"/>
        </w:rPr>
        <w:t xml:space="preserve"> </w:t>
      </w:r>
      <w:r w:rsidRPr="009B651B">
        <w:rPr>
          <w:rFonts w:ascii="Arial" w:hAnsi="Arial" w:cs="Arial"/>
          <w:sz w:val="24"/>
          <w:szCs w:val="24"/>
        </w:rPr>
        <w:t xml:space="preserve">barriers. </w:t>
      </w:r>
      <w:r w:rsidR="001863E5" w:rsidRPr="009B651B">
        <w:rPr>
          <w:rFonts w:ascii="Arial" w:hAnsi="Arial" w:cs="Arial"/>
          <w:sz w:val="24"/>
          <w:szCs w:val="24"/>
        </w:rPr>
        <w:t>This include</w:t>
      </w:r>
      <w:r w:rsidR="001B7AD7">
        <w:rPr>
          <w:rFonts w:ascii="Arial" w:hAnsi="Arial" w:cs="Arial"/>
          <w:sz w:val="24"/>
          <w:szCs w:val="24"/>
        </w:rPr>
        <w:t>d</w:t>
      </w:r>
      <w:r w:rsidR="001863E5" w:rsidRPr="009B651B">
        <w:rPr>
          <w:rFonts w:ascii="Arial" w:hAnsi="Arial" w:cs="Arial"/>
          <w:sz w:val="24"/>
          <w:szCs w:val="24"/>
        </w:rPr>
        <w:t xml:space="preserve"> identifying priority datasets and then looking to identify </w:t>
      </w:r>
      <w:r w:rsidR="00B12328" w:rsidRPr="009B651B">
        <w:rPr>
          <w:rFonts w:ascii="Arial" w:hAnsi="Arial" w:cs="Arial"/>
          <w:sz w:val="24"/>
          <w:szCs w:val="24"/>
        </w:rPr>
        <w:t xml:space="preserve">solutions. Defra and the Environment Agency </w:t>
      </w:r>
      <w:r w:rsidR="001B7AD7">
        <w:rPr>
          <w:rFonts w:ascii="Arial" w:hAnsi="Arial" w:cs="Arial"/>
          <w:sz w:val="24"/>
          <w:szCs w:val="24"/>
        </w:rPr>
        <w:t>have actively</w:t>
      </w:r>
      <w:r w:rsidR="00B12328" w:rsidRPr="009B651B">
        <w:rPr>
          <w:rFonts w:ascii="Arial" w:hAnsi="Arial" w:cs="Arial"/>
          <w:sz w:val="24"/>
          <w:szCs w:val="24"/>
        </w:rPr>
        <w:t xml:space="preserve"> work</w:t>
      </w:r>
      <w:r w:rsidR="001B7AD7">
        <w:rPr>
          <w:rFonts w:ascii="Arial" w:hAnsi="Arial" w:cs="Arial"/>
          <w:sz w:val="24"/>
          <w:szCs w:val="24"/>
        </w:rPr>
        <w:t>ed</w:t>
      </w:r>
      <w:r w:rsidR="00B12328" w:rsidRPr="009B651B">
        <w:rPr>
          <w:rFonts w:ascii="Arial" w:hAnsi="Arial" w:cs="Arial"/>
          <w:sz w:val="24"/>
          <w:szCs w:val="24"/>
        </w:rPr>
        <w:t xml:space="preserve"> towards wider engagement and</w:t>
      </w:r>
      <w:r w:rsidR="001863E5" w:rsidRPr="009B651B">
        <w:rPr>
          <w:rFonts w:ascii="Arial" w:hAnsi="Arial" w:cs="Arial"/>
          <w:sz w:val="24"/>
          <w:szCs w:val="24"/>
        </w:rPr>
        <w:t xml:space="preserve"> </w:t>
      </w:r>
      <w:r w:rsidRPr="009B651B">
        <w:rPr>
          <w:rFonts w:ascii="Arial" w:hAnsi="Arial" w:cs="Arial"/>
          <w:sz w:val="24"/>
          <w:szCs w:val="24"/>
        </w:rPr>
        <w:t>have</w:t>
      </w:r>
      <w:r w:rsidR="001863E5" w:rsidRPr="009B651B">
        <w:rPr>
          <w:rFonts w:ascii="Arial" w:hAnsi="Arial" w:cs="Arial"/>
          <w:sz w:val="24"/>
          <w:szCs w:val="24"/>
        </w:rPr>
        <w:t xml:space="preserve"> announced the creation of a user group to support the prioritisation and identification of data to release.  </w:t>
      </w:r>
    </w:p>
    <w:p w:rsidR="00ED3377" w:rsidRPr="009B651B" w:rsidRDefault="00ED3377" w:rsidP="00166BA8">
      <w:pPr>
        <w:pStyle w:val="ListParagraph"/>
        <w:spacing w:after="0" w:line="240" w:lineRule="auto"/>
        <w:jc w:val="both"/>
        <w:rPr>
          <w:rFonts w:ascii="Arial" w:hAnsi="Arial" w:cs="Arial"/>
          <w:sz w:val="24"/>
          <w:szCs w:val="24"/>
        </w:rPr>
      </w:pPr>
    </w:p>
    <w:p w:rsidR="00ED3377" w:rsidRDefault="000C52A5" w:rsidP="00F22A50">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DH</w:t>
      </w:r>
      <w:r w:rsidRPr="009B651B">
        <w:rPr>
          <w:rFonts w:ascii="Arial" w:hAnsi="Arial" w:cs="Arial"/>
          <w:sz w:val="24"/>
          <w:szCs w:val="24"/>
        </w:rPr>
        <w:t xml:space="preserve"> </w:t>
      </w:r>
      <w:r w:rsidR="001B7AD7">
        <w:rPr>
          <w:rFonts w:ascii="Arial" w:hAnsi="Arial" w:cs="Arial"/>
          <w:sz w:val="24"/>
          <w:szCs w:val="24"/>
        </w:rPr>
        <w:t xml:space="preserve">went ahead </w:t>
      </w:r>
      <w:r w:rsidR="00603AE3">
        <w:rPr>
          <w:rFonts w:ascii="Arial" w:hAnsi="Arial" w:cs="Arial"/>
          <w:sz w:val="24"/>
          <w:szCs w:val="24"/>
        </w:rPr>
        <w:t xml:space="preserve">with </w:t>
      </w:r>
      <w:r w:rsidR="001B7AD7">
        <w:rPr>
          <w:rFonts w:ascii="Arial" w:hAnsi="Arial" w:cs="Arial"/>
          <w:sz w:val="24"/>
          <w:szCs w:val="24"/>
        </w:rPr>
        <w:t xml:space="preserve">working </w:t>
      </w:r>
      <w:r w:rsidRPr="009B651B">
        <w:rPr>
          <w:rFonts w:ascii="Arial" w:hAnsi="Arial" w:cs="Arial"/>
          <w:sz w:val="24"/>
          <w:szCs w:val="24"/>
        </w:rPr>
        <w:t xml:space="preserve">with its ALBs to understand and resolve barriers to publishing datasets identified as part of NII.  It </w:t>
      </w:r>
      <w:r w:rsidR="001B7AD7">
        <w:rPr>
          <w:rFonts w:ascii="Arial" w:hAnsi="Arial" w:cs="Arial"/>
          <w:sz w:val="24"/>
          <w:szCs w:val="24"/>
        </w:rPr>
        <w:t>has also been</w:t>
      </w:r>
      <w:r w:rsidRPr="009B651B">
        <w:rPr>
          <w:rFonts w:ascii="Arial" w:hAnsi="Arial" w:cs="Arial"/>
          <w:sz w:val="24"/>
          <w:szCs w:val="24"/>
        </w:rPr>
        <w:t xml:space="preserve"> working with them to identify an effective and efficient way to meet the requirement to identify a list of all unpublished datasets, building on work completed last summer and, where appropriate, on activity planned by ALBs as part of their work to reduce data burdens on the NHS.</w:t>
      </w:r>
    </w:p>
    <w:p w:rsidR="000C0174" w:rsidRPr="000C0174" w:rsidRDefault="000C0174" w:rsidP="00166BA8">
      <w:pPr>
        <w:pStyle w:val="ListParagraph"/>
        <w:jc w:val="both"/>
        <w:rPr>
          <w:rFonts w:ascii="Arial" w:hAnsi="Arial" w:cs="Arial"/>
          <w:sz w:val="24"/>
          <w:szCs w:val="24"/>
        </w:rPr>
      </w:pPr>
    </w:p>
    <w:p w:rsidR="00ED3377" w:rsidRPr="00166BA8" w:rsidRDefault="000C0174" w:rsidP="00166BA8">
      <w:pPr>
        <w:pStyle w:val="ListParagraph"/>
        <w:numPr>
          <w:ilvl w:val="0"/>
          <w:numId w:val="1"/>
        </w:numPr>
        <w:jc w:val="both"/>
        <w:rPr>
          <w:rFonts w:ascii="Arial" w:hAnsi="Arial" w:cs="Arial"/>
          <w:sz w:val="24"/>
          <w:szCs w:val="24"/>
        </w:rPr>
      </w:pPr>
      <w:r w:rsidRPr="000C0174">
        <w:rPr>
          <w:rFonts w:ascii="Arial" w:hAnsi="Arial" w:cs="Arial"/>
          <w:b/>
          <w:sz w:val="24"/>
          <w:szCs w:val="24"/>
        </w:rPr>
        <w:t xml:space="preserve">DfE </w:t>
      </w:r>
      <w:r w:rsidR="00086DC2">
        <w:rPr>
          <w:rFonts w:ascii="Arial" w:hAnsi="Arial" w:cs="Arial"/>
          <w:sz w:val="24"/>
          <w:szCs w:val="24"/>
        </w:rPr>
        <w:t>has</w:t>
      </w:r>
      <w:r w:rsidRPr="000C0174">
        <w:rPr>
          <w:rFonts w:ascii="Arial" w:hAnsi="Arial" w:cs="Arial"/>
          <w:sz w:val="24"/>
          <w:szCs w:val="24"/>
        </w:rPr>
        <w:t xml:space="preserve"> completed the commitment to provide release dates for datasets included in the first iteration of the NII, and where there are barriers to publication have provided appropriate justification. DfE has </w:t>
      </w:r>
      <w:r w:rsidR="001B7AD7">
        <w:rPr>
          <w:rFonts w:ascii="Arial" w:hAnsi="Arial" w:cs="Arial"/>
          <w:sz w:val="24"/>
          <w:szCs w:val="24"/>
        </w:rPr>
        <w:t xml:space="preserve">established </w:t>
      </w:r>
      <w:r w:rsidRPr="000C0174">
        <w:rPr>
          <w:rFonts w:ascii="Arial" w:hAnsi="Arial" w:cs="Arial"/>
          <w:sz w:val="24"/>
          <w:szCs w:val="24"/>
        </w:rPr>
        <w:t xml:space="preserve">processes </w:t>
      </w:r>
      <w:r w:rsidR="001B7AD7">
        <w:rPr>
          <w:rFonts w:ascii="Arial" w:hAnsi="Arial" w:cs="Arial"/>
          <w:sz w:val="24"/>
          <w:szCs w:val="24"/>
        </w:rPr>
        <w:t>f</w:t>
      </w:r>
      <w:r w:rsidRPr="000C0174">
        <w:rPr>
          <w:rFonts w:ascii="Arial" w:hAnsi="Arial" w:cs="Arial"/>
          <w:sz w:val="24"/>
          <w:szCs w:val="24"/>
        </w:rPr>
        <w:t xml:space="preserve">or managing the quality and regularity of the release of data within the NII.  This </w:t>
      </w:r>
      <w:r w:rsidR="001B7AD7">
        <w:rPr>
          <w:rFonts w:ascii="Arial" w:hAnsi="Arial" w:cs="Arial"/>
          <w:sz w:val="24"/>
          <w:szCs w:val="24"/>
        </w:rPr>
        <w:t>has been done as</w:t>
      </w:r>
      <w:r w:rsidRPr="000C0174">
        <w:rPr>
          <w:rFonts w:ascii="Arial" w:hAnsi="Arial" w:cs="Arial"/>
          <w:sz w:val="24"/>
          <w:szCs w:val="24"/>
        </w:rPr>
        <w:t xml:space="preserve"> part of the process for preparing, managing, collecting, collating and publishing data.  DfE has also approached colleagues within the Department an</w:t>
      </w:r>
      <w:r w:rsidR="00603AE3">
        <w:rPr>
          <w:rFonts w:ascii="Arial" w:hAnsi="Arial" w:cs="Arial"/>
          <w:sz w:val="24"/>
          <w:szCs w:val="24"/>
        </w:rPr>
        <w:t>d their ALB</w:t>
      </w:r>
      <w:r w:rsidRPr="000C0174">
        <w:rPr>
          <w:rFonts w:ascii="Arial" w:hAnsi="Arial" w:cs="Arial"/>
          <w:sz w:val="24"/>
          <w:szCs w:val="24"/>
        </w:rPr>
        <w:t>s to review their data inventory cont</w:t>
      </w:r>
      <w:r w:rsidR="00934942">
        <w:rPr>
          <w:rFonts w:ascii="Arial" w:hAnsi="Arial" w:cs="Arial"/>
          <w:sz w:val="24"/>
          <w:szCs w:val="24"/>
        </w:rPr>
        <w:t>ent which will feed through to d</w:t>
      </w:r>
      <w:r w:rsidRPr="000C0174">
        <w:rPr>
          <w:rFonts w:ascii="Arial" w:hAnsi="Arial" w:cs="Arial"/>
          <w:sz w:val="24"/>
          <w:szCs w:val="24"/>
        </w:rPr>
        <w:t>ata.gov.uk as appropriate. Feedback has been collated in preparation for review and approval thro</w:t>
      </w:r>
      <w:r w:rsidR="004F614B">
        <w:rPr>
          <w:rFonts w:ascii="Arial" w:hAnsi="Arial" w:cs="Arial"/>
          <w:sz w:val="24"/>
          <w:szCs w:val="24"/>
        </w:rPr>
        <w:t>ugh the appropriate channels. DfE</w:t>
      </w:r>
      <w:r w:rsidRPr="000C0174">
        <w:rPr>
          <w:rFonts w:ascii="Arial" w:hAnsi="Arial" w:cs="Arial"/>
          <w:sz w:val="24"/>
          <w:szCs w:val="24"/>
        </w:rPr>
        <w:t xml:space="preserve"> </w:t>
      </w:r>
      <w:r w:rsidR="001B7AD7">
        <w:rPr>
          <w:rFonts w:ascii="Arial" w:hAnsi="Arial" w:cs="Arial"/>
          <w:sz w:val="24"/>
          <w:szCs w:val="24"/>
        </w:rPr>
        <w:t>will continue to</w:t>
      </w:r>
      <w:r w:rsidRPr="000C0174">
        <w:rPr>
          <w:rFonts w:ascii="Arial" w:hAnsi="Arial" w:cs="Arial"/>
          <w:sz w:val="24"/>
          <w:szCs w:val="24"/>
        </w:rPr>
        <w:t xml:space="preserve"> continue to review this process regularly to ensure the data inventory is up to date and that the content is comprehensive.</w:t>
      </w:r>
      <w:r>
        <w:rPr>
          <w:rFonts w:ascii="Arial" w:hAnsi="Arial" w:cs="Arial"/>
          <w:sz w:val="24"/>
          <w:szCs w:val="24"/>
        </w:rPr>
        <w:t xml:space="preserve">  </w:t>
      </w:r>
      <w:r w:rsidRPr="000C0174">
        <w:rPr>
          <w:rFonts w:ascii="Arial" w:hAnsi="Arial" w:cs="Arial"/>
          <w:sz w:val="24"/>
          <w:szCs w:val="24"/>
        </w:rPr>
        <w:t>DfE has also organised a number of events to ensure wider audience engagement, and they have worked with the ODI on an Open Data in Education Challenge in June 2014.</w:t>
      </w:r>
    </w:p>
    <w:p w:rsidR="00ED3377" w:rsidRPr="009B651B" w:rsidRDefault="00ED3377" w:rsidP="00166BA8">
      <w:pPr>
        <w:pStyle w:val="ListParagraph"/>
        <w:spacing w:after="0" w:line="240" w:lineRule="auto"/>
        <w:jc w:val="both"/>
        <w:rPr>
          <w:rFonts w:ascii="Arial" w:hAnsi="Arial" w:cs="Arial"/>
          <w:sz w:val="24"/>
          <w:szCs w:val="24"/>
        </w:rPr>
      </w:pPr>
    </w:p>
    <w:p w:rsidR="00DB10AF" w:rsidRPr="009B651B" w:rsidRDefault="00DB10AF" w:rsidP="006C0C04">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DfT</w:t>
      </w:r>
      <w:r w:rsidR="009B651B" w:rsidRPr="009B651B">
        <w:rPr>
          <w:rFonts w:ascii="Arial" w:hAnsi="Arial" w:cs="Arial"/>
          <w:sz w:val="24"/>
          <w:szCs w:val="24"/>
        </w:rPr>
        <w:t xml:space="preserve"> initiated a </w:t>
      </w:r>
      <w:r w:rsidRPr="009B651B">
        <w:rPr>
          <w:rFonts w:ascii="Arial" w:hAnsi="Arial" w:cs="Arial"/>
          <w:sz w:val="24"/>
          <w:szCs w:val="24"/>
        </w:rPr>
        <w:t>six month</w:t>
      </w:r>
      <w:r w:rsidR="009B651B" w:rsidRPr="009B651B">
        <w:rPr>
          <w:rFonts w:ascii="Arial" w:hAnsi="Arial" w:cs="Arial"/>
          <w:sz w:val="24"/>
          <w:szCs w:val="24"/>
        </w:rPr>
        <w:t xml:space="preserve"> exercise aiming at ensuring the comprehensiveness of its </w:t>
      </w:r>
      <w:r w:rsidR="001B7AD7">
        <w:rPr>
          <w:rFonts w:ascii="Arial" w:hAnsi="Arial" w:cs="Arial"/>
          <w:sz w:val="24"/>
          <w:szCs w:val="24"/>
        </w:rPr>
        <w:t>data inventory. The department</w:t>
      </w:r>
      <w:r w:rsidR="009B651B" w:rsidRPr="009B651B">
        <w:rPr>
          <w:rFonts w:ascii="Arial" w:hAnsi="Arial" w:cs="Arial"/>
          <w:sz w:val="24"/>
          <w:szCs w:val="24"/>
        </w:rPr>
        <w:t xml:space="preserve"> also</w:t>
      </w:r>
      <w:r w:rsidR="001B7AD7">
        <w:rPr>
          <w:rFonts w:ascii="Arial" w:hAnsi="Arial" w:cs="Arial"/>
          <w:sz w:val="24"/>
          <w:szCs w:val="24"/>
        </w:rPr>
        <w:t xml:space="preserve"> </w:t>
      </w:r>
      <w:r w:rsidR="009B651B" w:rsidRPr="009B651B">
        <w:rPr>
          <w:rFonts w:ascii="Arial" w:hAnsi="Arial" w:cs="Arial"/>
          <w:sz w:val="24"/>
          <w:szCs w:val="24"/>
        </w:rPr>
        <w:t>renew</w:t>
      </w:r>
      <w:r w:rsidR="001B7AD7">
        <w:rPr>
          <w:rFonts w:ascii="Arial" w:hAnsi="Arial" w:cs="Arial"/>
          <w:sz w:val="24"/>
          <w:szCs w:val="24"/>
        </w:rPr>
        <w:t xml:space="preserve">ed </w:t>
      </w:r>
      <w:r w:rsidR="009B651B" w:rsidRPr="009B651B">
        <w:rPr>
          <w:rFonts w:ascii="Arial" w:hAnsi="Arial" w:cs="Arial"/>
          <w:sz w:val="24"/>
          <w:szCs w:val="24"/>
        </w:rPr>
        <w:t xml:space="preserve">its data asset owner process to identify datasets for publication. All published datasets have </w:t>
      </w:r>
      <w:r w:rsidR="001B7AD7">
        <w:rPr>
          <w:rFonts w:ascii="Arial" w:hAnsi="Arial" w:cs="Arial"/>
          <w:sz w:val="24"/>
          <w:szCs w:val="24"/>
        </w:rPr>
        <w:t xml:space="preserve">been </w:t>
      </w:r>
      <w:r w:rsidR="008855A3">
        <w:rPr>
          <w:rFonts w:ascii="Arial" w:hAnsi="Arial" w:cs="Arial"/>
          <w:sz w:val="24"/>
          <w:szCs w:val="24"/>
        </w:rPr>
        <w:t xml:space="preserve">successfully checked against </w:t>
      </w:r>
      <w:r w:rsidR="009B651B" w:rsidRPr="009B651B">
        <w:rPr>
          <w:rFonts w:ascii="Arial" w:hAnsi="Arial" w:cs="Arial"/>
          <w:sz w:val="24"/>
          <w:szCs w:val="24"/>
        </w:rPr>
        <w:t xml:space="preserve">metadata and </w:t>
      </w:r>
      <w:r w:rsidR="00217030">
        <w:rPr>
          <w:rFonts w:ascii="Arial" w:hAnsi="Arial" w:cs="Arial"/>
          <w:sz w:val="24"/>
          <w:szCs w:val="24"/>
        </w:rPr>
        <w:t>quality requirements. The d</w:t>
      </w:r>
      <w:r w:rsidR="009B651B" w:rsidRPr="009B651B">
        <w:rPr>
          <w:rFonts w:ascii="Arial" w:hAnsi="Arial" w:cs="Arial"/>
          <w:sz w:val="24"/>
          <w:szCs w:val="24"/>
        </w:rPr>
        <w:t xml:space="preserve">epartment </w:t>
      </w:r>
      <w:r w:rsidR="008855A3">
        <w:rPr>
          <w:rFonts w:ascii="Arial" w:hAnsi="Arial" w:cs="Arial"/>
          <w:sz w:val="24"/>
          <w:szCs w:val="24"/>
        </w:rPr>
        <w:t xml:space="preserve">continued to work </w:t>
      </w:r>
      <w:r w:rsidR="009B651B" w:rsidRPr="009B651B">
        <w:rPr>
          <w:rFonts w:ascii="Arial" w:hAnsi="Arial" w:cs="Arial"/>
          <w:sz w:val="24"/>
          <w:szCs w:val="24"/>
        </w:rPr>
        <w:t>on the publicatio</w:t>
      </w:r>
      <w:r w:rsidR="008855A3">
        <w:rPr>
          <w:rFonts w:ascii="Arial" w:hAnsi="Arial" w:cs="Arial"/>
          <w:sz w:val="24"/>
          <w:szCs w:val="24"/>
        </w:rPr>
        <w:t xml:space="preserve">n of its NII datasets, and </w:t>
      </w:r>
      <w:r w:rsidR="009B651B" w:rsidRPr="009B651B">
        <w:rPr>
          <w:rFonts w:ascii="Arial" w:hAnsi="Arial" w:cs="Arial"/>
          <w:sz w:val="24"/>
          <w:szCs w:val="24"/>
        </w:rPr>
        <w:t xml:space="preserve">this task </w:t>
      </w:r>
      <w:r w:rsidR="008855A3">
        <w:rPr>
          <w:rFonts w:ascii="Arial" w:hAnsi="Arial" w:cs="Arial"/>
          <w:sz w:val="24"/>
          <w:szCs w:val="24"/>
        </w:rPr>
        <w:t xml:space="preserve">is expected to be completed </w:t>
      </w:r>
      <w:r w:rsidR="009B651B" w:rsidRPr="009B651B">
        <w:rPr>
          <w:rFonts w:ascii="Arial" w:hAnsi="Arial" w:cs="Arial"/>
          <w:sz w:val="24"/>
          <w:szCs w:val="24"/>
        </w:rPr>
        <w:t xml:space="preserve">in the upcoming year. </w:t>
      </w:r>
    </w:p>
    <w:p w:rsidR="00ED3377" w:rsidRPr="009B651B" w:rsidRDefault="00ED3377" w:rsidP="006C0C04">
      <w:pPr>
        <w:pStyle w:val="ListParagraph"/>
        <w:spacing w:after="0" w:line="23" w:lineRule="atLeast"/>
        <w:jc w:val="both"/>
        <w:rPr>
          <w:rFonts w:ascii="Arial" w:hAnsi="Arial" w:cs="Arial"/>
          <w:sz w:val="24"/>
          <w:szCs w:val="24"/>
        </w:rPr>
      </w:pPr>
    </w:p>
    <w:p w:rsidR="00ED3377" w:rsidRPr="009B651B" w:rsidRDefault="000219E6" w:rsidP="006C0C04">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DWP</w:t>
      </w:r>
      <w:r w:rsidRPr="009B651B">
        <w:rPr>
          <w:rFonts w:ascii="Arial" w:hAnsi="Arial" w:cs="Arial"/>
          <w:sz w:val="24"/>
          <w:szCs w:val="24"/>
        </w:rPr>
        <w:t xml:space="preserve"> provided release dates for all the datasets they plan to publish. Reasons for non-publication have been made clear where appropriate. The identific</w:t>
      </w:r>
      <w:r w:rsidR="008855A3">
        <w:rPr>
          <w:rFonts w:ascii="Arial" w:hAnsi="Arial" w:cs="Arial"/>
          <w:sz w:val="24"/>
          <w:szCs w:val="24"/>
        </w:rPr>
        <w:t>ation of unpublished dataset has</w:t>
      </w:r>
      <w:r w:rsidRPr="009B651B">
        <w:rPr>
          <w:rFonts w:ascii="Arial" w:hAnsi="Arial" w:cs="Arial"/>
          <w:sz w:val="24"/>
          <w:szCs w:val="24"/>
        </w:rPr>
        <w:t xml:space="preserve"> been addressed</w:t>
      </w:r>
      <w:r w:rsidR="004C4BA0" w:rsidRPr="009B651B">
        <w:rPr>
          <w:rFonts w:ascii="Arial" w:hAnsi="Arial" w:cs="Arial"/>
          <w:sz w:val="24"/>
          <w:szCs w:val="24"/>
        </w:rPr>
        <w:t>, and the DWP is working on data delivery, quality and standards through its data governance strateg</w:t>
      </w:r>
      <w:r w:rsidR="00217030">
        <w:rPr>
          <w:rFonts w:ascii="Arial" w:hAnsi="Arial" w:cs="Arial"/>
          <w:sz w:val="24"/>
          <w:szCs w:val="24"/>
        </w:rPr>
        <w:t>y and data quality policy. The d</w:t>
      </w:r>
      <w:r w:rsidR="004C4BA0" w:rsidRPr="009B651B">
        <w:rPr>
          <w:rFonts w:ascii="Arial" w:hAnsi="Arial" w:cs="Arial"/>
          <w:sz w:val="24"/>
          <w:szCs w:val="24"/>
        </w:rPr>
        <w:t xml:space="preserve">epartment has </w:t>
      </w:r>
      <w:r w:rsidR="00AF0D10">
        <w:rPr>
          <w:rFonts w:ascii="Arial" w:hAnsi="Arial" w:cs="Arial"/>
          <w:sz w:val="24"/>
          <w:szCs w:val="24"/>
        </w:rPr>
        <w:t>established</w:t>
      </w:r>
      <w:r w:rsidR="004C4BA0" w:rsidRPr="009B651B">
        <w:rPr>
          <w:rFonts w:ascii="Arial" w:hAnsi="Arial" w:cs="Arial"/>
          <w:sz w:val="24"/>
          <w:szCs w:val="24"/>
        </w:rPr>
        <w:t xml:space="preserve"> a Welfare Sector Transparency Board with key senior external data users and an Open Data Group of working level data users. Both groups include representatives from industry, academia and the voluntary secto</w:t>
      </w:r>
      <w:r w:rsidR="00217030">
        <w:rPr>
          <w:rFonts w:ascii="Arial" w:hAnsi="Arial" w:cs="Arial"/>
          <w:sz w:val="24"/>
          <w:szCs w:val="24"/>
        </w:rPr>
        <w:t>r. These stakeholders help</w:t>
      </w:r>
      <w:r w:rsidR="008855A3">
        <w:rPr>
          <w:rFonts w:ascii="Arial" w:hAnsi="Arial" w:cs="Arial"/>
          <w:sz w:val="24"/>
          <w:szCs w:val="24"/>
        </w:rPr>
        <w:t>ed</w:t>
      </w:r>
      <w:r w:rsidR="00217030">
        <w:rPr>
          <w:rFonts w:ascii="Arial" w:hAnsi="Arial" w:cs="Arial"/>
          <w:sz w:val="24"/>
          <w:szCs w:val="24"/>
        </w:rPr>
        <w:t xml:space="preserve"> the d</w:t>
      </w:r>
      <w:r w:rsidR="004C4BA0" w:rsidRPr="009B651B">
        <w:rPr>
          <w:rFonts w:ascii="Arial" w:hAnsi="Arial" w:cs="Arial"/>
          <w:sz w:val="24"/>
          <w:szCs w:val="24"/>
        </w:rPr>
        <w:t>epartment understand the demand for its data and the priorities they attach to its publication.  I</w:t>
      </w:r>
      <w:r w:rsidR="00217030">
        <w:rPr>
          <w:rFonts w:ascii="Arial" w:hAnsi="Arial" w:cs="Arial"/>
          <w:sz w:val="24"/>
          <w:szCs w:val="24"/>
        </w:rPr>
        <w:t>n addition the d</w:t>
      </w:r>
      <w:r w:rsidR="004C4BA0" w:rsidRPr="009B651B">
        <w:rPr>
          <w:rFonts w:ascii="Arial" w:hAnsi="Arial" w:cs="Arial"/>
          <w:sz w:val="24"/>
          <w:szCs w:val="24"/>
        </w:rPr>
        <w:t xml:space="preserve">epartment's online tabulation tool "Stat-Xplore" </w:t>
      </w:r>
      <w:r w:rsidR="008855A3">
        <w:rPr>
          <w:rFonts w:ascii="Arial" w:hAnsi="Arial" w:cs="Arial"/>
          <w:sz w:val="24"/>
          <w:szCs w:val="24"/>
        </w:rPr>
        <w:t>reached</w:t>
      </w:r>
      <w:r w:rsidR="004C4BA0" w:rsidRPr="009B651B">
        <w:rPr>
          <w:rFonts w:ascii="Arial" w:hAnsi="Arial" w:cs="Arial"/>
          <w:sz w:val="24"/>
          <w:szCs w:val="24"/>
        </w:rPr>
        <w:t xml:space="preserve"> almost 1800 registered users</w:t>
      </w:r>
      <w:r w:rsidR="004620A0">
        <w:rPr>
          <w:rFonts w:ascii="Arial" w:hAnsi="Arial" w:cs="Arial"/>
          <w:sz w:val="24"/>
          <w:szCs w:val="24"/>
        </w:rPr>
        <w:t>,</w:t>
      </w:r>
      <w:r w:rsidR="004C4BA0" w:rsidRPr="009B651B">
        <w:rPr>
          <w:rFonts w:ascii="Arial" w:hAnsi="Arial" w:cs="Arial"/>
          <w:sz w:val="24"/>
          <w:szCs w:val="24"/>
        </w:rPr>
        <w:t xml:space="preserve"> nearly double the number six months </w:t>
      </w:r>
      <w:r w:rsidR="008855A3">
        <w:rPr>
          <w:rFonts w:ascii="Arial" w:hAnsi="Arial" w:cs="Arial"/>
          <w:sz w:val="24"/>
          <w:szCs w:val="24"/>
        </w:rPr>
        <w:t>previously</w:t>
      </w:r>
      <w:r w:rsidR="00C84E41" w:rsidRPr="009B651B">
        <w:rPr>
          <w:rFonts w:ascii="Arial" w:hAnsi="Arial" w:cs="Arial"/>
          <w:sz w:val="24"/>
          <w:szCs w:val="24"/>
        </w:rPr>
        <w:t>.</w:t>
      </w:r>
      <w:r w:rsidR="004C4BA0" w:rsidRPr="009B651B">
        <w:rPr>
          <w:rFonts w:ascii="Arial" w:hAnsi="Arial" w:cs="Arial"/>
          <w:sz w:val="24"/>
          <w:szCs w:val="24"/>
        </w:rPr>
        <w:t xml:space="preserve"> The</w:t>
      </w:r>
      <w:r w:rsidR="008855A3">
        <w:rPr>
          <w:rFonts w:ascii="Arial" w:hAnsi="Arial" w:cs="Arial"/>
          <w:sz w:val="24"/>
          <w:szCs w:val="24"/>
        </w:rPr>
        <w:t xml:space="preserve">ir usage patterns and feedback was </w:t>
      </w:r>
      <w:r w:rsidR="004C4BA0" w:rsidRPr="009B651B">
        <w:rPr>
          <w:rFonts w:ascii="Arial" w:hAnsi="Arial" w:cs="Arial"/>
          <w:sz w:val="24"/>
          <w:szCs w:val="24"/>
        </w:rPr>
        <w:t>evaluated to streamline and adapt this popular on-line data access tool.      </w:t>
      </w:r>
    </w:p>
    <w:p w:rsidR="00ED3377" w:rsidRPr="009B651B" w:rsidRDefault="00ED3377" w:rsidP="006C0C04">
      <w:pPr>
        <w:pStyle w:val="ListParagraph"/>
        <w:spacing w:after="0" w:line="23" w:lineRule="atLeast"/>
        <w:jc w:val="both"/>
        <w:rPr>
          <w:rFonts w:ascii="Arial" w:hAnsi="Arial" w:cs="Arial"/>
          <w:sz w:val="24"/>
          <w:szCs w:val="24"/>
        </w:rPr>
      </w:pPr>
    </w:p>
    <w:p w:rsidR="00ED3377" w:rsidRPr="009B651B" w:rsidRDefault="004C4BA0" w:rsidP="006C0C04">
      <w:pPr>
        <w:pStyle w:val="ListParagraph"/>
        <w:numPr>
          <w:ilvl w:val="0"/>
          <w:numId w:val="1"/>
        </w:numPr>
        <w:spacing w:after="0"/>
        <w:ind w:left="714" w:hanging="357"/>
        <w:jc w:val="both"/>
        <w:rPr>
          <w:rFonts w:ascii="Arial" w:hAnsi="Arial" w:cs="Arial"/>
          <w:sz w:val="24"/>
          <w:szCs w:val="24"/>
        </w:rPr>
      </w:pPr>
      <w:r w:rsidRPr="009B651B">
        <w:rPr>
          <w:rFonts w:ascii="Arial" w:hAnsi="Arial" w:cs="Arial"/>
          <w:b/>
          <w:sz w:val="24"/>
          <w:szCs w:val="24"/>
        </w:rPr>
        <w:t>HO</w:t>
      </w:r>
      <w:r w:rsidRPr="009B651B">
        <w:rPr>
          <w:rFonts w:ascii="Arial" w:hAnsi="Arial" w:cs="Arial"/>
          <w:sz w:val="24"/>
          <w:szCs w:val="24"/>
        </w:rPr>
        <w:t>: The majority of Home Office</w:t>
      </w:r>
      <w:r w:rsidR="0020027B" w:rsidRPr="009B651B">
        <w:rPr>
          <w:rFonts w:ascii="Arial" w:hAnsi="Arial" w:cs="Arial"/>
          <w:sz w:val="24"/>
          <w:szCs w:val="24"/>
        </w:rPr>
        <w:t>’s</w:t>
      </w:r>
      <w:r w:rsidRPr="009B651B">
        <w:rPr>
          <w:rFonts w:ascii="Arial" w:hAnsi="Arial" w:cs="Arial"/>
          <w:sz w:val="24"/>
          <w:szCs w:val="24"/>
        </w:rPr>
        <w:t xml:space="preserve"> databases which have been included in the first iteration of the NII </w:t>
      </w:r>
      <w:r w:rsidR="008855A3">
        <w:rPr>
          <w:rFonts w:ascii="Arial" w:hAnsi="Arial" w:cs="Arial"/>
          <w:sz w:val="24"/>
          <w:szCs w:val="24"/>
        </w:rPr>
        <w:t>have been</w:t>
      </w:r>
      <w:r w:rsidRPr="009B651B">
        <w:rPr>
          <w:rFonts w:ascii="Arial" w:hAnsi="Arial" w:cs="Arial"/>
          <w:sz w:val="24"/>
          <w:szCs w:val="24"/>
        </w:rPr>
        <w:t xml:space="preserve"> </w:t>
      </w:r>
      <w:r w:rsidR="008855A3">
        <w:rPr>
          <w:rFonts w:ascii="Arial" w:hAnsi="Arial" w:cs="Arial"/>
          <w:sz w:val="24"/>
          <w:szCs w:val="24"/>
        </w:rPr>
        <w:t>published, and the department continued to</w:t>
      </w:r>
      <w:r w:rsidRPr="009B651B">
        <w:rPr>
          <w:rFonts w:ascii="Arial" w:hAnsi="Arial" w:cs="Arial"/>
          <w:sz w:val="24"/>
          <w:szCs w:val="24"/>
        </w:rPr>
        <w:t xml:space="preserve"> </w:t>
      </w:r>
      <w:r w:rsidR="008855A3">
        <w:rPr>
          <w:rFonts w:ascii="Arial" w:hAnsi="Arial" w:cs="Arial"/>
          <w:sz w:val="24"/>
          <w:szCs w:val="24"/>
        </w:rPr>
        <w:t>explore</w:t>
      </w:r>
      <w:r w:rsidRPr="009B651B">
        <w:rPr>
          <w:rFonts w:ascii="Arial" w:hAnsi="Arial" w:cs="Arial"/>
          <w:sz w:val="24"/>
          <w:szCs w:val="24"/>
        </w:rPr>
        <w:t xml:space="preserve"> the feasibility of publishing the final dataset in this category, which relates to the locations of police stations.  The Home Office has published details of over 200 datasets on data.gov.uk, some of which are overarching datasets such as ‘street level crime’ that incorporate many different data sources. The work with HO’s arms length bodies </w:t>
      </w:r>
      <w:r w:rsidR="008855A3">
        <w:rPr>
          <w:rFonts w:ascii="Arial" w:hAnsi="Arial" w:cs="Arial"/>
          <w:sz w:val="24"/>
          <w:szCs w:val="24"/>
        </w:rPr>
        <w:t>has been</w:t>
      </w:r>
      <w:r w:rsidRPr="009B651B">
        <w:rPr>
          <w:rFonts w:ascii="Arial" w:hAnsi="Arial" w:cs="Arial"/>
          <w:sz w:val="24"/>
          <w:szCs w:val="24"/>
        </w:rPr>
        <w:t xml:space="preserve"> ongoing to ensure that the list of datasets on data.gov.uk is as comprehensive as is consistent as possible given security and privacy considerations. The need to identify unpublished dat</w:t>
      </w:r>
      <w:r w:rsidR="008855A3">
        <w:rPr>
          <w:rFonts w:ascii="Arial" w:hAnsi="Arial" w:cs="Arial"/>
          <w:sz w:val="24"/>
          <w:szCs w:val="24"/>
        </w:rPr>
        <w:t>asets on creation was</w:t>
      </w:r>
      <w:r w:rsidRPr="009B651B">
        <w:rPr>
          <w:rFonts w:ascii="Arial" w:hAnsi="Arial" w:cs="Arial"/>
          <w:sz w:val="24"/>
          <w:szCs w:val="24"/>
        </w:rPr>
        <w:t xml:space="preserve"> included in the consideration </w:t>
      </w:r>
      <w:r w:rsidR="009E2B2D" w:rsidRPr="009B651B">
        <w:rPr>
          <w:rFonts w:ascii="Arial" w:hAnsi="Arial" w:cs="Arial"/>
          <w:sz w:val="24"/>
          <w:szCs w:val="24"/>
        </w:rPr>
        <w:t>of business cases as part of Home Office’s</w:t>
      </w:r>
      <w:r w:rsidRPr="009B651B">
        <w:rPr>
          <w:rFonts w:ascii="Arial" w:hAnsi="Arial" w:cs="Arial"/>
          <w:sz w:val="24"/>
          <w:szCs w:val="24"/>
        </w:rPr>
        <w:t xml:space="preserve"> planning process.</w:t>
      </w:r>
    </w:p>
    <w:p w:rsidR="00ED3377" w:rsidRPr="009B651B" w:rsidRDefault="00ED3377" w:rsidP="006C0C04">
      <w:pPr>
        <w:pStyle w:val="ListParagraph"/>
        <w:spacing w:after="0" w:line="23" w:lineRule="atLeast"/>
        <w:jc w:val="both"/>
        <w:rPr>
          <w:rFonts w:ascii="Arial" w:hAnsi="Arial" w:cs="Arial"/>
          <w:sz w:val="24"/>
          <w:szCs w:val="24"/>
        </w:rPr>
      </w:pPr>
    </w:p>
    <w:p w:rsidR="00ED3377" w:rsidRPr="00E80E4D" w:rsidRDefault="009E2B2D" w:rsidP="006C0C04">
      <w:pPr>
        <w:pStyle w:val="ListParagraph"/>
        <w:numPr>
          <w:ilvl w:val="0"/>
          <w:numId w:val="1"/>
        </w:numPr>
        <w:spacing w:after="240"/>
        <w:ind w:left="714" w:hanging="357"/>
        <w:jc w:val="both"/>
        <w:rPr>
          <w:rFonts w:ascii="Arial" w:hAnsi="Arial" w:cs="Arial"/>
        </w:rPr>
      </w:pPr>
      <w:r w:rsidRPr="00166BA8">
        <w:rPr>
          <w:rFonts w:ascii="Arial" w:eastAsiaTheme="minorEastAsia" w:hAnsi="Arial" w:cs="Arial"/>
          <w:b/>
          <w:sz w:val="24"/>
          <w:szCs w:val="24"/>
        </w:rPr>
        <w:t xml:space="preserve">MOD </w:t>
      </w:r>
      <w:r w:rsidRPr="00166BA8">
        <w:rPr>
          <w:rFonts w:ascii="Arial" w:eastAsiaTheme="minorEastAsia" w:hAnsi="Arial" w:cs="Arial"/>
          <w:sz w:val="24"/>
          <w:szCs w:val="24"/>
        </w:rPr>
        <w:t xml:space="preserve">reviewed the list of unpublished datasets and further ALB datasets were identified. </w:t>
      </w:r>
      <w:r w:rsidR="00165E68" w:rsidRPr="00166BA8">
        <w:rPr>
          <w:rFonts w:ascii="Arial" w:eastAsiaTheme="minorEastAsia" w:hAnsi="Arial" w:cs="Arial"/>
          <w:sz w:val="24"/>
          <w:szCs w:val="24"/>
        </w:rPr>
        <w:t xml:space="preserve">This has resulted in most datasets detailed in the NII being published, with the exemption of wrecks data due to resource restraints and access to funding. </w:t>
      </w:r>
      <w:r w:rsidR="008855A3">
        <w:rPr>
          <w:rFonts w:ascii="Arial" w:eastAsiaTheme="minorEastAsia" w:hAnsi="Arial" w:cs="Arial"/>
          <w:sz w:val="24"/>
          <w:szCs w:val="24"/>
        </w:rPr>
        <w:t>MOD announced it intends</w:t>
      </w:r>
      <w:r w:rsidRPr="00166BA8">
        <w:rPr>
          <w:rFonts w:ascii="Arial" w:eastAsiaTheme="minorEastAsia" w:hAnsi="Arial" w:cs="Arial"/>
          <w:sz w:val="24"/>
          <w:szCs w:val="24"/>
        </w:rPr>
        <w:t xml:space="preserve"> to repeat its information asset register discover</w:t>
      </w:r>
      <w:r w:rsidR="00217030" w:rsidRPr="00166BA8">
        <w:rPr>
          <w:rFonts w:ascii="Arial" w:eastAsiaTheme="minorEastAsia" w:hAnsi="Arial" w:cs="Arial"/>
          <w:sz w:val="24"/>
          <w:szCs w:val="24"/>
        </w:rPr>
        <w:t>y exercise in late summer. The d</w:t>
      </w:r>
      <w:r w:rsidRPr="00166BA8">
        <w:rPr>
          <w:rFonts w:ascii="Arial" w:eastAsiaTheme="minorEastAsia" w:hAnsi="Arial" w:cs="Arial"/>
          <w:sz w:val="24"/>
          <w:szCs w:val="24"/>
        </w:rPr>
        <w:t xml:space="preserve">epartment </w:t>
      </w:r>
      <w:r w:rsidR="008855A3">
        <w:rPr>
          <w:rFonts w:ascii="Arial" w:eastAsiaTheme="minorEastAsia" w:hAnsi="Arial" w:cs="Arial"/>
          <w:sz w:val="24"/>
          <w:szCs w:val="24"/>
        </w:rPr>
        <w:t>continued to work on improving</w:t>
      </w:r>
      <w:r w:rsidRPr="00166BA8">
        <w:rPr>
          <w:rFonts w:ascii="Arial" w:eastAsiaTheme="minorEastAsia" w:hAnsi="Arial" w:cs="Arial"/>
          <w:sz w:val="24"/>
          <w:szCs w:val="24"/>
        </w:rPr>
        <w:t xml:space="preserve"> data governance which should result in better visibility of datasets, </w:t>
      </w:r>
      <w:r w:rsidR="008855A3">
        <w:rPr>
          <w:rFonts w:ascii="Arial" w:eastAsiaTheme="minorEastAsia" w:hAnsi="Arial" w:cs="Arial"/>
          <w:sz w:val="24"/>
          <w:szCs w:val="24"/>
        </w:rPr>
        <w:t xml:space="preserve">continued </w:t>
      </w:r>
      <w:r w:rsidR="00165E68" w:rsidRPr="00166BA8">
        <w:rPr>
          <w:rFonts w:ascii="Arial" w:eastAsiaTheme="minorEastAsia" w:hAnsi="Arial" w:cs="Arial"/>
          <w:sz w:val="24"/>
          <w:szCs w:val="24"/>
        </w:rPr>
        <w:t>to promote the transparency agenda, and identify data owners within the MoD. The next MOD data strategy is currently under review.</w:t>
      </w:r>
    </w:p>
    <w:p w:rsidR="00E80E4D" w:rsidRPr="00E80E4D" w:rsidRDefault="00E80E4D" w:rsidP="006C0C04">
      <w:pPr>
        <w:pStyle w:val="ListParagraph"/>
        <w:spacing w:line="23" w:lineRule="atLeast"/>
        <w:rPr>
          <w:rFonts w:ascii="Arial" w:hAnsi="Arial" w:cs="Arial"/>
        </w:rPr>
      </w:pPr>
    </w:p>
    <w:p w:rsidR="00ED3377" w:rsidRPr="00E80E4D" w:rsidRDefault="00E80E4D" w:rsidP="006C0C04">
      <w:pPr>
        <w:pStyle w:val="ListParagraph"/>
        <w:numPr>
          <w:ilvl w:val="0"/>
          <w:numId w:val="1"/>
        </w:numPr>
        <w:spacing w:after="240"/>
        <w:ind w:left="714" w:hanging="357"/>
        <w:jc w:val="both"/>
        <w:rPr>
          <w:rFonts w:ascii="Arial" w:hAnsi="Arial" w:cs="Arial"/>
          <w:b/>
          <w:color w:val="292929"/>
          <w:sz w:val="24"/>
        </w:rPr>
      </w:pPr>
      <w:r w:rsidRPr="00E80E4D">
        <w:rPr>
          <w:rFonts w:ascii="Arial" w:eastAsiaTheme="minorEastAsia" w:hAnsi="Arial" w:cs="Arial"/>
          <w:b/>
          <w:sz w:val="24"/>
          <w:szCs w:val="24"/>
        </w:rPr>
        <w:t xml:space="preserve">HMT </w:t>
      </w:r>
      <w:r w:rsidRPr="00E80E4D">
        <w:rPr>
          <w:rFonts w:ascii="Arial" w:eastAsiaTheme="minorEastAsia" w:hAnsi="Arial" w:cs="Arial"/>
          <w:sz w:val="24"/>
          <w:szCs w:val="24"/>
        </w:rPr>
        <w:t>carrie</w:t>
      </w:r>
      <w:r w:rsidR="003B643A">
        <w:rPr>
          <w:rFonts w:ascii="Arial" w:eastAsiaTheme="minorEastAsia" w:hAnsi="Arial" w:cs="Arial"/>
          <w:sz w:val="24"/>
          <w:szCs w:val="24"/>
        </w:rPr>
        <w:t>d out a full review of the data</w:t>
      </w:r>
      <w:r w:rsidRPr="00E80E4D">
        <w:rPr>
          <w:rFonts w:ascii="Arial" w:eastAsiaTheme="minorEastAsia" w:hAnsi="Arial" w:cs="Arial"/>
          <w:sz w:val="24"/>
          <w:szCs w:val="24"/>
        </w:rPr>
        <w:t>sets the Treasury Group currently holds and asked groups to identify possible new data</w:t>
      </w:r>
      <w:r w:rsidR="003B643A">
        <w:rPr>
          <w:rFonts w:ascii="Arial" w:eastAsiaTheme="minorEastAsia" w:hAnsi="Arial" w:cs="Arial"/>
          <w:sz w:val="24"/>
          <w:szCs w:val="24"/>
        </w:rPr>
        <w:t>sets. As part of this process, HMT</w:t>
      </w:r>
      <w:r w:rsidRPr="00E80E4D">
        <w:rPr>
          <w:rFonts w:ascii="Arial" w:eastAsiaTheme="minorEastAsia" w:hAnsi="Arial" w:cs="Arial"/>
          <w:sz w:val="24"/>
          <w:szCs w:val="24"/>
        </w:rPr>
        <w:t xml:space="preserve"> ensured the list of unpublished datasets is comprehensive</w:t>
      </w:r>
      <w:r w:rsidR="003B643A">
        <w:rPr>
          <w:rFonts w:ascii="Arial" w:eastAsiaTheme="minorEastAsia" w:hAnsi="Arial" w:cs="Arial"/>
          <w:sz w:val="24"/>
          <w:szCs w:val="24"/>
        </w:rPr>
        <w:t xml:space="preserve"> and regularly updated.</w:t>
      </w:r>
      <w:r w:rsidRPr="00E80E4D">
        <w:rPr>
          <w:rFonts w:ascii="Arial" w:eastAsiaTheme="minorEastAsia" w:hAnsi="Arial" w:cs="Arial"/>
          <w:sz w:val="24"/>
          <w:szCs w:val="24"/>
        </w:rPr>
        <w:t xml:space="preserve"> </w:t>
      </w:r>
      <w:r>
        <w:rPr>
          <w:rFonts w:ascii="Arial" w:eastAsiaTheme="minorEastAsia" w:hAnsi="Arial" w:cs="Arial"/>
          <w:sz w:val="24"/>
          <w:szCs w:val="24"/>
        </w:rPr>
        <w:t xml:space="preserve">HMT also </w:t>
      </w:r>
      <w:r w:rsidRPr="00E80E4D">
        <w:rPr>
          <w:rFonts w:ascii="Arial" w:eastAsiaTheme="minorEastAsia" w:hAnsi="Arial" w:cs="Arial"/>
          <w:sz w:val="24"/>
          <w:szCs w:val="24"/>
        </w:rPr>
        <w:t>monitor</w:t>
      </w:r>
      <w:r w:rsidR="008855A3">
        <w:rPr>
          <w:rFonts w:ascii="Arial" w:eastAsiaTheme="minorEastAsia" w:hAnsi="Arial" w:cs="Arial"/>
          <w:sz w:val="24"/>
          <w:szCs w:val="24"/>
        </w:rPr>
        <w:t>ed</w:t>
      </w:r>
      <w:r w:rsidRPr="00E80E4D">
        <w:rPr>
          <w:rFonts w:ascii="Arial" w:eastAsiaTheme="minorEastAsia" w:hAnsi="Arial" w:cs="Arial"/>
          <w:sz w:val="24"/>
          <w:szCs w:val="24"/>
        </w:rPr>
        <w:t xml:space="preserve"> and correct</w:t>
      </w:r>
      <w:r w:rsidR="008855A3">
        <w:rPr>
          <w:rFonts w:ascii="Arial" w:eastAsiaTheme="minorEastAsia" w:hAnsi="Arial" w:cs="Arial"/>
          <w:sz w:val="24"/>
          <w:szCs w:val="24"/>
        </w:rPr>
        <w:t>ed</w:t>
      </w:r>
      <w:r w:rsidRPr="00E80E4D">
        <w:rPr>
          <w:rFonts w:ascii="Arial" w:eastAsiaTheme="minorEastAsia" w:hAnsi="Arial" w:cs="Arial"/>
          <w:sz w:val="24"/>
          <w:szCs w:val="24"/>
        </w:rPr>
        <w:t xml:space="preserve"> Treasury’s broken links on the data.gov website on </w:t>
      </w:r>
      <w:r w:rsidR="008855A3">
        <w:rPr>
          <w:rFonts w:ascii="Arial" w:eastAsiaTheme="minorEastAsia" w:hAnsi="Arial" w:cs="Arial"/>
          <w:sz w:val="24"/>
          <w:szCs w:val="24"/>
        </w:rPr>
        <w:t>a regular</w:t>
      </w:r>
      <w:r w:rsidRPr="00E80E4D">
        <w:rPr>
          <w:rFonts w:ascii="Arial" w:eastAsiaTheme="minorEastAsia" w:hAnsi="Arial" w:cs="Arial"/>
          <w:sz w:val="24"/>
          <w:szCs w:val="24"/>
        </w:rPr>
        <w:t xml:space="preserve"> basis. The M</w:t>
      </w:r>
      <w:r>
        <w:rPr>
          <w:rFonts w:ascii="Arial" w:eastAsiaTheme="minorEastAsia" w:hAnsi="Arial" w:cs="Arial"/>
          <w:sz w:val="24"/>
          <w:szCs w:val="24"/>
        </w:rPr>
        <w:t xml:space="preserve">anagement Information Unit (MIU) </w:t>
      </w:r>
      <w:r w:rsidRPr="00E80E4D">
        <w:rPr>
          <w:rFonts w:ascii="Arial" w:eastAsiaTheme="minorEastAsia" w:hAnsi="Arial" w:cs="Arial"/>
          <w:sz w:val="24"/>
          <w:szCs w:val="24"/>
        </w:rPr>
        <w:t>has liaised with the Corresponden</w:t>
      </w:r>
      <w:r w:rsidR="00661F8A">
        <w:rPr>
          <w:rFonts w:ascii="Arial" w:eastAsiaTheme="minorEastAsia" w:hAnsi="Arial" w:cs="Arial"/>
          <w:sz w:val="24"/>
          <w:szCs w:val="24"/>
        </w:rPr>
        <w:t xml:space="preserve">ce Unit to review Freedom of Information (FoI) </w:t>
      </w:r>
      <w:r w:rsidRPr="00E80E4D">
        <w:rPr>
          <w:rFonts w:ascii="Arial" w:eastAsiaTheme="minorEastAsia" w:hAnsi="Arial" w:cs="Arial"/>
          <w:sz w:val="24"/>
          <w:szCs w:val="24"/>
        </w:rPr>
        <w:t xml:space="preserve">requests that may contain datasets and discussed if these could be published. </w:t>
      </w:r>
      <w:r w:rsidR="003B643A">
        <w:rPr>
          <w:rFonts w:ascii="Arial" w:eastAsiaTheme="minorEastAsia" w:hAnsi="Arial" w:cs="Arial"/>
          <w:sz w:val="24"/>
          <w:szCs w:val="24"/>
        </w:rPr>
        <w:t xml:space="preserve">HMT </w:t>
      </w:r>
      <w:r w:rsidR="008855A3">
        <w:rPr>
          <w:rFonts w:ascii="Arial" w:eastAsiaTheme="minorEastAsia" w:hAnsi="Arial" w:cs="Arial"/>
          <w:sz w:val="24"/>
          <w:szCs w:val="24"/>
        </w:rPr>
        <w:t>has been aiming</w:t>
      </w:r>
      <w:r w:rsidRPr="00E80E4D">
        <w:rPr>
          <w:rFonts w:ascii="Arial" w:eastAsiaTheme="minorEastAsia" w:hAnsi="Arial" w:cs="Arial"/>
          <w:sz w:val="24"/>
          <w:szCs w:val="24"/>
        </w:rPr>
        <w:t xml:space="preserve"> to make more use of technology</w:t>
      </w:r>
      <w:r>
        <w:rPr>
          <w:rFonts w:ascii="Arial" w:eastAsiaTheme="minorEastAsia" w:hAnsi="Arial" w:cs="Arial"/>
          <w:sz w:val="24"/>
          <w:szCs w:val="24"/>
        </w:rPr>
        <w:t>,</w:t>
      </w:r>
      <w:r w:rsidRPr="00E80E4D">
        <w:rPr>
          <w:rFonts w:ascii="Arial" w:eastAsiaTheme="minorEastAsia" w:hAnsi="Arial" w:cs="Arial"/>
          <w:sz w:val="24"/>
          <w:szCs w:val="24"/>
        </w:rPr>
        <w:t xml:space="preserve"> </w:t>
      </w:r>
      <w:r>
        <w:rPr>
          <w:rFonts w:ascii="Arial" w:eastAsiaTheme="minorEastAsia" w:hAnsi="Arial" w:cs="Arial"/>
          <w:sz w:val="24"/>
          <w:szCs w:val="24"/>
        </w:rPr>
        <w:t>specifically in order</w:t>
      </w:r>
      <w:r w:rsidRPr="00E80E4D">
        <w:rPr>
          <w:rFonts w:ascii="Arial" w:eastAsiaTheme="minorEastAsia" w:hAnsi="Arial" w:cs="Arial"/>
          <w:sz w:val="24"/>
          <w:szCs w:val="24"/>
        </w:rPr>
        <w:t xml:space="preserve"> to enable quicker data collection.</w:t>
      </w:r>
      <w:r w:rsidR="003B643A">
        <w:rPr>
          <w:rFonts w:ascii="Arial" w:eastAsiaTheme="minorEastAsia" w:hAnsi="Arial" w:cs="Arial"/>
          <w:sz w:val="24"/>
          <w:szCs w:val="24"/>
        </w:rPr>
        <w:t xml:space="preserve"> A </w:t>
      </w:r>
      <w:r w:rsidRPr="00E80E4D">
        <w:rPr>
          <w:rFonts w:ascii="Arial" w:eastAsiaTheme="minorEastAsia" w:hAnsi="Arial" w:cs="Arial"/>
          <w:sz w:val="24"/>
          <w:szCs w:val="24"/>
        </w:rPr>
        <w:t>strategy paper</w:t>
      </w:r>
      <w:r w:rsidR="00603AE3">
        <w:rPr>
          <w:rFonts w:ascii="Arial" w:eastAsiaTheme="minorEastAsia" w:hAnsi="Arial" w:cs="Arial"/>
          <w:sz w:val="24"/>
          <w:szCs w:val="24"/>
        </w:rPr>
        <w:t xml:space="preserve"> was produced</w:t>
      </w:r>
      <w:r w:rsidRPr="00E80E4D">
        <w:rPr>
          <w:rFonts w:ascii="Arial" w:eastAsiaTheme="minorEastAsia" w:hAnsi="Arial" w:cs="Arial"/>
          <w:sz w:val="24"/>
          <w:szCs w:val="24"/>
        </w:rPr>
        <w:t xml:space="preserve"> </w:t>
      </w:r>
      <w:r w:rsidR="003B643A">
        <w:rPr>
          <w:rFonts w:ascii="Arial" w:eastAsiaTheme="minorEastAsia" w:hAnsi="Arial" w:cs="Arial"/>
          <w:sz w:val="24"/>
          <w:szCs w:val="24"/>
        </w:rPr>
        <w:t xml:space="preserve">reviewing </w:t>
      </w:r>
      <w:r w:rsidRPr="00E80E4D">
        <w:rPr>
          <w:rFonts w:ascii="Arial" w:eastAsiaTheme="minorEastAsia" w:hAnsi="Arial" w:cs="Arial"/>
          <w:sz w:val="24"/>
          <w:szCs w:val="24"/>
        </w:rPr>
        <w:t>the Treasury’s ongoing NII commitments and actions to be taken forward.</w:t>
      </w:r>
    </w:p>
    <w:p w:rsidR="00E80E4D" w:rsidRPr="00E80E4D" w:rsidRDefault="00E80E4D" w:rsidP="006C0C04">
      <w:pPr>
        <w:pStyle w:val="ListParagraph"/>
        <w:spacing w:line="23" w:lineRule="atLeast"/>
        <w:rPr>
          <w:rFonts w:ascii="Arial" w:hAnsi="Arial" w:cs="Arial"/>
          <w:b/>
          <w:color w:val="292929"/>
          <w:sz w:val="24"/>
        </w:rPr>
      </w:pPr>
    </w:p>
    <w:p w:rsidR="00165E68" w:rsidRPr="00D21484" w:rsidRDefault="00165E68" w:rsidP="006C0C04">
      <w:pPr>
        <w:pStyle w:val="ListParagraph"/>
        <w:numPr>
          <w:ilvl w:val="0"/>
          <w:numId w:val="1"/>
        </w:numPr>
        <w:spacing w:after="0"/>
        <w:ind w:left="714" w:hanging="357"/>
        <w:jc w:val="both"/>
        <w:rPr>
          <w:rFonts w:ascii="Arial" w:hAnsi="Arial" w:cs="Arial"/>
        </w:rPr>
      </w:pPr>
      <w:r w:rsidRPr="00D21484">
        <w:rPr>
          <w:rFonts w:ascii="Arial" w:hAnsi="Arial" w:cs="Arial"/>
          <w:b/>
          <w:color w:val="292929"/>
          <w:sz w:val="24"/>
        </w:rPr>
        <w:t>HMRC</w:t>
      </w:r>
      <w:r w:rsidRPr="00D21484">
        <w:rPr>
          <w:rFonts w:ascii="Arial" w:hAnsi="Arial" w:cs="Arial"/>
          <w:color w:val="292929"/>
          <w:sz w:val="24"/>
        </w:rPr>
        <w:t xml:space="preserve"> provided explanations on barriers for publication of datasets included in the NII in the Transparency Data Catalogue</w:t>
      </w:r>
      <w:r w:rsidR="00FC2592" w:rsidRPr="00D21484">
        <w:rPr>
          <w:rFonts w:ascii="Arial" w:hAnsi="Arial" w:cs="Arial"/>
          <w:color w:val="292929"/>
          <w:sz w:val="24"/>
        </w:rPr>
        <w:t xml:space="preserve"> an</w:t>
      </w:r>
      <w:r w:rsidR="002B16A7" w:rsidRPr="00D21484">
        <w:rPr>
          <w:rFonts w:ascii="Arial" w:hAnsi="Arial" w:cs="Arial"/>
          <w:color w:val="292929"/>
          <w:sz w:val="24"/>
        </w:rPr>
        <w:t>d complie</w:t>
      </w:r>
      <w:r w:rsidR="00EF46AC">
        <w:rPr>
          <w:rFonts w:ascii="Arial" w:hAnsi="Arial" w:cs="Arial"/>
          <w:color w:val="292929"/>
          <w:sz w:val="24"/>
        </w:rPr>
        <w:t>d</w:t>
      </w:r>
      <w:r w:rsidR="002B16A7" w:rsidRPr="00D21484">
        <w:rPr>
          <w:rFonts w:ascii="Arial" w:hAnsi="Arial" w:cs="Arial"/>
          <w:color w:val="292929"/>
          <w:sz w:val="24"/>
        </w:rPr>
        <w:t xml:space="preserve"> with the NII’s</w:t>
      </w:r>
      <w:r w:rsidR="00FC2592" w:rsidRPr="00D21484">
        <w:rPr>
          <w:rFonts w:ascii="Arial" w:hAnsi="Arial" w:cs="Arial"/>
          <w:color w:val="292929"/>
          <w:sz w:val="24"/>
        </w:rPr>
        <w:t xml:space="preserve"> data qu</w:t>
      </w:r>
      <w:r w:rsidR="00A704B0" w:rsidRPr="00D21484">
        <w:rPr>
          <w:rFonts w:ascii="Arial" w:hAnsi="Arial" w:cs="Arial"/>
          <w:color w:val="292929"/>
          <w:sz w:val="24"/>
        </w:rPr>
        <w:t>a</w:t>
      </w:r>
      <w:r w:rsidR="00FC2592" w:rsidRPr="00D21484">
        <w:rPr>
          <w:rFonts w:ascii="Arial" w:hAnsi="Arial" w:cs="Arial"/>
          <w:color w:val="292929"/>
          <w:sz w:val="24"/>
        </w:rPr>
        <w:t xml:space="preserve">lity, provenance and regularity </w:t>
      </w:r>
      <w:r w:rsidR="002B16A7" w:rsidRPr="00D21484">
        <w:rPr>
          <w:rFonts w:ascii="Arial" w:hAnsi="Arial" w:cs="Arial"/>
          <w:color w:val="292929"/>
          <w:sz w:val="24"/>
        </w:rPr>
        <w:t>requirements. A revi</w:t>
      </w:r>
      <w:r w:rsidR="00217030">
        <w:rPr>
          <w:rFonts w:ascii="Arial" w:hAnsi="Arial" w:cs="Arial"/>
          <w:color w:val="292929"/>
          <w:sz w:val="24"/>
        </w:rPr>
        <w:t>ew of the datasets held in the d</w:t>
      </w:r>
      <w:r w:rsidR="002B16A7" w:rsidRPr="00D21484">
        <w:rPr>
          <w:rFonts w:ascii="Arial" w:hAnsi="Arial" w:cs="Arial"/>
          <w:color w:val="292929"/>
          <w:sz w:val="24"/>
        </w:rPr>
        <w:t xml:space="preserve">epartment has been undertaken as part of Data Catalogue refresh and a new updating process </w:t>
      </w:r>
      <w:r w:rsidR="0020027B" w:rsidRPr="00D21484">
        <w:rPr>
          <w:rFonts w:ascii="Arial" w:hAnsi="Arial" w:cs="Arial"/>
          <w:color w:val="292929"/>
          <w:sz w:val="24"/>
        </w:rPr>
        <w:t xml:space="preserve">has been </w:t>
      </w:r>
      <w:r w:rsidR="002B16A7" w:rsidRPr="00D21484">
        <w:rPr>
          <w:rFonts w:ascii="Arial" w:hAnsi="Arial" w:cs="Arial"/>
          <w:color w:val="292929"/>
          <w:sz w:val="24"/>
        </w:rPr>
        <w:t xml:space="preserve">created to ensure that records in HMRC’s Data Catalogue are regularly reviewed and fed into data.gov.uk. Discussions </w:t>
      </w:r>
      <w:r w:rsidR="00305A90">
        <w:rPr>
          <w:rFonts w:ascii="Arial" w:hAnsi="Arial" w:cs="Arial"/>
          <w:color w:val="292929"/>
          <w:sz w:val="24"/>
        </w:rPr>
        <w:t>were organised</w:t>
      </w:r>
      <w:r w:rsidR="002B16A7" w:rsidRPr="00D21484">
        <w:rPr>
          <w:rFonts w:ascii="Arial" w:hAnsi="Arial" w:cs="Arial"/>
          <w:color w:val="292929"/>
          <w:sz w:val="24"/>
        </w:rPr>
        <w:t xml:space="preserve"> to achieve the release of datasets with the Tax Transparency Sector Board and </w:t>
      </w:r>
      <w:r w:rsidR="00305A90">
        <w:rPr>
          <w:rFonts w:ascii="Arial" w:hAnsi="Arial" w:cs="Arial"/>
          <w:color w:val="292929"/>
          <w:sz w:val="24"/>
        </w:rPr>
        <w:t>to review</w:t>
      </w:r>
      <w:r w:rsidR="002B16A7" w:rsidRPr="00D21484">
        <w:rPr>
          <w:rFonts w:ascii="Arial" w:hAnsi="Arial" w:cs="Arial"/>
          <w:color w:val="292929"/>
          <w:sz w:val="24"/>
        </w:rPr>
        <w:t xml:space="preserve"> its membership of the board. HMRC </w:t>
      </w:r>
      <w:r w:rsidR="00305A90">
        <w:rPr>
          <w:rFonts w:ascii="Arial" w:hAnsi="Arial" w:cs="Arial"/>
          <w:color w:val="292929"/>
          <w:sz w:val="24"/>
        </w:rPr>
        <w:t>has been</w:t>
      </w:r>
      <w:r w:rsidR="002B16A7" w:rsidRPr="00D21484">
        <w:rPr>
          <w:rFonts w:ascii="Arial" w:hAnsi="Arial" w:cs="Arial"/>
          <w:color w:val="292929"/>
          <w:sz w:val="24"/>
        </w:rPr>
        <w:t xml:space="preserve"> working to ensure wider engagement with the Open Data agenda, by regularly considering requests from Open Data User Group and organising in</w:t>
      </w:r>
      <w:r w:rsidR="00A908C9">
        <w:rPr>
          <w:rFonts w:ascii="Arial" w:hAnsi="Arial" w:cs="Arial"/>
          <w:color w:val="292929"/>
          <w:sz w:val="24"/>
        </w:rPr>
        <w:t>ternal workshop to explore new Open D</w:t>
      </w:r>
      <w:r w:rsidR="002B16A7" w:rsidRPr="00D21484">
        <w:rPr>
          <w:rFonts w:ascii="Arial" w:hAnsi="Arial" w:cs="Arial"/>
          <w:color w:val="292929"/>
          <w:sz w:val="24"/>
        </w:rPr>
        <w:t>ata releases.</w:t>
      </w:r>
    </w:p>
    <w:p w:rsidR="00A1333A" w:rsidRPr="00A1333A" w:rsidRDefault="00BE3675" w:rsidP="00166BA8">
      <w:pPr>
        <w:pStyle w:val="NormalWeb"/>
        <w:spacing w:after="240" w:afterAutospacing="0" w:line="276" w:lineRule="auto"/>
        <w:ind w:left="720"/>
        <w:jc w:val="both"/>
        <w:rPr>
          <w:rFonts w:ascii="Arial" w:hAnsi="Arial" w:cs="Arial"/>
          <w:b/>
        </w:rPr>
      </w:pPr>
      <w:r>
        <w:rPr>
          <w:rFonts w:ascii="Arial" w:hAnsi="Arial" w:cs="Arial"/>
          <w:b/>
        </w:rPr>
        <w:t>D</w:t>
      </w:r>
      <w:r w:rsidR="00A1333A" w:rsidRPr="00CB6120">
        <w:rPr>
          <w:rFonts w:ascii="Arial" w:hAnsi="Arial" w:cs="Arial"/>
          <w:b/>
        </w:rPr>
        <w:t>ata.gov.uk</w:t>
      </w:r>
      <w:r w:rsidR="009E4A6D" w:rsidRPr="00CB6120">
        <w:rPr>
          <w:rFonts w:ascii="Arial" w:hAnsi="Arial" w:cs="Arial"/>
          <w:b/>
        </w:rPr>
        <w:t xml:space="preserve"> </w:t>
      </w:r>
    </w:p>
    <w:p w:rsidR="00ED3377" w:rsidRDefault="009A4DE2" w:rsidP="006C0C04">
      <w:pPr>
        <w:pStyle w:val="NormalWeb"/>
        <w:numPr>
          <w:ilvl w:val="0"/>
          <w:numId w:val="1"/>
        </w:numPr>
        <w:spacing w:before="0" w:beforeAutospacing="0" w:after="0" w:afterAutospacing="0" w:line="276" w:lineRule="auto"/>
        <w:ind w:left="714" w:hanging="357"/>
        <w:jc w:val="both"/>
        <w:rPr>
          <w:rFonts w:ascii="Arial" w:eastAsia="Times New Roman" w:hAnsi="Arial" w:cs="Arial"/>
          <w:color w:val="292929"/>
          <w:szCs w:val="22"/>
        </w:rPr>
      </w:pPr>
      <w:r w:rsidRPr="00ED3377">
        <w:rPr>
          <w:rFonts w:ascii="Arial" w:eastAsia="Times New Roman" w:hAnsi="Arial" w:cs="Arial"/>
          <w:color w:val="292929"/>
          <w:szCs w:val="22"/>
        </w:rPr>
        <w:t>Over t</w:t>
      </w:r>
      <w:r w:rsidR="00934942">
        <w:rPr>
          <w:rFonts w:ascii="Arial" w:eastAsia="Times New Roman" w:hAnsi="Arial" w:cs="Arial"/>
          <w:color w:val="292929"/>
          <w:szCs w:val="22"/>
        </w:rPr>
        <w:t>he period of January to March, d</w:t>
      </w:r>
      <w:r w:rsidRPr="00ED3377">
        <w:rPr>
          <w:rFonts w:ascii="Arial" w:eastAsia="Times New Roman" w:hAnsi="Arial" w:cs="Arial"/>
          <w:color w:val="292929"/>
          <w:szCs w:val="22"/>
        </w:rPr>
        <w:t xml:space="preserve">ata.gov.uk </w:t>
      </w:r>
      <w:r w:rsidR="008A4FDA">
        <w:rPr>
          <w:rFonts w:ascii="Arial" w:eastAsia="Times New Roman" w:hAnsi="Arial" w:cs="Arial"/>
          <w:color w:val="292929"/>
          <w:szCs w:val="22"/>
        </w:rPr>
        <w:t>began</w:t>
      </w:r>
      <w:r w:rsidRPr="00ED3377">
        <w:rPr>
          <w:rFonts w:ascii="Arial" w:eastAsia="Times New Roman" w:hAnsi="Arial" w:cs="Arial"/>
          <w:color w:val="292929"/>
          <w:szCs w:val="22"/>
        </w:rPr>
        <w:t xml:space="preserve"> working with local authorities to extend the site</w:t>
      </w:r>
      <w:r w:rsidR="008A4FDA">
        <w:rPr>
          <w:rFonts w:ascii="Arial" w:eastAsia="Times New Roman" w:hAnsi="Arial" w:cs="Arial"/>
          <w:color w:val="292929"/>
          <w:szCs w:val="22"/>
        </w:rPr>
        <w:t>’</w:t>
      </w:r>
      <w:r w:rsidRPr="00ED3377">
        <w:rPr>
          <w:rFonts w:ascii="Arial" w:eastAsia="Times New Roman" w:hAnsi="Arial" w:cs="Arial"/>
          <w:color w:val="292929"/>
          <w:szCs w:val="22"/>
        </w:rPr>
        <w:t xml:space="preserve">s publishing mechanisms to automatically standardise the metadata schema for Local Authorities’ data. The team also worked on creating an advance search for </w:t>
      </w:r>
      <w:r w:rsidR="00C84E41" w:rsidRPr="00ED3377">
        <w:rPr>
          <w:rFonts w:ascii="Arial" w:eastAsia="Times New Roman" w:hAnsi="Arial" w:cs="Arial"/>
          <w:color w:val="292929"/>
          <w:szCs w:val="22"/>
        </w:rPr>
        <w:t>local authority</w:t>
      </w:r>
      <w:r w:rsidRPr="00ED3377">
        <w:rPr>
          <w:rFonts w:ascii="Arial" w:eastAsia="Times New Roman" w:hAnsi="Arial" w:cs="Arial"/>
          <w:color w:val="292929"/>
          <w:szCs w:val="22"/>
        </w:rPr>
        <w:t xml:space="preserve"> data as well as facilitating engagement with users of this data.</w:t>
      </w:r>
    </w:p>
    <w:p w:rsidR="006C0C04" w:rsidRDefault="006C0C04" w:rsidP="006C0C04">
      <w:pPr>
        <w:pStyle w:val="NormalWeb"/>
        <w:spacing w:before="0" w:beforeAutospacing="0" w:after="0" w:afterAutospacing="0" w:line="276" w:lineRule="auto"/>
        <w:ind w:left="720"/>
        <w:jc w:val="both"/>
        <w:rPr>
          <w:rFonts w:ascii="Arial" w:eastAsia="Times New Roman" w:hAnsi="Arial" w:cs="Arial"/>
          <w:color w:val="292929"/>
          <w:szCs w:val="22"/>
        </w:rPr>
      </w:pPr>
    </w:p>
    <w:p w:rsidR="009A4DE2" w:rsidRPr="00ED3377" w:rsidRDefault="009A4DE2" w:rsidP="006C0C04">
      <w:pPr>
        <w:pStyle w:val="NormalWeb"/>
        <w:numPr>
          <w:ilvl w:val="0"/>
          <w:numId w:val="1"/>
        </w:numPr>
        <w:spacing w:before="0" w:beforeAutospacing="0" w:after="0" w:afterAutospacing="0" w:line="276" w:lineRule="auto"/>
        <w:jc w:val="both"/>
        <w:rPr>
          <w:rFonts w:ascii="Arial" w:eastAsia="Times New Roman" w:hAnsi="Arial" w:cs="Arial"/>
          <w:color w:val="292929"/>
          <w:szCs w:val="22"/>
        </w:rPr>
      </w:pPr>
      <w:r w:rsidRPr="00ED3377">
        <w:rPr>
          <w:rFonts w:ascii="Arial" w:eastAsia="Times New Roman" w:hAnsi="Arial" w:cs="Arial"/>
          <w:color w:val="292929"/>
          <w:szCs w:val="22"/>
        </w:rPr>
        <w:t>During this period, data.gov.uk also started building the next generation of its Government roles and salaries visualisation tool to facilitate discovery and to fully exploit the advantages of its linked data backend.</w:t>
      </w:r>
    </w:p>
    <w:p w:rsidR="00506243" w:rsidRPr="00D9092D" w:rsidRDefault="00506243" w:rsidP="00166BA8">
      <w:pPr>
        <w:pStyle w:val="NormalWeb"/>
        <w:spacing w:after="240" w:afterAutospacing="0" w:line="276" w:lineRule="auto"/>
        <w:ind w:left="720"/>
        <w:jc w:val="both"/>
        <w:rPr>
          <w:rFonts w:ascii="Arial" w:hAnsi="Arial" w:cs="Arial"/>
          <w:highlight w:val="green"/>
        </w:rPr>
      </w:pPr>
    </w:p>
    <w:p w:rsidR="0036741A" w:rsidRDefault="0036741A" w:rsidP="00166BA8">
      <w:pPr>
        <w:spacing w:after="0" w:line="240" w:lineRule="auto"/>
        <w:jc w:val="both"/>
        <w:rPr>
          <w:rFonts w:ascii="Arial" w:hAnsi="Arial" w:cs="Arial"/>
          <w:b/>
          <w:sz w:val="24"/>
          <w:szCs w:val="24"/>
        </w:rPr>
      </w:pPr>
      <w:r>
        <w:rPr>
          <w:rFonts w:ascii="Arial" w:hAnsi="Arial" w:cs="Arial"/>
          <w:b/>
          <w:sz w:val="24"/>
          <w:szCs w:val="24"/>
        </w:rPr>
        <w:br w:type="page"/>
      </w:r>
    </w:p>
    <w:p w:rsidR="005E6B9F" w:rsidRDefault="005E6B9F" w:rsidP="00166BA8">
      <w:pPr>
        <w:pStyle w:val="ListParagraph"/>
        <w:spacing w:after="0"/>
        <w:ind w:left="0"/>
        <w:contextualSpacing w:val="0"/>
        <w:jc w:val="both"/>
        <w:outlineLvl w:val="0"/>
        <w:rPr>
          <w:rFonts w:ascii="Arial" w:hAnsi="Arial" w:cs="Arial"/>
          <w:b/>
          <w:sz w:val="24"/>
          <w:szCs w:val="24"/>
        </w:rPr>
      </w:pPr>
      <w:r w:rsidRPr="00A1333A">
        <w:rPr>
          <w:rFonts w:ascii="Arial" w:hAnsi="Arial" w:cs="Arial"/>
          <w:b/>
          <w:sz w:val="24"/>
          <w:szCs w:val="24"/>
        </w:rPr>
        <w:t>data.gov.uk Analysis</w:t>
      </w:r>
    </w:p>
    <w:p w:rsidR="006C0C04" w:rsidRPr="00A1333A" w:rsidRDefault="006C0C04" w:rsidP="00166BA8">
      <w:pPr>
        <w:pStyle w:val="ListParagraph"/>
        <w:spacing w:after="0"/>
        <w:ind w:left="0"/>
        <w:contextualSpacing w:val="0"/>
        <w:jc w:val="both"/>
        <w:outlineLvl w:val="0"/>
        <w:rPr>
          <w:rFonts w:ascii="Arial" w:hAnsi="Arial" w:cs="Arial"/>
          <w:b/>
          <w:sz w:val="24"/>
          <w:szCs w:val="24"/>
        </w:rPr>
      </w:pPr>
    </w:p>
    <w:tbl>
      <w:tblPr>
        <w:tblW w:w="5400" w:type="dxa"/>
        <w:tblInd w:w="91" w:type="dxa"/>
        <w:tblLook w:val="04A0" w:firstRow="1" w:lastRow="0" w:firstColumn="1" w:lastColumn="0" w:noHBand="0" w:noVBand="1"/>
      </w:tblPr>
      <w:tblGrid>
        <w:gridCol w:w="2700"/>
        <w:gridCol w:w="2700"/>
      </w:tblGrid>
      <w:tr w:rsidR="005E6B9F" w:rsidRPr="00A1333A" w:rsidTr="005E6B9F">
        <w:trPr>
          <w:trHeight w:val="300"/>
        </w:trPr>
        <w:tc>
          <w:tcPr>
            <w:tcW w:w="5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B9F" w:rsidRPr="00A1333A" w:rsidRDefault="00C05D21" w:rsidP="00166BA8">
            <w:pPr>
              <w:spacing w:after="0"/>
              <w:jc w:val="both"/>
              <w:rPr>
                <w:rFonts w:ascii="Arial" w:hAnsi="Arial" w:cs="Arial"/>
                <w:b/>
                <w:bCs/>
                <w:color w:val="000000"/>
                <w:sz w:val="24"/>
                <w:szCs w:val="24"/>
              </w:rPr>
            </w:pPr>
            <w:r>
              <w:rPr>
                <w:rFonts w:ascii="Arial" w:hAnsi="Arial" w:cs="Arial"/>
                <w:b/>
                <w:bCs/>
                <w:color w:val="000000"/>
                <w:sz w:val="24"/>
                <w:szCs w:val="24"/>
              </w:rPr>
              <w:t>Site Usage for Q4</w:t>
            </w:r>
            <w:r w:rsidR="005E6B9F" w:rsidRPr="00A1333A">
              <w:rPr>
                <w:rFonts w:ascii="Arial" w:hAnsi="Arial" w:cs="Arial"/>
                <w:b/>
                <w:bCs/>
                <w:color w:val="000000"/>
                <w:sz w:val="24"/>
                <w:szCs w:val="24"/>
              </w:rPr>
              <w:t xml:space="preserve"> 2013/14</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FFFFF"/>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Total page views</w:t>
            </w:r>
          </w:p>
        </w:tc>
        <w:tc>
          <w:tcPr>
            <w:tcW w:w="2700" w:type="dxa"/>
            <w:tcBorders>
              <w:top w:val="nil"/>
              <w:left w:val="nil"/>
              <w:bottom w:val="single" w:sz="4" w:space="0" w:color="auto"/>
              <w:right w:val="single" w:sz="4" w:space="0" w:color="auto"/>
            </w:tcBorders>
            <w:shd w:val="clear" w:color="000000" w:fill="FFFFFF"/>
            <w:noWrap/>
            <w:vAlign w:val="bottom"/>
            <w:hideMark/>
          </w:tcPr>
          <w:p w:rsidR="005E6B9F" w:rsidRPr="00A1333A" w:rsidRDefault="00C05D21" w:rsidP="00166BA8">
            <w:pPr>
              <w:spacing w:after="0"/>
              <w:jc w:val="both"/>
              <w:rPr>
                <w:rFonts w:ascii="Arial" w:hAnsi="Arial" w:cs="Arial"/>
                <w:color w:val="000000"/>
                <w:sz w:val="24"/>
                <w:szCs w:val="24"/>
              </w:rPr>
            </w:pPr>
            <w:r>
              <w:rPr>
                <w:rFonts w:ascii="Arial" w:hAnsi="Arial" w:cs="Arial"/>
                <w:color w:val="000000"/>
                <w:sz w:val="24"/>
                <w:szCs w:val="24"/>
              </w:rPr>
              <w:t>163</w:t>
            </w:r>
            <w:r w:rsidR="00467B9E">
              <w:rPr>
                <w:rFonts w:ascii="Arial" w:hAnsi="Arial" w:cs="Arial"/>
                <w:color w:val="000000"/>
                <w:sz w:val="24"/>
                <w:szCs w:val="24"/>
              </w:rPr>
              <w:t>6231</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9F9F9"/>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Total visits</w:t>
            </w:r>
          </w:p>
        </w:tc>
        <w:tc>
          <w:tcPr>
            <w:tcW w:w="2700" w:type="dxa"/>
            <w:tcBorders>
              <w:top w:val="nil"/>
              <w:left w:val="nil"/>
              <w:bottom w:val="single" w:sz="4" w:space="0" w:color="auto"/>
              <w:right w:val="single" w:sz="4" w:space="0" w:color="auto"/>
            </w:tcBorders>
            <w:shd w:val="clear" w:color="000000" w:fill="FFFFFF"/>
            <w:noWrap/>
            <w:vAlign w:val="bottom"/>
            <w:hideMark/>
          </w:tcPr>
          <w:p w:rsidR="005E6B9F" w:rsidRPr="00A1333A" w:rsidRDefault="00467B9E" w:rsidP="00166BA8">
            <w:pPr>
              <w:spacing w:after="0"/>
              <w:jc w:val="both"/>
              <w:rPr>
                <w:rFonts w:ascii="Arial" w:hAnsi="Arial" w:cs="Arial"/>
                <w:color w:val="000000"/>
                <w:sz w:val="24"/>
                <w:szCs w:val="24"/>
              </w:rPr>
            </w:pPr>
            <w:r>
              <w:rPr>
                <w:rFonts w:ascii="Arial" w:hAnsi="Arial" w:cs="Arial"/>
                <w:color w:val="000000"/>
                <w:sz w:val="24"/>
                <w:szCs w:val="24"/>
              </w:rPr>
              <w:t>554804</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FFFFF"/>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Pages per visit</w:t>
            </w:r>
          </w:p>
        </w:tc>
        <w:tc>
          <w:tcPr>
            <w:tcW w:w="2700" w:type="dxa"/>
            <w:tcBorders>
              <w:top w:val="nil"/>
              <w:left w:val="nil"/>
              <w:bottom w:val="single" w:sz="4" w:space="0" w:color="auto"/>
              <w:right w:val="single" w:sz="4" w:space="0" w:color="auto"/>
            </w:tcBorders>
            <w:shd w:val="clear" w:color="auto" w:fill="auto"/>
            <w:noWrap/>
            <w:vAlign w:val="bottom"/>
            <w:hideMark/>
          </w:tcPr>
          <w:p w:rsidR="005E6B9F" w:rsidRPr="00A1333A" w:rsidRDefault="00467B9E" w:rsidP="00166BA8">
            <w:pPr>
              <w:spacing w:after="0"/>
              <w:jc w:val="both"/>
              <w:rPr>
                <w:rFonts w:ascii="Arial" w:hAnsi="Arial" w:cs="Arial"/>
                <w:color w:val="000000"/>
                <w:sz w:val="24"/>
                <w:szCs w:val="24"/>
              </w:rPr>
            </w:pPr>
            <w:r>
              <w:rPr>
                <w:rFonts w:ascii="Arial" w:hAnsi="Arial" w:cs="Arial"/>
                <w:color w:val="000000"/>
                <w:sz w:val="24"/>
                <w:szCs w:val="24"/>
              </w:rPr>
              <w:t>2.95</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9F9F9"/>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Average time on site</w:t>
            </w:r>
          </w:p>
        </w:tc>
        <w:tc>
          <w:tcPr>
            <w:tcW w:w="2700" w:type="dxa"/>
            <w:tcBorders>
              <w:top w:val="nil"/>
              <w:left w:val="nil"/>
              <w:bottom w:val="single" w:sz="4" w:space="0" w:color="auto"/>
              <w:right w:val="single" w:sz="4" w:space="0" w:color="auto"/>
            </w:tcBorders>
            <w:shd w:val="clear" w:color="auto" w:fill="auto"/>
            <w:noWrap/>
            <w:vAlign w:val="bottom"/>
            <w:hideMark/>
          </w:tcPr>
          <w:p w:rsidR="005E6B9F" w:rsidRPr="00A1333A" w:rsidRDefault="00467B9E" w:rsidP="00166BA8">
            <w:pPr>
              <w:spacing w:after="0"/>
              <w:jc w:val="both"/>
              <w:rPr>
                <w:rFonts w:ascii="Arial" w:hAnsi="Arial" w:cs="Arial"/>
                <w:color w:val="000000"/>
                <w:sz w:val="24"/>
                <w:szCs w:val="24"/>
              </w:rPr>
            </w:pPr>
            <w:r>
              <w:rPr>
                <w:rFonts w:ascii="Arial" w:hAnsi="Arial" w:cs="Arial"/>
                <w:color w:val="000000"/>
                <w:sz w:val="24"/>
                <w:szCs w:val="24"/>
              </w:rPr>
              <w:t>2 mins 06</w:t>
            </w:r>
            <w:r w:rsidR="005E6B9F" w:rsidRPr="00A1333A">
              <w:rPr>
                <w:rFonts w:ascii="Arial" w:hAnsi="Arial" w:cs="Arial"/>
                <w:color w:val="000000"/>
                <w:sz w:val="24"/>
                <w:szCs w:val="24"/>
              </w:rPr>
              <w:t xml:space="preserve"> secs</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FFFFF"/>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Bounce rate (home page)</w:t>
            </w:r>
          </w:p>
        </w:tc>
        <w:tc>
          <w:tcPr>
            <w:tcW w:w="2700" w:type="dxa"/>
            <w:tcBorders>
              <w:top w:val="nil"/>
              <w:left w:val="nil"/>
              <w:bottom w:val="single" w:sz="4" w:space="0" w:color="auto"/>
              <w:right w:val="single" w:sz="4" w:space="0" w:color="auto"/>
            </w:tcBorders>
            <w:shd w:val="clear" w:color="auto" w:fill="auto"/>
            <w:noWrap/>
            <w:vAlign w:val="bottom"/>
            <w:hideMark/>
          </w:tcPr>
          <w:p w:rsidR="005E6B9F" w:rsidRPr="00A1333A" w:rsidRDefault="00467B9E" w:rsidP="00166BA8">
            <w:pPr>
              <w:spacing w:after="0"/>
              <w:jc w:val="both"/>
              <w:rPr>
                <w:rFonts w:ascii="Arial" w:hAnsi="Arial" w:cs="Arial"/>
                <w:color w:val="000000"/>
                <w:sz w:val="24"/>
                <w:szCs w:val="24"/>
              </w:rPr>
            </w:pPr>
            <w:r>
              <w:rPr>
                <w:rFonts w:ascii="Arial" w:hAnsi="Arial" w:cs="Arial"/>
                <w:color w:val="000000"/>
                <w:sz w:val="24"/>
                <w:szCs w:val="24"/>
              </w:rPr>
              <w:t>35.18</w:t>
            </w:r>
            <w:r w:rsidR="005E6B9F" w:rsidRPr="00A1333A">
              <w:rPr>
                <w:rFonts w:ascii="Arial" w:hAnsi="Arial" w:cs="Arial"/>
                <w:color w:val="000000"/>
                <w:sz w:val="24"/>
                <w:szCs w:val="24"/>
              </w:rPr>
              <w:t>%</w:t>
            </w:r>
          </w:p>
        </w:tc>
      </w:tr>
      <w:tr w:rsidR="005E6B9F" w:rsidRPr="00A1333A" w:rsidTr="005E6B9F">
        <w:trPr>
          <w:trHeight w:val="300"/>
        </w:trPr>
        <w:tc>
          <w:tcPr>
            <w:tcW w:w="2700" w:type="dxa"/>
            <w:tcBorders>
              <w:top w:val="nil"/>
              <w:left w:val="single" w:sz="4" w:space="0" w:color="auto"/>
              <w:bottom w:val="single" w:sz="4" w:space="0" w:color="auto"/>
              <w:right w:val="single" w:sz="4" w:space="0" w:color="auto"/>
            </w:tcBorders>
            <w:shd w:val="clear" w:color="000000" w:fill="F9F9F9"/>
            <w:hideMark/>
          </w:tcPr>
          <w:p w:rsidR="005E6B9F" w:rsidRPr="00A1333A" w:rsidRDefault="005E6B9F" w:rsidP="00166BA8">
            <w:pPr>
              <w:spacing w:after="0"/>
              <w:jc w:val="both"/>
              <w:rPr>
                <w:rFonts w:ascii="Arial" w:hAnsi="Arial" w:cs="Arial"/>
                <w:color w:val="333333"/>
                <w:sz w:val="24"/>
                <w:szCs w:val="24"/>
              </w:rPr>
            </w:pPr>
            <w:r w:rsidRPr="00A1333A">
              <w:rPr>
                <w:rFonts w:ascii="Arial" w:hAnsi="Arial" w:cs="Arial"/>
                <w:color w:val="333333"/>
                <w:sz w:val="24"/>
                <w:szCs w:val="24"/>
              </w:rPr>
              <w:t>New visits</w:t>
            </w:r>
          </w:p>
        </w:tc>
        <w:tc>
          <w:tcPr>
            <w:tcW w:w="2700" w:type="dxa"/>
            <w:tcBorders>
              <w:top w:val="nil"/>
              <w:left w:val="nil"/>
              <w:bottom w:val="single" w:sz="4" w:space="0" w:color="auto"/>
              <w:right w:val="single" w:sz="4" w:space="0" w:color="auto"/>
            </w:tcBorders>
            <w:shd w:val="clear" w:color="auto" w:fill="auto"/>
            <w:noWrap/>
            <w:vAlign w:val="bottom"/>
            <w:hideMark/>
          </w:tcPr>
          <w:p w:rsidR="005E6B9F" w:rsidRPr="00A1333A" w:rsidRDefault="00467B9E" w:rsidP="00166BA8">
            <w:pPr>
              <w:spacing w:after="0"/>
              <w:jc w:val="both"/>
              <w:rPr>
                <w:rFonts w:ascii="Arial" w:hAnsi="Arial" w:cs="Arial"/>
                <w:color w:val="000000"/>
                <w:sz w:val="24"/>
                <w:szCs w:val="24"/>
              </w:rPr>
            </w:pPr>
            <w:r>
              <w:rPr>
                <w:rFonts w:ascii="Arial" w:hAnsi="Arial" w:cs="Arial"/>
                <w:color w:val="000000"/>
                <w:sz w:val="24"/>
                <w:szCs w:val="24"/>
              </w:rPr>
              <w:t>78</w:t>
            </w:r>
            <w:r w:rsidR="0012602B" w:rsidRPr="00A1333A">
              <w:rPr>
                <w:rFonts w:ascii="Arial" w:hAnsi="Arial" w:cs="Arial"/>
                <w:color w:val="000000"/>
                <w:sz w:val="24"/>
                <w:szCs w:val="24"/>
              </w:rPr>
              <w:t>.</w:t>
            </w:r>
            <w:r>
              <w:rPr>
                <w:rFonts w:ascii="Arial" w:hAnsi="Arial" w:cs="Arial"/>
                <w:color w:val="000000"/>
                <w:sz w:val="24"/>
                <w:szCs w:val="24"/>
              </w:rPr>
              <w:t>34</w:t>
            </w:r>
            <w:r w:rsidR="005E6B9F" w:rsidRPr="00A1333A">
              <w:rPr>
                <w:rFonts w:ascii="Arial" w:hAnsi="Arial" w:cs="Arial"/>
                <w:color w:val="000000"/>
                <w:sz w:val="24"/>
                <w:szCs w:val="24"/>
              </w:rPr>
              <w:t>%</w:t>
            </w:r>
          </w:p>
        </w:tc>
      </w:tr>
    </w:tbl>
    <w:p w:rsidR="005E6B9F" w:rsidRPr="00A1333A" w:rsidRDefault="005E6B9F" w:rsidP="00166BA8">
      <w:pPr>
        <w:pStyle w:val="ListParagraph"/>
        <w:spacing w:after="0"/>
        <w:ind w:left="0"/>
        <w:contextualSpacing w:val="0"/>
        <w:jc w:val="both"/>
        <w:outlineLvl w:val="0"/>
        <w:rPr>
          <w:rFonts w:ascii="Arial" w:hAnsi="Arial" w:cs="Arial"/>
          <w:b/>
          <w:noProof/>
          <w:sz w:val="24"/>
          <w:szCs w:val="24"/>
        </w:rPr>
      </w:pPr>
    </w:p>
    <w:tbl>
      <w:tblPr>
        <w:tblW w:w="7814" w:type="dxa"/>
        <w:tblInd w:w="91" w:type="dxa"/>
        <w:tblLook w:val="04A0" w:firstRow="1" w:lastRow="0" w:firstColumn="1" w:lastColumn="0" w:noHBand="0" w:noVBand="1"/>
      </w:tblPr>
      <w:tblGrid>
        <w:gridCol w:w="2144"/>
        <w:gridCol w:w="1217"/>
        <w:gridCol w:w="1390"/>
        <w:gridCol w:w="1377"/>
        <w:gridCol w:w="1686"/>
      </w:tblGrid>
      <w:tr w:rsidR="005E6B9F" w:rsidRPr="00A1333A" w:rsidTr="006C0C04">
        <w:trPr>
          <w:trHeight w:val="300"/>
        </w:trPr>
        <w:tc>
          <w:tcPr>
            <w:tcW w:w="781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B9F" w:rsidRPr="00A1333A" w:rsidRDefault="0012602B" w:rsidP="00166BA8">
            <w:pPr>
              <w:spacing w:after="0"/>
              <w:jc w:val="both"/>
              <w:rPr>
                <w:rFonts w:ascii="Arial" w:hAnsi="Arial" w:cs="Arial"/>
                <w:b/>
                <w:color w:val="000000"/>
                <w:sz w:val="24"/>
                <w:szCs w:val="24"/>
              </w:rPr>
            </w:pPr>
            <w:r w:rsidRPr="00A1333A">
              <w:rPr>
                <w:rFonts w:ascii="Arial" w:hAnsi="Arial" w:cs="Arial"/>
                <w:b/>
                <w:color w:val="000000"/>
                <w:sz w:val="24"/>
                <w:szCs w:val="24"/>
              </w:rPr>
              <w:t>Most popular datasets during Q</w:t>
            </w:r>
            <w:r w:rsidR="00BA2AAC">
              <w:rPr>
                <w:rFonts w:ascii="Arial" w:hAnsi="Arial" w:cs="Arial"/>
                <w:b/>
                <w:color w:val="000000"/>
                <w:sz w:val="24"/>
                <w:szCs w:val="24"/>
              </w:rPr>
              <w:t>4</w:t>
            </w:r>
            <w:r w:rsidR="005E6B9F" w:rsidRPr="00A1333A">
              <w:rPr>
                <w:rFonts w:ascii="Arial" w:hAnsi="Arial" w:cs="Arial"/>
                <w:b/>
                <w:color w:val="000000"/>
                <w:sz w:val="24"/>
                <w:szCs w:val="24"/>
              </w:rPr>
              <w:t xml:space="preserve"> 2013/14</w:t>
            </w:r>
            <w:r w:rsidRPr="00A1333A">
              <w:rPr>
                <w:rFonts w:ascii="Arial" w:hAnsi="Arial" w:cs="Arial"/>
                <w:b/>
                <w:color w:val="000000"/>
                <w:sz w:val="24"/>
                <w:szCs w:val="24"/>
              </w:rPr>
              <w:t xml:space="preserve"> (Views)</w:t>
            </w:r>
          </w:p>
        </w:tc>
      </w:tr>
      <w:tr w:rsidR="0012602B"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bottom"/>
            <w:hideMark/>
          </w:tcPr>
          <w:p w:rsidR="005E6B9F" w:rsidRPr="00A1333A" w:rsidRDefault="005E6B9F" w:rsidP="00166BA8">
            <w:pPr>
              <w:spacing w:after="0"/>
              <w:jc w:val="both"/>
              <w:rPr>
                <w:rFonts w:ascii="Arial" w:hAnsi="Arial" w:cs="Arial"/>
                <w:b/>
                <w:bCs/>
                <w:color w:val="000000"/>
                <w:sz w:val="24"/>
                <w:szCs w:val="24"/>
              </w:rPr>
            </w:pPr>
            <w:r w:rsidRPr="00A1333A">
              <w:rPr>
                <w:rFonts w:ascii="Arial" w:hAnsi="Arial" w:cs="Arial"/>
                <w:b/>
                <w:bCs/>
                <w:color w:val="000000"/>
                <w:sz w:val="24"/>
                <w:szCs w:val="24"/>
              </w:rPr>
              <w:t>Dataset</w:t>
            </w:r>
          </w:p>
        </w:tc>
        <w:tc>
          <w:tcPr>
            <w:tcW w:w="1217" w:type="dxa"/>
            <w:tcBorders>
              <w:top w:val="nil"/>
              <w:left w:val="nil"/>
              <w:bottom w:val="single" w:sz="4" w:space="0" w:color="auto"/>
              <w:right w:val="single" w:sz="4" w:space="0" w:color="auto"/>
            </w:tcBorders>
            <w:shd w:val="clear" w:color="auto" w:fill="auto"/>
            <w:vAlign w:val="bottom"/>
            <w:hideMark/>
          </w:tcPr>
          <w:p w:rsidR="005E6B9F" w:rsidRPr="00A1333A" w:rsidRDefault="00BA2AAC" w:rsidP="00166BA8">
            <w:pPr>
              <w:spacing w:after="0"/>
              <w:jc w:val="both"/>
              <w:rPr>
                <w:rFonts w:ascii="Arial" w:hAnsi="Arial" w:cs="Arial"/>
                <w:b/>
                <w:bCs/>
                <w:color w:val="000000"/>
                <w:sz w:val="24"/>
                <w:szCs w:val="24"/>
              </w:rPr>
            </w:pPr>
            <w:r>
              <w:rPr>
                <w:rFonts w:ascii="Arial" w:hAnsi="Arial" w:cs="Arial"/>
                <w:b/>
                <w:bCs/>
                <w:color w:val="000000"/>
                <w:sz w:val="24"/>
                <w:szCs w:val="24"/>
              </w:rPr>
              <w:t>January</w:t>
            </w:r>
          </w:p>
        </w:tc>
        <w:tc>
          <w:tcPr>
            <w:tcW w:w="1390" w:type="dxa"/>
            <w:tcBorders>
              <w:top w:val="nil"/>
              <w:left w:val="nil"/>
              <w:bottom w:val="single" w:sz="4" w:space="0" w:color="auto"/>
              <w:right w:val="single" w:sz="4" w:space="0" w:color="auto"/>
            </w:tcBorders>
            <w:shd w:val="clear" w:color="auto" w:fill="auto"/>
            <w:vAlign w:val="bottom"/>
            <w:hideMark/>
          </w:tcPr>
          <w:p w:rsidR="005E6B9F" w:rsidRPr="00A1333A" w:rsidRDefault="00BA2AAC" w:rsidP="00166BA8">
            <w:pPr>
              <w:spacing w:after="0"/>
              <w:jc w:val="both"/>
              <w:rPr>
                <w:rFonts w:ascii="Arial" w:hAnsi="Arial" w:cs="Arial"/>
                <w:b/>
                <w:bCs/>
                <w:color w:val="000000"/>
                <w:sz w:val="24"/>
                <w:szCs w:val="24"/>
              </w:rPr>
            </w:pPr>
            <w:r>
              <w:rPr>
                <w:rFonts w:ascii="Arial" w:hAnsi="Arial" w:cs="Arial"/>
                <w:b/>
                <w:bCs/>
                <w:color w:val="000000"/>
                <w:sz w:val="24"/>
                <w:szCs w:val="24"/>
              </w:rPr>
              <w:t>February</w:t>
            </w:r>
          </w:p>
        </w:tc>
        <w:tc>
          <w:tcPr>
            <w:tcW w:w="1377" w:type="dxa"/>
            <w:tcBorders>
              <w:top w:val="nil"/>
              <w:left w:val="nil"/>
              <w:bottom w:val="single" w:sz="4" w:space="0" w:color="auto"/>
              <w:right w:val="single" w:sz="4" w:space="0" w:color="auto"/>
            </w:tcBorders>
            <w:shd w:val="clear" w:color="auto" w:fill="auto"/>
            <w:vAlign w:val="bottom"/>
            <w:hideMark/>
          </w:tcPr>
          <w:p w:rsidR="005E6B9F" w:rsidRPr="00A1333A" w:rsidRDefault="00BA2AAC" w:rsidP="00166BA8">
            <w:pPr>
              <w:spacing w:after="0"/>
              <w:jc w:val="both"/>
              <w:rPr>
                <w:rFonts w:ascii="Arial" w:hAnsi="Arial" w:cs="Arial"/>
                <w:b/>
                <w:bCs/>
                <w:color w:val="000000"/>
                <w:sz w:val="24"/>
                <w:szCs w:val="24"/>
              </w:rPr>
            </w:pPr>
            <w:r>
              <w:rPr>
                <w:rFonts w:ascii="Arial" w:hAnsi="Arial" w:cs="Arial"/>
                <w:b/>
                <w:bCs/>
                <w:color w:val="000000"/>
                <w:sz w:val="24"/>
                <w:szCs w:val="24"/>
              </w:rPr>
              <w:t>March</w:t>
            </w:r>
          </w:p>
        </w:tc>
        <w:tc>
          <w:tcPr>
            <w:tcW w:w="1686" w:type="dxa"/>
            <w:tcBorders>
              <w:top w:val="nil"/>
              <w:left w:val="nil"/>
              <w:bottom w:val="single" w:sz="4" w:space="0" w:color="auto"/>
              <w:right w:val="single" w:sz="4" w:space="0" w:color="auto"/>
            </w:tcBorders>
            <w:shd w:val="clear" w:color="auto" w:fill="auto"/>
            <w:vAlign w:val="bottom"/>
            <w:hideMark/>
          </w:tcPr>
          <w:p w:rsidR="005E6B9F" w:rsidRPr="00A1333A" w:rsidRDefault="00BA2AAC" w:rsidP="00166BA8">
            <w:pPr>
              <w:spacing w:after="0"/>
              <w:jc w:val="both"/>
              <w:rPr>
                <w:rFonts w:ascii="Arial" w:hAnsi="Arial" w:cs="Arial"/>
                <w:b/>
                <w:bCs/>
                <w:color w:val="000000"/>
                <w:sz w:val="24"/>
                <w:szCs w:val="24"/>
              </w:rPr>
            </w:pPr>
            <w:r>
              <w:rPr>
                <w:rFonts w:ascii="Arial" w:hAnsi="Arial" w:cs="Arial"/>
                <w:b/>
                <w:bCs/>
                <w:color w:val="000000"/>
                <w:sz w:val="24"/>
                <w:szCs w:val="24"/>
              </w:rPr>
              <w:t>Total for Q4</w:t>
            </w:r>
            <w:r w:rsidR="005E6B9F" w:rsidRPr="00A1333A">
              <w:rPr>
                <w:rFonts w:ascii="Arial" w:hAnsi="Arial" w:cs="Arial"/>
                <w:b/>
                <w:bCs/>
                <w:color w:val="000000"/>
                <w:sz w:val="24"/>
                <w:szCs w:val="24"/>
              </w:rPr>
              <w:t xml:space="preserve"> 2013/14</w:t>
            </w:r>
          </w:p>
        </w:tc>
      </w:tr>
      <w:tr w:rsidR="00473F7E"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English Indices of Deprivation 2010</w:t>
            </w:r>
          </w:p>
        </w:tc>
        <w:tc>
          <w:tcPr>
            <w:tcW w:w="1217"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3595</w:t>
            </w:r>
          </w:p>
        </w:tc>
        <w:tc>
          <w:tcPr>
            <w:tcW w:w="1390"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3131</w:t>
            </w:r>
          </w:p>
        </w:tc>
        <w:tc>
          <w:tcPr>
            <w:tcW w:w="1377"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2936</w:t>
            </w:r>
          </w:p>
        </w:tc>
        <w:tc>
          <w:tcPr>
            <w:tcW w:w="1686"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9662</w:t>
            </w:r>
          </w:p>
        </w:tc>
      </w:tr>
      <w:tr w:rsidR="0012602B"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5E6B9F" w:rsidRPr="00A1333A" w:rsidRDefault="005E6B9F" w:rsidP="00166BA8">
            <w:pPr>
              <w:spacing w:after="0"/>
              <w:jc w:val="both"/>
              <w:rPr>
                <w:rFonts w:ascii="Arial" w:hAnsi="Arial" w:cs="Arial"/>
                <w:color w:val="000000"/>
                <w:sz w:val="24"/>
                <w:szCs w:val="24"/>
              </w:rPr>
            </w:pPr>
            <w:r w:rsidRPr="00A1333A">
              <w:rPr>
                <w:rFonts w:ascii="Arial" w:hAnsi="Arial" w:cs="Arial"/>
                <w:color w:val="000000"/>
                <w:sz w:val="24"/>
                <w:szCs w:val="24"/>
              </w:rPr>
              <w:t>Bona Vacantia Unclaimed Estates and Adverts</w:t>
            </w:r>
          </w:p>
        </w:tc>
        <w:tc>
          <w:tcPr>
            <w:tcW w:w="121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2309</w:t>
            </w:r>
          </w:p>
        </w:tc>
        <w:tc>
          <w:tcPr>
            <w:tcW w:w="1390"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1260</w:t>
            </w:r>
          </w:p>
        </w:tc>
        <w:tc>
          <w:tcPr>
            <w:tcW w:w="137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5413</w:t>
            </w:r>
          </w:p>
        </w:tc>
        <w:tc>
          <w:tcPr>
            <w:tcW w:w="1686"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8985</w:t>
            </w:r>
          </w:p>
        </w:tc>
      </w:tr>
      <w:tr w:rsidR="0012602B"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Live traffic information from the Highways Agency</w:t>
            </w:r>
          </w:p>
        </w:tc>
        <w:tc>
          <w:tcPr>
            <w:tcW w:w="121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2526</w:t>
            </w:r>
          </w:p>
        </w:tc>
        <w:tc>
          <w:tcPr>
            <w:tcW w:w="1390"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2834</w:t>
            </w:r>
          </w:p>
        </w:tc>
        <w:tc>
          <w:tcPr>
            <w:tcW w:w="137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2283</w:t>
            </w:r>
          </w:p>
        </w:tc>
        <w:tc>
          <w:tcPr>
            <w:tcW w:w="1686"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7643</w:t>
            </w:r>
          </w:p>
        </w:tc>
      </w:tr>
      <w:tr w:rsidR="009979C2"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9979C2"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Statistics on Obesity, Physical Activity and Diet, England</w:t>
            </w:r>
          </w:p>
        </w:tc>
        <w:tc>
          <w:tcPr>
            <w:tcW w:w="1217" w:type="dxa"/>
            <w:tcBorders>
              <w:top w:val="nil"/>
              <w:left w:val="nil"/>
              <w:bottom w:val="single" w:sz="4" w:space="0" w:color="auto"/>
              <w:right w:val="single" w:sz="4" w:space="0" w:color="auto"/>
            </w:tcBorders>
            <w:shd w:val="clear" w:color="auto" w:fill="auto"/>
            <w:vAlign w:val="center"/>
            <w:hideMark/>
          </w:tcPr>
          <w:p w:rsidR="009979C2"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1838</w:t>
            </w:r>
          </w:p>
        </w:tc>
        <w:tc>
          <w:tcPr>
            <w:tcW w:w="1390" w:type="dxa"/>
            <w:tcBorders>
              <w:top w:val="nil"/>
              <w:left w:val="nil"/>
              <w:bottom w:val="single" w:sz="4" w:space="0" w:color="auto"/>
              <w:right w:val="single" w:sz="4" w:space="0" w:color="auto"/>
            </w:tcBorders>
            <w:shd w:val="clear" w:color="auto" w:fill="auto"/>
            <w:vAlign w:val="center"/>
            <w:hideMark/>
          </w:tcPr>
          <w:p w:rsidR="009979C2"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2088</w:t>
            </w:r>
          </w:p>
        </w:tc>
        <w:tc>
          <w:tcPr>
            <w:tcW w:w="1377" w:type="dxa"/>
            <w:tcBorders>
              <w:top w:val="nil"/>
              <w:left w:val="nil"/>
              <w:bottom w:val="single" w:sz="4" w:space="0" w:color="auto"/>
              <w:right w:val="single" w:sz="4" w:space="0" w:color="auto"/>
            </w:tcBorders>
            <w:shd w:val="clear" w:color="auto" w:fill="auto"/>
            <w:vAlign w:val="center"/>
            <w:hideMark/>
          </w:tcPr>
          <w:p w:rsidR="009979C2"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2833</w:t>
            </w:r>
          </w:p>
        </w:tc>
        <w:tc>
          <w:tcPr>
            <w:tcW w:w="1686" w:type="dxa"/>
            <w:tcBorders>
              <w:top w:val="nil"/>
              <w:left w:val="nil"/>
              <w:bottom w:val="single" w:sz="4" w:space="0" w:color="auto"/>
              <w:right w:val="single" w:sz="4" w:space="0" w:color="auto"/>
            </w:tcBorders>
            <w:shd w:val="clear" w:color="auto" w:fill="auto"/>
            <w:vAlign w:val="center"/>
            <w:hideMark/>
          </w:tcPr>
          <w:p w:rsidR="009979C2"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6759</w:t>
            </w:r>
          </w:p>
        </w:tc>
      </w:tr>
      <w:tr w:rsidR="00473F7E"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Social Trends</w:t>
            </w:r>
          </w:p>
        </w:tc>
        <w:tc>
          <w:tcPr>
            <w:tcW w:w="1217"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2135</w:t>
            </w:r>
          </w:p>
        </w:tc>
        <w:tc>
          <w:tcPr>
            <w:tcW w:w="1390"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2063</w:t>
            </w:r>
          </w:p>
        </w:tc>
        <w:tc>
          <w:tcPr>
            <w:tcW w:w="1377"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1998</w:t>
            </w:r>
          </w:p>
        </w:tc>
        <w:tc>
          <w:tcPr>
            <w:tcW w:w="1686" w:type="dxa"/>
            <w:tcBorders>
              <w:top w:val="nil"/>
              <w:left w:val="nil"/>
              <w:bottom w:val="single" w:sz="4" w:space="0" w:color="auto"/>
              <w:right w:val="single" w:sz="4" w:space="0" w:color="auto"/>
            </w:tcBorders>
            <w:shd w:val="clear" w:color="auto" w:fill="auto"/>
            <w:vAlign w:val="center"/>
            <w:hideMark/>
          </w:tcPr>
          <w:p w:rsidR="00473F7E"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6196</w:t>
            </w:r>
          </w:p>
        </w:tc>
      </w:tr>
      <w:tr w:rsidR="000B0764"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0B0764" w:rsidRPr="00A1333A" w:rsidRDefault="0036741A" w:rsidP="00166BA8">
            <w:pPr>
              <w:spacing w:after="0"/>
              <w:jc w:val="both"/>
              <w:rPr>
                <w:rFonts w:ascii="Arial" w:hAnsi="Arial" w:cs="Arial"/>
                <w:color w:val="000000"/>
                <w:sz w:val="24"/>
                <w:szCs w:val="24"/>
              </w:rPr>
            </w:pPr>
            <w:r>
              <w:rPr>
                <w:rFonts w:ascii="Arial" w:hAnsi="Arial" w:cs="Arial"/>
                <w:color w:val="000000"/>
                <w:sz w:val="24"/>
                <w:szCs w:val="24"/>
              </w:rPr>
              <w:t xml:space="preserve">Building Price  &amp; </w:t>
            </w:r>
            <w:r w:rsidR="000B0764" w:rsidRPr="00A1333A">
              <w:rPr>
                <w:rFonts w:ascii="Arial" w:hAnsi="Arial" w:cs="Arial"/>
                <w:color w:val="000000"/>
                <w:sz w:val="24"/>
                <w:szCs w:val="24"/>
              </w:rPr>
              <w:t>Cost Indices</w:t>
            </w:r>
          </w:p>
        </w:tc>
        <w:tc>
          <w:tcPr>
            <w:tcW w:w="1217"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1972</w:t>
            </w:r>
          </w:p>
        </w:tc>
        <w:tc>
          <w:tcPr>
            <w:tcW w:w="1390"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1932</w:t>
            </w:r>
          </w:p>
        </w:tc>
        <w:tc>
          <w:tcPr>
            <w:tcW w:w="1377"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2144</w:t>
            </w:r>
          </w:p>
        </w:tc>
        <w:tc>
          <w:tcPr>
            <w:tcW w:w="1686"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6048</w:t>
            </w:r>
          </w:p>
        </w:tc>
      </w:tr>
      <w:tr w:rsidR="000B0764"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Road Safety Data</w:t>
            </w:r>
          </w:p>
        </w:tc>
        <w:tc>
          <w:tcPr>
            <w:tcW w:w="1217"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1857</w:t>
            </w:r>
          </w:p>
        </w:tc>
        <w:tc>
          <w:tcPr>
            <w:tcW w:w="1390"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1731</w:t>
            </w:r>
          </w:p>
        </w:tc>
        <w:tc>
          <w:tcPr>
            <w:tcW w:w="1377"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1863</w:t>
            </w:r>
          </w:p>
        </w:tc>
        <w:tc>
          <w:tcPr>
            <w:tcW w:w="1686" w:type="dxa"/>
            <w:tcBorders>
              <w:top w:val="nil"/>
              <w:left w:val="nil"/>
              <w:bottom w:val="single" w:sz="4" w:space="0" w:color="auto"/>
              <w:right w:val="single" w:sz="4" w:space="0" w:color="auto"/>
            </w:tcBorders>
            <w:shd w:val="clear" w:color="auto" w:fill="auto"/>
            <w:vAlign w:val="center"/>
            <w:hideMark/>
          </w:tcPr>
          <w:p w:rsidR="000B0764"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5451</w:t>
            </w:r>
          </w:p>
        </w:tc>
      </w:tr>
      <w:tr w:rsidR="0012602B" w:rsidRPr="00A1333A" w:rsidTr="006C0C04">
        <w:trPr>
          <w:trHeight w:val="6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Health Survey for England</w:t>
            </w:r>
          </w:p>
        </w:tc>
        <w:tc>
          <w:tcPr>
            <w:tcW w:w="1217" w:type="dxa"/>
            <w:tcBorders>
              <w:top w:val="nil"/>
              <w:left w:val="nil"/>
              <w:bottom w:val="single" w:sz="4" w:space="0" w:color="auto"/>
              <w:right w:val="single" w:sz="4" w:space="0" w:color="auto"/>
            </w:tcBorders>
            <w:shd w:val="clear" w:color="auto" w:fill="auto"/>
            <w:vAlign w:val="center"/>
            <w:hideMark/>
          </w:tcPr>
          <w:p w:rsidR="005E6B9F" w:rsidRPr="00A1333A" w:rsidRDefault="002E788D" w:rsidP="00166BA8">
            <w:pPr>
              <w:spacing w:after="0"/>
              <w:jc w:val="both"/>
              <w:rPr>
                <w:rFonts w:ascii="Arial" w:hAnsi="Arial" w:cs="Arial"/>
                <w:color w:val="000000"/>
                <w:sz w:val="24"/>
                <w:szCs w:val="24"/>
              </w:rPr>
            </w:pPr>
            <w:r w:rsidRPr="00A1333A">
              <w:rPr>
                <w:rFonts w:ascii="Arial" w:hAnsi="Arial" w:cs="Arial"/>
                <w:color w:val="000000"/>
                <w:sz w:val="24"/>
                <w:szCs w:val="24"/>
              </w:rPr>
              <w:t>1</w:t>
            </w:r>
            <w:r w:rsidR="00BA2AAC">
              <w:rPr>
                <w:rFonts w:ascii="Arial" w:hAnsi="Arial" w:cs="Arial"/>
                <w:color w:val="000000"/>
                <w:sz w:val="24"/>
                <w:szCs w:val="24"/>
              </w:rPr>
              <w:t>570</w:t>
            </w:r>
          </w:p>
        </w:tc>
        <w:tc>
          <w:tcPr>
            <w:tcW w:w="1390"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1626</w:t>
            </w:r>
          </w:p>
        </w:tc>
        <w:tc>
          <w:tcPr>
            <w:tcW w:w="137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1980</w:t>
            </w:r>
          </w:p>
        </w:tc>
        <w:tc>
          <w:tcPr>
            <w:tcW w:w="1686"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5176</w:t>
            </w:r>
          </w:p>
        </w:tc>
      </w:tr>
      <w:tr w:rsidR="0012602B" w:rsidRPr="00A1333A" w:rsidTr="006C0C04">
        <w:trPr>
          <w:trHeight w:val="300"/>
        </w:trPr>
        <w:tc>
          <w:tcPr>
            <w:tcW w:w="2144" w:type="dxa"/>
            <w:tcBorders>
              <w:top w:val="nil"/>
              <w:left w:val="single" w:sz="4" w:space="0" w:color="auto"/>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Driving Licence Data</w:t>
            </w:r>
          </w:p>
        </w:tc>
        <w:tc>
          <w:tcPr>
            <w:tcW w:w="121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1567</w:t>
            </w:r>
          </w:p>
        </w:tc>
        <w:tc>
          <w:tcPr>
            <w:tcW w:w="1390"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1577</w:t>
            </w:r>
          </w:p>
        </w:tc>
        <w:tc>
          <w:tcPr>
            <w:tcW w:w="1377"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1769</w:t>
            </w:r>
          </w:p>
        </w:tc>
        <w:tc>
          <w:tcPr>
            <w:tcW w:w="1686" w:type="dxa"/>
            <w:tcBorders>
              <w:top w:val="nil"/>
              <w:left w:val="nil"/>
              <w:bottom w:val="single" w:sz="4" w:space="0" w:color="auto"/>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4913</w:t>
            </w:r>
          </w:p>
        </w:tc>
      </w:tr>
      <w:tr w:rsidR="0012602B" w:rsidRPr="00A1333A" w:rsidTr="006C0C04">
        <w:trPr>
          <w:trHeight w:val="300"/>
        </w:trPr>
        <w:tc>
          <w:tcPr>
            <w:tcW w:w="2144" w:type="dxa"/>
            <w:tcBorders>
              <w:top w:val="nil"/>
              <w:left w:val="single" w:sz="4" w:space="0" w:color="auto"/>
              <w:bottom w:val="nil"/>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sidRPr="00BA2AAC">
              <w:rPr>
                <w:rFonts w:ascii="Arial" w:hAnsi="Arial" w:cs="Arial"/>
                <w:color w:val="000000"/>
                <w:sz w:val="24"/>
                <w:szCs w:val="24"/>
              </w:rPr>
              <w:t>Lower Layer Super Output Area (LSOA) boundaries</w:t>
            </w:r>
          </w:p>
        </w:tc>
        <w:tc>
          <w:tcPr>
            <w:tcW w:w="1217" w:type="dxa"/>
            <w:tcBorders>
              <w:top w:val="nil"/>
              <w:left w:val="nil"/>
              <w:bottom w:val="nil"/>
              <w:right w:val="single" w:sz="4" w:space="0" w:color="auto"/>
            </w:tcBorders>
            <w:shd w:val="clear" w:color="auto" w:fill="auto"/>
            <w:vAlign w:val="center"/>
            <w:hideMark/>
          </w:tcPr>
          <w:p w:rsidR="005E6B9F" w:rsidRPr="00A1333A" w:rsidRDefault="00F744D7" w:rsidP="00166BA8">
            <w:pPr>
              <w:spacing w:after="0"/>
              <w:jc w:val="both"/>
              <w:rPr>
                <w:rFonts w:ascii="Arial" w:hAnsi="Arial" w:cs="Arial"/>
                <w:color w:val="000000"/>
                <w:sz w:val="24"/>
                <w:szCs w:val="24"/>
              </w:rPr>
            </w:pPr>
            <w:r w:rsidRPr="00A1333A">
              <w:rPr>
                <w:rFonts w:ascii="Arial" w:hAnsi="Arial" w:cs="Arial"/>
                <w:color w:val="000000"/>
                <w:sz w:val="24"/>
                <w:szCs w:val="24"/>
              </w:rPr>
              <w:t>1</w:t>
            </w:r>
            <w:r w:rsidR="00BA2AAC">
              <w:rPr>
                <w:rFonts w:ascii="Arial" w:hAnsi="Arial" w:cs="Arial"/>
                <w:color w:val="000000"/>
                <w:sz w:val="24"/>
                <w:szCs w:val="24"/>
              </w:rPr>
              <w:t>441</w:t>
            </w:r>
          </w:p>
        </w:tc>
        <w:tc>
          <w:tcPr>
            <w:tcW w:w="1390" w:type="dxa"/>
            <w:tcBorders>
              <w:top w:val="nil"/>
              <w:left w:val="nil"/>
              <w:bottom w:val="nil"/>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1447</w:t>
            </w:r>
          </w:p>
        </w:tc>
        <w:tc>
          <w:tcPr>
            <w:tcW w:w="1377" w:type="dxa"/>
            <w:tcBorders>
              <w:top w:val="nil"/>
              <w:left w:val="nil"/>
              <w:bottom w:val="nil"/>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1483</w:t>
            </w:r>
          </w:p>
        </w:tc>
        <w:tc>
          <w:tcPr>
            <w:tcW w:w="1686" w:type="dxa"/>
            <w:tcBorders>
              <w:top w:val="nil"/>
              <w:left w:val="nil"/>
              <w:bottom w:val="nil"/>
              <w:right w:val="single" w:sz="4" w:space="0" w:color="auto"/>
            </w:tcBorders>
            <w:shd w:val="clear" w:color="auto" w:fill="auto"/>
            <w:vAlign w:val="center"/>
            <w:hideMark/>
          </w:tcPr>
          <w:p w:rsidR="005E6B9F" w:rsidRPr="00A1333A" w:rsidRDefault="00BA2AAC" w:rsidP="00166BA8">
            <w:pPr>
              <w:spacing w:after="0"/>
              <w:jc w:val="both"/>
              <w:rPr>
                <w:rFonts w:ascii="Arial" w:hAnsi="Arial" w:cs="Arial"/>
                <w:color w:val="000000"/>
                <w:sz w:val="24"/>
                <w:szCs w:val="24"/>
              </w:rPr>
            </w:pPr>
            <w:r>
              <w:rPr>
                <w:rFonts w:ascii="Arial" w:hAnsi="Arial" w:cs="Arial"/>
                <w:color w:val="000000"/>
                <w:sz w:val="24"/>
                <w:szCs w:val="24"/>
              </w:rPr>
              <w:t>4317</w:t>
            </w:r>
          </w:p>
        </w:tc>
      </w:tr>
      <w:tr w:rsidR="00BA2AAC" w:rsidRPr="00A1333A" w:rsidTr="006C0C04">
        <w:trPr>
          <w:trHeight w:val="300"/>
        </w:trPr>
        <w:tc>
          <w:tcPr>
            <w:tcW w:w="2144" w:type="dxa"/>
            <w:tcBorders>
              <w:top w:val="nil"/>
              <w:left w:val="single" w:sz="4" w:space="0" w:color="auto"/>
              <w:bottom w:val="single" w:sz="4" w:space="0" w:color="auto"/>
              <w:right w:val="single" w:sz="4" w:space="0" w:color="auto"/>
            </w:tcBorders>
            <w:shd w:val="clear" w:color="auto" w:fill="auto"/>
            <w:vAlign w:val="center"/>
          </w:tcPr>
          <w:p w:rsidR="00BA2AAC" w:rsidRPr="00BA2AAC" w:rsidRDefault="00BA2AAC" w:rsidP="00166BA8">
            <w:pPr>
              <w:spacing w:after="0"/>
              <w:jc w:val="both"/>
              <w:rPr>
                <w:rFonts w:ascii="Arial" w:hAnsi="Arial" w:cs="Arial"/>
                <w:color w:val="000000"/>
                <w:sz w:val="24"/>
                <w:szCs w:val="24"/>
              </w:rPr>
            </w:pPr>
          </w:p>
        </w:tc>
        <w:tc>
          <w:tcPr>
            <w:tcW w:w="1217" w:type="dxa"/>
            <w:tcBorders>
              <w:top w:val="nil"/>
              <w:left w:val="nil"/>
              <w:bottom w:val="single" w:sz="4" w:space="0" w:color="auto"/>
              <w:right w:val="single" w:sz="4" w:space="0" w:color="auto"/>
            </w:tcBorders>
            <w:shd w:val="clear" w:color="auto" w:fill="auto"/>
            <w:vAlign w:val="center"/>
          </w:tcPr>
          <w:p w:rsidR="00BA2AAC" w:rsidRPr="00A1333A" w:rsidRDefault="00BA2AAC" w:rsidP="00166BA8">
            <w:pPr>
              <w:spacing w:after="0"/>
              <w:jc w:val="both"/>
              <w:rPr>
                <w:rFonts w:ascii="Arial" w:hAnsi="Arial" w:cs="Arial"/>
                <w:color w:val="000000"/>
                <w:sz w:val="24"/>
                <w:szCs w:val="24"/>
              </w:rPr>
            </w:pPr>
          </w:p>
        </w:tc>
        <w:tc>
          <w:tcPr>
            <w:tcW w:w="1390" w:type="dxa"/>
            <w:tcBorders>
              <w:top w:val="nil"/>
              <w:left w:val="nil"/>
              <w:bottom w:val="single" w:sz="4" w:space="0" w:color="auto"/>
              <w:right w:val="single" w:sz="4" w:space="0" w:color="auto"/>
            </w:tcBorders>
            <w:shd w:val="clear" w:color="auto" w:fill="auto"/>
            <w:vAlign w:val="center"/>
          </w:tcPr>
          <w:p w:rsidR="00BA2AAC" w:rsidRDefault="00BA2AAC" w:rsidP="00166BA8">
            <w:pPr>
              <w:spacing w:after="0"/>
              <w:jc w:val="both"/>
              <w:rPr>
                <w:rFonts w:ascii="Arial" w:hAnsi="Arial" w:cs="Arial"/>
                <w:color w:val="000000"/>
                <w:sz w:val="24"/>
                <w:szCs w:val="24"/>
              </w:rPr>
            </w:pPr>
          </w:p>
        </w:tc>
        <w:tc>
          <w:tcPr>
            <w:tcW w:w="1377" w:type="dxa"/>
            <w:tcBorders>
              <w:top w:val="nil"/>
              <w:left w:val="nil"/>
              <w:bottom w:val="single" w:sz="4" w:space="0" w:color="auto"/>
              <w:right w:val="single" w:sz="4" w:space="0" w:color="auto"/>
            </w:tcBorders>
            <w:shd w:val="clear" w:color="auto" w:fill="auto"/>
            <w:vAlign w:val="center"/>
          </w:tcPr>
          <w:p w:rsidR="00BA2AAC" w:rsidRDefault="00BA2AAC" w:rsidP="00166BA8">
            <w:pPr>
              <w:spacing w:after="0"/>
              <w:jc w:val="both"/>
              <w:rPr>
                <w:rFonts w:ascii="Arial" w:hAnsi="Arial" w:cs="Arial"/>
                <w:color w:val="000000"/>
                <w:sz w:val="24"/>
                <w:szCs w:val="24"/>
              </w:rPr>
            </w:pPr>
          </w:p>
        </w:tc>
        <w:tc>
          <w:tcPr>
            <w:tcW w:w="1686" w:type="dxa"/>
            <w:tcBorders>
              <w:top w:val="nil"/>
              <w:left w:val="nil"/>
              <w:bottom w:val="single" w:sz="4" w:space="0" w:color="auto"/>
              <w:right w:val="single" w:sz="4" w:space="0" w:color="auto"/>
            </w:tcBorders>
            <w:shd w:val="clear" w:color="auto" w:fill="auto"/>
            <w:vAlign w:val="center"/>
          </w:tcPr>
          <w:p w:rsidR="00BA2AAC" w:rsidRDefault="00BA2AAC" w:rsidP="00166BA8">
            <w:pPr>
              <w:spacing w:after="0"/>
              <w:jc w:val="both"/>
              <w:rPr>
                <w:rFonts w:ascii="Arial" w:hAnsi="Arial" w:cs="Arial"/>
                <w:color w:val="000000"/>
                <w:sz w:val="24"/>
                <w:szCs w:val="24"/>
              </w:rPr>
            </w:pPr>
          </w:p>
        </w:tc>
      </w:tr>
    </w:tbl>
    <w:p w:rsidR="002D56B4" w:rsidRPr="00A1333A" w:rsidRDefault="002D56B4" w:rsidP="00166BA8">
      <w:pPr>
        <w:autoSpaceDE w:val="0"/>
        <w:autoSpaceDN w:val="0"/>
        <w:adjustRightInd w:val="0"/>
        <w:spacing w:after="0"/>
        <w:jc w:val="both"/>
        <w:rPr>
          <w:rFonts w:ascii="Arial" w:hAnsi="Arial" w:cs="Arial"/>
          <w:b/>
          <w:sz w:val="24"/>
          <w:szCs w:val="24"/>
        </w:rPr>
      </w:pPr>
      <w:r w:rsidRPr="00A1333A">
        <w:rPr>
          <w:rFonts w:ascii="Arial" w:hAnsi="Arial" w:cs="Arial"/>
          <w:b/>
          <w:color w:val="000000"/>
          <w:sz w:val="24"/>
          <w:szCs w:val="24"/>
        </w:rPr>
        <w:t>Annex A</w:t>
      </w:r>
    </w:p>
    <w:p w:rsidR="00AF40D0" w:rsidRDefault="00AF40D0" w:rsidP="00166BA8">
      <w:pPr>
        <w:autoSpaceDE w:val="0"/>
        <w:autoSpaceDN w:val="0"/>
        <w:adjustRightInd w:val="0"/>
        <w:spacing w:after="0"/>
        <w:jc w:val="both"/>
        <w:rPr>
          <w:rFonts w:ascii="Arial" w:hAnsi="Arial" w:cs="Arial"/>
          <w:b/>
          <w:color w:val="000000"/>
          <w:sz w:val="24"/>
          <w:szCs w:val="24"/>
        </w:rPr>
      </w:pPr>
    </w:p>
    <w:p w:rsidR="002D56B4" w:rsidRPr="00A1333A" w:rsidRDefault="002D56B4" w:rsidP="00166BA8">
      <w:pPr>
        <w:autoSpaceDE w:val="0"/>
        <w:autoSpaceDN w:val="0"/>
        <w:adjustRightInd w:val="0"/>
        <w:spacing w:after="0"/>
        <w:jc w:val="both"/>
        <w:rPr>
          <w:rFonts w:ascii="Arial" w:hAnsi="Arial" w:cs="Arial"/>
          <w:b/>
          <w:color w:val="000000"/>
          <w:sz w:val="24"/>
          <w:szCs w:val="24"/>
        </w:rPr>
      </w:pPr>
      <w:r w:rsidRPr="00A1333A">
        <w:rPr>
          <w:rFonts w:ascii="Arial" w:hAnsi="Arial" w:cs="Arial"/>
          <w:b/>
          <w:color w:val="000000"/>
          <w:sz w:val="24"/>
          <w:szCs w:val="24"/>
        </w:rPr>
        <w:t>Public Data Principles</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sz w:val="24"/>
          <w:szCs w:val="24"/>
        </w:rPr>
        <w:t>Public data policy and practice</w:t>
      </w:r>
      <w:r w:rsidRPr="00A1333A">
        <w:rPr>
          <w:rFonts w:ascii="Arial" w:hAnsi="Arial" w:cs="Arial"/>
          <w:color w:val="000000"/>
          <w:sz w:val="24"/>
          <w:szCs w:val="24"/>
        </w:rPr>
        <w:t xml:space="preserve"> will be clearly driven by the public and businesses that want and use the data, including what data is released when and in what form.</w:t>
      </w:r>
    </w:p>
    <w:p w:rsidR="002D56B4" w:rsidRPr="00A1333A" w:rsidRDefault="002D56B4" w:rsidP="00166BA8">
      <w:pPr>
        <w:autoSpaceDE w:val="0"/>
        <w:autoSpaceDN w:val="0"/>
        <w:adjustRightInd w:val="0"/>
        <w:spacing w:after="0"/>
        <w:ind w:left="72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published in reusable, machine-readable form.</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released under the same open licence which enables free reuse, including commercial reuse.</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available and easy to find through a single, easy-to-use, online access point (</w:t>
      </w:r>
      <w:r w:rsidRPr="00A1333A">
        <w:rPr>
          <w:rFonts w:ascii="Arial" w:hAnsi="Arial" w:cs="Arial"/>
          <w:color w:val="0000FF"/>
          <w:sz w:val="24"/>
          <w:szCs w:val="24"/>
        </w:rPr>
        <w:t>www.data.</w:t>
      </w:r>
      <w:r w:rsidR="00C5018E" w:rsidRPr="00A1333A">
        <w:rPr>
          <w:rFonts w:ascii="Arial" w:hAnsi="Arial" w:cs="Arial"/>
          <w:color w:val="0000FF"/>
          <w:sz w:val="24"/>
          <w:szCs w:val="24"/>
        </w:rPr>
        <w:t>gov.uk</w:t>
      </w:r>
      <w:r w:rsidRPr="00A1333A">
        <w:rPr>
          <w:rFonts w:ascii="Arial" w:hAnsi="Arial" w:cs="Arial"/>
          <w:color w:val="000000"/>
          <w:sz w:val="24"/>
          <w:szCs w:val="24"/>
        </w:rPr>
        <w:t>).</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published using open standards, and following relevant recommendations of the World Wide Web Consortium (W3C).</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from different departments about the same subject will be published in the same, standard formats and with the same definitions.</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04638E" w:rsidP="00166BA8">
      <w:pPr>
        <w:numPr>
          <w:ilvl w:val="0"/>
          <w:numId w:val="2"/>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Public data underlying the g</w:t>
      </w:r>
      <w:r w:rsidR="002D56B4" w:rsidRPr="00A1333A">
        <w:rPr>
          <w:rFonts w:ascii="Arial" w:hAnsi="Arial" w:cs="Arial"/>
          <w:color w:val="000000"/>
          <w:sz w:val="24"/>
          <w:szCs w:val="24"/>
        </w:rPr>
        <w:t>overnment’s own websites will be published in reusable form.</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timely and fine-grained.</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Release data quickly, and then work to make sure that it is available in open standard formats, including linked data forms.</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freely available to use in any lawful way.</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data will be available without application or registration, and without requiring details of the user.</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bodies should actively encourage the reuse of their public data.</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bodies should maintain and publish inventories of their data holdings.</w:t>
      </w:r>
    </w:p>
    <w:p w:rsidR="002D56B4" w:rsidRPr="00A1333A" w:rsidRDefault="002D56B4" w:rsidP="00166BA8">
      <w:pPr>
        <w:autoSpaceDE w:val="0"/>
        <w:autoSpaceDN w:val="0"/>
        <w:adjustRightInd w:val="0"/>
        <w:spacing w:after="0"/>
        <w:jc w:val="both"/>
        <w:rPr>
          <w:rFonts w:ascii="Arial" w:hAnsi="Arial" w:cs="Arial"/>
          <w:color w:val="000000"/>
          <w:sz w:val="24"/>
          <w:szCs w:val="24"/>
        </w:rPr>
      </w:pPr>
    </w:p>
    <w:p w:rsidR="002D56B4" w:rsidRPr="00A1333A" w:rsidRDefault="002D56B4" w:rsidP="00166BA8">
      <w:pPr>
        <w:numPr>
          <w:ilvl w:val="0"/>
          <w:numId w:val="2"/>
        </w:numPr>
        <w:autoSpaceDE w:val="0"/>
        <w:autoSpaceDN w:val="0"/>
        <w:adjustRightInd w:val="0"/>
        <w:spacing w:after="0"/>
        <w:jc w:val="both"/>
        <w:rPr>
          <w:rFonts w:ascii="Arial" w:hAnsi="Arial" w:cs="Arial"/>
          <w:color w:val="000000"/>
          <w:sz w:val="24"/>
          <w:szCs w:val="24"/>
        </w:rPr>
      </w:pPr>
      <w:r w:rsidRPr="00A1333A">
        <w:rPr>
          <w:rFonts w:ascii="Arial" w:hAnsi="Arial" w:cs="Arial"/>
          <w:color w:val="000000"/>
          <w:sz w:val="24"/>
          <w:szCs w:val="24"/>
        </w:rPr>
        <w:t>Public bodies should publish relevant metadata about their datasets and this should be available through a single online access point; and they should publish supporting descriptions of the format provenance and meaning of the data.</w:t>
      </w:r>
    </w:p>
    <w:p w:rsidR="001E39ED" w:rsidRDefault="001E39ED" w:rsidP="00166BA8">
      <w:pPr>
        <w:autoSpaceDE w:val="0"/>
        <w:autoSpaceDN w:val="0"/>
        <w:adjustRightInd w:val="0"/>
        <w:spacing w:after="0"/>
        <w:jc w:val="both"/>
        <w:rPr>
          <w:rFonts w:ascii="Arial" w:hAnsi="Arial" w:cs="Arial"/>
          <w:b/>
          <w:color w:val="000000"/>
          <w:sz w:val="24"/>
          <w:szCs w:val="24"/>
        </w:rPr>
      </w:pPr>
    </w:p>
    <w:p w:rsidR="002D56B4" w:rsidRPr="00A1333A" w:rsidRDefault="002D56B4" w:rsidP="00166BA8">
      <w:pPr>
        <w:autoSpaceDE w:val="0"/>
        <w:autoSpaceDN w:val="0"/>
        <w:adjustRightInd w:val="0"/>
        <w:spacing w:after="0"/>
        <w:jc w:val="both"/>
        <w:rPr>
          <w:rFonts w:ascii="Arial" w:hAnsi="Arial" w:cs="Arial"/>
          <w:color w:val="000000"/>
          <w:sz w:val="24"/>
          <w:szCs w:val="24"/>
        </w:rPr>
      </w:pPr>
      <w:r w:rsidRPr="00A1333A">
        <w:rPr>
          <w:rFonts w:ascii="Arial" w:hAnsi="Arial" w:cs="Arial"/>
          <w:b/>
          <w:color w:val="000000"/>
          <w:sz w:val="24"/>
          <w:szCs w:val="24"/>
        </w:rPr>
        <w:t>Annex B</w:t>
      </w:r>
    </w:p>
    <w:p w:rsidR="002D56B4" w:rsidRPr="00A1333A" w:rsidRDefault="002D56B4" w:rsidP="00166BA8">
      <w:pPr>
        <w:pStyle w:val="ListParagraph"/>
        <w:autoSpaceDE w:val="0"/>
        <w:autoSpaceDN w:val="0"/>
        <w:adjustRightInd w:val="0"/>
        <w:spacing w:after="0"/>
        <w:ind w:left="0"/>
        <w:contextualSpacing w:val="0"/>
        <w:jc w:val="both"/>
        <w:rPr>
          <w:rFonts w:ascii="Arial" w:hAnsi="Arial" w:cs="Arial"/>
          <w:b/>
          <w:color w:val="000000"/>
          <w:sz w:val="24"/>
          <w:szCs w:val="24"/>
        </w:rPr>
      </w:pPr>
    </w:p>
    <w:p w:rsidR="002D56B4" w:rsidRPr="00A1333A" w:rsidRDefault="002D56B4" w:rsidP="00166BA8">
      <w:pPr>
        <w:pStyle w:val="ListParagraph"/>
        <w:autoSpaceDE w:val="0"/>
        <w:autoSpaceDN w:val="0"/>
        <w:adjustRightInd w:val="0"/>
        <w:spacing w:after="0"/>
        <w:ind w:left="0"/>
        <w:contextualSpacing w:val="0"/>
        <w:jc w:val="both"/>
        <w:rPr>
          <w:rFonts w:ascii="Arial" w:hAnsi="Arial" w:cs="Arial"/>
          <w:b/>
          <w:color w:val="000000"/>
          <w:sz w:val="24"/>
          <w:szCs w:val="24"/>
        </w:rPr>
      </w:pPr>
      <w:r w:rsidRPr="00A1333A">
        <w:rPr>
          <w:rFonts w:ascii="Arial" w:hAnsi="Arial" w:cs="Arial"/>
          <w:b/>
          <w:color w:val="000000"/>
          <w:sz w:val="24"/>
          <w:szCs w:val="24"/>
        </w:rPr>
        <w:t>Corporate Commitments</w:t>
      </w:r>
    </w:p>
    <w:p w:rsidR="002D56B4" w:rsidRPr="00A1333A" w:rsidRDefault="002D56B4" w:rsidP="00166BA8">
      <w:pPr>
        <w:pStyle w:val="ListParagraph"/>
        <w:autoSpaceDE w:val="0"/>
        <w:autoSpaceDN w:val="0"/>
        <w:adjustRightInd w:val="0"/>
        <w:spacing w:after="0"/>
        <w:ind w:left="0"/>
        <w:contextualSpacing w:val="0"/>
        <w:jc w:val="both"/>
        <w:rPr>
          <w:rFonts w:ascii="Arial" w:hAnsi="Arial" w:cs="Arial"/>
          <w:b/>
          <w:color w:val="000000"/>
          <w:sz w:val="24"/>
          <w:szCs w:val="24"/>
        </w:rPr>
      </w:pPr>
    </w:p>
    <w:tbl>
      <w:tblPr>
        <w:tblW w:w="9100" w:type="dxa"/>
        <w:tblInd w:w="93" w:type="dxa"/>
        <w:tblLook w:val="00A0" w:firstRow="1" w:lastRow="0" w:firstColumn="1" w:lastColumn="0" w:noHBand="0" w:noVBand="0"/>
      </w:tblPr>
      <w:tblGrid>
        <w:gridCol w:w="3984"/>
        <w:gridCol w:w="5116"/>
      </w:tblGrid>
      <w:tr w:rsidR="002D56B4" w:rsidRPr="00A1333A" w:rsidTr="00655E6D">
        <w:trPr>
          <w:trHeight w:val="315"/>
        </w:trPr>
        <w:tc>
          <w:tcPr>
            <w:tcW w:w="3984" w:type="dxa"/>
            <w:tcBorders>
              <w:top w:val="single" w:sz="8" w:space="0" w:color="auto"/>
              <w:left w:val="single" w:sz="8" w:space="0" w:color="auto"/>
              <w:bottom w:val="single" w:sz="8" w:space="0" w:color="auto"/>
              <w:right w:val="single" w:sz="8" w:space="0" w:color="auto"/>
            </w:tcBorders>
            <w:noWrap/>
            <w:vAlign w:val="center"/>
          </w:tcPr>
          <w:p w:rsidR="002D56B4" w:rsidRPr="00A1333A" w:rsidRDefault="002D56B4" w:rsidP="00166BA8">
            <w:pPr>
              <w:spacing w:after="0"/>
              <w:jc w:val="both"/>
              <w:rPr>
                <w:rFonts w:ascii="Arial" w:hAnsi="Arial" w:cs="Arial"/>
                <w:b/>
                <w:bCs/>
                <w:color w:val="000000"/>
                <w:sz w:val="24"/>
                <w:szCs w:val="24"/>
              </w:rPr>
            </w:pPr>
            <w:r w:rsidRPr="00A1333A">
              <w:rPr>
                <w:rFonts w:ascii="Arial" w:hAnsi="Arial" w:cs="Arial"/>
                <w:b/>
                <w:bCs/>
                <w:color w:val="000000"/>
                <w:sz w:val="24"/>
                <w:szCs w:val="24"/>
              </w:rPr>
              <w:t>Commitment</w:t>
            </w:r>
          </w:p>
        </w:tc>
        <w:tc>
          <w:tcPr>
            <w:tcW w:w="5116" w:type="dxa"/>
            <w:tcBorders>
              <w:top w:val="single" w:sz="8" w:space="0" w:color="auto"/>
              <w:left w:val="nil"/>
              <w:bottom w:val="single" w:sz="8" w:space="0" w:color="auto"/>
              <w:right w:val="single" w:sz="8" w:space="0" w:color="auto"/>
            </w:tcBorders>
            <w:noWrap/>
            <w:vAlign w:val="center"/>
          </w:tcPr>
          <w:p w:rsidR="002D56B4" w:rsidRPr="00A1333A" w:rsidRDefault="002D56B4" w:rsidP="00166BA8">
            <w:pPr>
              <w:spacing w:after="0"/>
              <w:jc w:val="both"/>
              <w:rPr>
                <w:rFonts w:ascii="Arial" w:hAnsi="Arial" w:cs="Arial"/>
                <w:b/>
                <w:bCs/>
                <w:color w:val="000000"/>
                <w:sz w:val="24"/>
                <w:szCs w:val="24"/>
              </w:rPr>
            </w:pPr>
            <w:r w:rsidRPr="00A1333A">
              <w:rPr>
                <w:rFonts w:ascii="Arial" w:hAnsi="Arial" w:cs="Arial"/>
                <w:b/>
                <w:bCs/>
                <w:color w:val="000000"/>
                <w:sz w:val="24"/>
                <w:szCs w:val="24"/>
              </w:rPr>
              <w:t>Description</w:t>
            </w:r>
          </w:p>
        </w:tc>
      </w:tr>
      <w:tr w:rsidR="002D56B4" w:rsidRPr="00A1333A" w:rsidTr="00655E6D">
        <w:trPr>
          <w:trHeight w:val="870"/>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Spend data</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Monthly publication of all expenditure over £25,000 including a plain English description (1 month in arrears)</w:t>
            </w:r>
          </w:p>
        </w:tc>
      </w:tr>
      <w:tr w:rsidR="002D56B4" w:rsidRPr="00A1333A" w:rsidTr="00655E6D">
        <w:trPr>
          <w:trHeight w:val="870"/>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GPC data</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Monthly publication of all expenditure over £500 on the Government Procurement Card (2 months in arrears)</w:t>
            </w:r>
          </w:p>
        </w:tc>
      </w:tr>
      <w:tr w:rsidR="002D56B4" w:rsidRPr="00A1333A" w:rsidTr="00655E6D">
        <w:trPr>
          <w:trHeight w:val="1155"/>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Organogram</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6-monthly publication of posts, salaries and job descriptions within each department. Full disclosure including name of post holder for those at Senior Civil Service payband 2 (or equivalent) and above</w:t>
            </w:r>
          </w:p>
        </w:tc>
      </w:tr>
      <w:tr w:rsidR="002D56B4" w:rsidRPr="00A1333A" w:rsidTr="00655E6D">
        <w:trPr>
          <w:trHeight w:val="1155"/>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Exceptions to Moratoria (ICT, Property, Recruitment, Marketing &amp; Consultancy)</w:t>
            </w:r>
          </w:p>
        </w:tc>
        <w:tc>
          <w:tcPr>
            <w:tcW w:w="5116" w:type="dxa"/>
            <w:tcBorders>
              <w:top w:val="nil"/>
              <w:left w:val="nil"/>
              <w:bottom w:val="single" w:sz="8" w:space="0" w:color="auto"/>
              <w:right w:val="single" w:sz="8" w:space="0" w:color="auto"/>
            </w:tcBorders>
            <w:vAlign w:val="center"/>
          </w:tcPr>
          <w:p w:rsidR="002D56B4" w:rsidRPr="00A1333A" w:rsidRDefault="00E85BFA" w:rsidP="00166BA8">
            <w:pPr>
              <w:spacing w:after="0"/>
              <w:jc w:val="both"/>
              <w:rPr>
                <w:rFonts w:ascii="Arial" w:hAnsi="Arial" w:cs="Arial"/>
                <w:color w:val="000000"/>
                <w:sz w:val="24"/>
                <w:szCs w:val="24"/>
              </w:rPr>
            </w:pPr>
            <w:r>
              <w:rPr>
                <w:rFonts w:ascii="Arial" w:hAnsi="Arial" w:cs="Arial"/>
                <w:color w:val="000000"/>
                <w:sz w:val="24"/>
                <w:szCs w:val="24"/>
              </w:rPr>
              <w:t xml:space="preserve">Quarterly </w:t>
            </w:r>
            <w:r w:rsidR="00DC7183">
              <w:rPr>
                <w:rFonts w:ascii="Arial" w:hAnsi="Arial" w:cs="Arial"/>
                <w:color w:val="000000"/>
                <w:sz w:val="24"/>
                <w:szCs w:val="24"/>
              </w:rPr>
              <w:t>publications of any exceptions to the current government restrictions on spend</w:t>
            </w:r>
            <w:r w:rsidR="002D56B4" w:rsidRPr="00A1333A">
              <w:rPr>
                <w:rFonts w:ascii="Arial" w:hAnsi="Arial" w:cs="Arial"/>
                <w:color w:val="000000"/>
                <w:sz w:val="24"/>
                <w:szCs w:val="24"/>
              </w:rPr>
              <w:t xml:space="preserve"> on ICT, consultancy, recruitment, property, consultancy, advertising and marketing.</w:t>
            </w:r>
          </w:p>
        </w:tc>
      </w:tr>
      <w:tr w:rsidR="002D56B4" w:rsidRPr="00A1333A" w:rsidTr="00655E6D">
        <w:trPr>
          <w:trHeight w:val="870"/>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Workplace Management Information</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Monthly management information on staff numbers and paybill costs in Civil Service departments, their agencies and their executive NDPBs.</w:t>
            </w:r>
          </w:p>
        </w:tc>
      </w:tr>
      <w:tr w:rsidR="002D56B4" w:rsidRPr="00A1333A" w:rsidTr="00655E6D">
        <w:trPr>
          <w:trHeight w:val="1440"/>
        </w:trPr>
        <w:tc>
          <w:tcPr>
            <w:tcW w:w="3984" w:type="dxa"/>
            <w:tcBorders>
              <w:top w:val="single" w:sz="4" w:space="0" w:color="auto"/>
              <w:left w:val="single" w:sz="8" w:space="0" w:color="auto"/>
              <w:bottom w:val="single" w:sz="4" w:space="0" w:color="auto"/>
              <w:right w:val="single" w:sz="4" w:space="0" w:color="auto"/>
            </w:tcBorders>
            <w:shd w:val="clear" w:color="000000" w:fill="FFFFFF"/>
            <w:vAlign w:val="center"/>
          </w:tcPr>
          <w:p w:rsidR="002D56B4" w:rsidRPr="00A1333A" w:rsidRDefault="0004638E" w:rsidP="00166BA8">
            <w:pPr>
              <w:spacing w:after="0"/>
              <w:jc w:val="both"/>
              <w:rPr>
                <w:rFonts w:ascii="Arial" w:hAnsi="Arial" w:cs="Arial"/>
                <w:sz w:val="24"/>
                <w:szCs w:val="24"/>
              </w:rPr>
            </w:pPr>
            <w:r>
              <w:rPr>
                <w:rFonts w:ascii="Arial" w:hAnsi="Arial" w:cs="Arial"/>
                <w:sz w:val="24"/>
                <w:szCs w:val="24"/>
              </w:rPr>
              <w:t>Ministers’ G</w:t>
            </w:r>
            <w:r w:rsidR="002D56B4" w:rsidRPr="00A1333A">
              <w:rPr>
                <w:rFonts w:ascii="Arial" w:hAnsi="Arial" w:cs="Arial"/>
                <w:sz w:val="24"/>
                <w:szCs w:val="24"/>
              </w:rPr>
              <w:t xml:space="preserve">ifts (given and received), </w:t>
            </w:r>
            <w:r>
              <w:rPr>
                <w:rFonts w:ascii="Arial" w:hAnsi="Arial" w:cs="Arial"/>
                <w:sz w:val="24"/>
                <w:szCs w:val="24"/>
              </w:rPr>
              <w:t>Hospitality received, Overseas Travel and M</w:t>
            </w:r>
            <w:r w:rsidR="002D56B4" w:rsidRPr="00A1333A">
              <w:rPr>
                <w:rFonts w:ascii="Arial" w:hAnsi="Arial" w:cs="Arial"/>
                <w:sz w:val="24"/>
                <w:szCs w:val="24"/>
              </w:rPr>
              <w:t xml:space="preserve">eetings with external organisations including senior media executives </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Quarterly detail on travel, hospitality, gifts and meetings with external companies for Ministers</w:t>
            </w:r>
          </w:p>
        </w:tc>
      </w:tr>
      <w:tr w:rsidR="002D56B4" w:rsidRPr="00A1333A" w:rsidTr="00655E6D">
        <w:trPr>
          <w:trHeight w:val="870"/>
        </w:trPr>
        <w:tc>
          <w:tcPr>
            <w:tcW w:w="3984" w:type="dxa"/>
            <w:tcBorders>
              <w:top w:val="nil"/>
              <w:left w:val="single" w:sz="8" w:space="0" w:color="auto"/>
              <w:bottom w:val="single" w:sz="4" w:space="0" w:color="auto"/>
              <w:right w:val="single" w:sz="4" w:space="0" w:color="auto"/>
            </w:tcBorders>
            <w:shd w:val="clear" w:color="000000" w:fill="FFFFFF"/>
            <w:vAlign w:val="center"/>
          </w:tcPr>
          <w:p w:rsidR="002D56B4" w:rsidRPr="00A1333A" w:rsidRDefault="002D56B4" w:rsidP="00166BA8">
            <w:pPr>
              <w:spacing w:after="0"/>
              <w:jc w:val="both"/>
              <w:rPr>
                <w:rFonts w:ascii="Arial" w:hAnsi="Arial" w:cs="Arial"/>
                <w:sz w:val="24"/>
                <w:szCs w:val="24"/>
              </w:rPr>
            </w:pPr>
            <w:r w:rsidRPr="00A1333A">
              <w:rPr>
                <w:rFonts w:ascii="Arial" w:hAnsi="Arial" w:cs="Arial"/>
                <w:sz w:val="24"/>
                <w:szCs w:val="24"/>
              </w:rPr>
              <w:t>Senior Officials</w:t>
            </w:r>
            <w:r w:rsidR="0004638E">
              <w:rPr>
                <w:rFonts w:ascii="Arial" w:hAnsi="Arial" w:cs="Arial"/>
                <w:sz w:val="24"/>
                <w:szCs w:val="24"/>
              </w:rPr>
              <w:t>’</w:t>
            </w:r>
            <w:r w:rsidRPr="00A1333A">
              <w:rPr>
                <w:rFonts w:ascii="Arial" w:hAnsi="Arial" w:cs="Arial"/>
                <w:sz w:val="24"/>
                <w:szCs w:val="24"/>
              </w:rPr>
              <w:t xml:space="preserve"> Expenses, Travel and Hospitality</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Quarterly detail on expenses, travel and hospitality for Senior Officials</w:t>
            </w:r>
          </w:p>
        </w:tc>
      </w:tr>
      <w:tr w:rsidR="002D56B4" w:rsidRPr="00A1333A" w:rsidTr="00655E6D">
        <w:trPr>
          <w:trHeight w:val="870"/>
        </w:trPr>
        <w:tc>
          <w:tcPr>
            <w:tcW w:w="3984" w:type="dxa"/>
            <w:tcBorders>
              <w:top w:val="nil"/>
              <w:left w:val="single" w:sz="8" w:space="0" w:color="auto"/>
              <w:bottom w:val="single" w:sz="4" w:space="0" w:color="auto"/>
              <w:right w:val="single" w:sz="4" w:space="0" w:color="auto"/>
            </w:tcBorders>
            <w:shd w:val="clear" w:color="000000" w:fill="FFFFFF"/>
            <w:vAlign w:val="center"/>
          </w:tcPr>
          <w:p w:rsidR="002D56B4" w:rsidRPr="00A1333A" w:rsidRDefault="002D56B4" w:rsidP="00166BA8">
            <w:pPr>
              <w:spacing w:after="0"/>
              <w:jc w:val="both"/>
              <w:rPr>
                <w:rFonts w:ascii="Arial" w:hAnsi="Arial" w:cs="Arial"/>
                <w:sz w:val="24"/>
                <w:szCs w:val="24"/>
              </w:rPr>
            </w:pPr>
            <w:r w:rsidRPr="00A1333A">
              <w:rPr>
                <w:rFonts w:ascii="Arial" w:hAnsi="Arial" w:cs="Arial"/>
                <w:sz w:val="24"/>
                <w:szCs w:val="24"/>
              </w:rPr>
              <w:t>Perman</w:t>
            </w:r>
            <w:r w:rsidR="003B7570">
              <w:rPr>
                <w:rFonts w:ascii="Arial" w:hAnsi="Arial" w:cs="Arial"/>
                <w:sz w:val="24"/>
                <w:szCs w:val="24"/>
              </w:rPr>
              <w:t>ent S</w:t>
            </w:r>
            <w:r w:rsidRPr="00A1333A">
              <w:rPr>
                <w:rFonts w:ascii="Arial" w:hAnsi="Arial" w:cs="Arial"/>
                <w:sz w:val="24"/>
                <w:szCs w:val="24"/>
              </w:rPr>
              <w:t>ecretaries</w:t>
            </w:r>
            <w:r w:rsidR="0004638E">
              <w:rPr>
                <w:rFonts w:ascii="Arial" w:hAnsi="Arial" w:cs="Arial"/>
                <w:sz w:val="24"/>
                <w:szCs w:val="24"/>
              </w:rPr>
              <w:t>’</w:t>
            </w:r>
            <w:r w:rsidRPr="00A1333A">
              <w:rPr>
                <w:rFonts w:ascii="Arial" w:hAnsi="Arial" w:cs="Arial"/>
                <w:sz w:val="24"/>
                <w:szCs w:val="24"/>
              </w:rPr>
              <w:t xml:space="preserve"> meetings with external organisations including senior media executives</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Quarterly detail on meetings with external organisations including senior media executives for Permanent Secretaries</w:t>
            </w:r>
          </w:p>
        </w:tc>
      </w:tr>
      <w:tr w:rsidR="002D56B4" w:rsidRPr="00A1333A" w:rsidTr="00655E6D">
        <w:trPr>
          <w:trHeight w:val="870"/>
        </w:trPr>
        <w:tc>
          <w:tcPr>
            <w:tcW w:w="3984" w:type="dxa"/>
            <w:tcBorders>
              <w:top w:val="nil"/>
              <w:left w:val="single" w:sz="8" w:space="0" w:color="auto"/>
              <w:bottom w:val="single" w:sz="4" w:space="0" w:color="auto"/>
              <w:right w:val="single" w:sz="4" w:space="0" w:color="auto"/>
            </w:tcBorders>
            <w:shd w:val="clear" w:color="000000" w:fill="FFFFFF"/>
            <w:vAlign w:val="center"/>
          </w:tcPr>
          <w:p w:rsidR="002D56B4" w:rsidRPr="00A1333A" w:rsidRDefault="002D56B4" w:rsidP="00166BA8">
            <w:pPr>
              <w:spacing w:after="0"/>
              <w:jc w:val="both"/>
              <w:rPr>
                <w:rFonts w:ascii="Arial" w:hAnsi="Arial" w:cs="Arial"/>
                <w:sz w:val="24"/>
                <w:szCs w:val="24"/>
              </w:rPr>
            </w:pPr>
            <w:r w:rsidRPr="00A1333A">
              <w:rPr>
                <w:rFonts w:ascii="Arial" w:hAnsi="Arial" w:cs="Arial"/>
                <w:sz w:val="24"/>
                <w:szCs w:val="24"/>
              </w:rPr>
              <w:t>Special Advisers</w:t>
            </w:r>
            <w:r w:rsidR="0004638E">
              <w:rPr>
                <w:rFonts w:ascii="Arial" w:hAnsi="Arial" w:cs="Arial"/>
                <w:sz w:val="24"/>
                <w:szCs w:val="24"/>
              </w:rPr>
              <w:t>’</w:t>
            </w:r>
            <w:r w:rsidRPr="00A1333A">
              <w:rPr>
                <w:rFonts w:ascii="Arial" w:hAnsi="Arial" w:cs="Arial"/>
                <w:sz w:val="24"/>
                <w:szCs w:val="24"/>
              </w:rPr>
              <w:t xml:space="preserve"> Gifts and Hospitality received and meetings with senior  media executives</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Quarterly detail on hospitality, gifts and meetings with external companies for Special Advisors</w:t>
            </w:r>
          </w:p>
        </w:tc>
      </w:tr>
      <w:tr w:rsidR="002D56B4" w:rsidRPr="00A1333A" w:rsidTr="00655E6D">
        <w:trPr>
          <w:trHeight w:val="585"/>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Contract Finder</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Online publication of all new tenders and contracts awarded over £10,000, including PIN notices</w:t>
            </w:r>
          </w:p>
        </w:tc>
      </w:tr>
      <w:tr w:rsidR="002D56B4" w:rsidRPr="00A1333A" w:rsidTr="00655E6D">
        <w:trPr>
          <w:trHeight w:val="1725"/>
        </w:trPr>
        <w:tc>
          <w:tcPr>
            <w:tcW w:w="3984" w:type="dxa"/>
            <w:tcBorders>
              <w:top w:val="nil"/>
              <w:left w:val="single" w:sz="8" w:space="0" w:color="auto"/>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Real Time Energy Use</w:t>
            </w:r>
          </w:p>
        </w:tc>
        <w:tc>
          <w:tcPr>
            <w:tcW w:w="5116" w:type="dxa"/>
            <w:tcBorders>
              <w:top w:val="nil"/>
              <w:left w:val="nil"/>
              <w:bottom w:val="single" w:sz="8" w:space="0" w:color="auto"/>
              <w:right w:val="single" w:sz="8" w:space="0" w:color="auto"/>
            </w:tcBorders>
            <w:vAlign w:val="center"/>
          </w:tcPr>
          <w:p w:rsidR="002D56B4" w:rsidRPr="00A1333A" w:rsidRDefault="002D56B4" w:rsidP="00166BA8">
            <w:pPr>
              <w:spacing w:after="0"/>
              <w:jc w:val="both"/>
              <w:rPr>
                <w:rFonts w:ascii="Arial" w:hAnsi="Arial" w:cs="Arial"/>
                <w:color w:val="000000"/>
                <w:sz w:val="24"/>
                <w:szCs w:val="24"/>
              </w:rPr>
            </w:pPr>
            <w:r w:rsidRPr="00A1333A">
              <w:rPr>
                <w:rFonts w:ascii="Arial" w:hAnsi="Arial" w:cs="Arial"/>
                <w:color w:val="000000"/>
                <w:sz w:val="24"/>
                <w:szCs w:val="24"/>
              </w:rPr>
              <w:t>Central government departments would publish online the real-time energy use of their headquarter buildings. Most of the real-time energy displays provide energy data in half hourly intervals, and are published on departmental websites with a delay of no more than 24 hours</w:t>
            </w:r>
          </w:p>
        </w:tc>
      </w:tr>
    </w:tbl>
    <w:p w:rsidR="002D56B4" w:rsidRPr="00A1333A" w:rsidRDefault="002D56B4" w:rsidP="00166BA8">
      <w:pPr>
        <w:autoSpaceDE w:val="0"/>
        <w:autoSpaceDN w:val="0"/>
        <w:adjustRightInd w:val="0"/>
        <w:spacing w:after="0"/>
        <w:jc w:val="both"/>
        <w:rPr>
          <w:rFonts w:ascii="Arial" w:hAnsi="Arial" w:cs="Arial"/>
          <w:color w:val="000000"/>
          <w:sz w:val="24"/>
          <w:szCs w:val="24"/>
        </w:rPr>
      </w:pPr>
    </w:p>
    <w:sectPr w:rsidR="002D56B4" w:rsidRPr="00A1333A" w:rsidSect="008D64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64" w:rsidRDefault="00EA1164" w:rsidP="00502F44">
      <w:pPr>
        <w:spacing w:after="0" w:line="240" w:lineRule="auto"/>
      </w:pPr>
      <w:r>
        <w:separator/>
      </w:r>
    </w:p>
  </w:endnote>
  <w:endnote w:type="continuationSeparator" w:id="0">
    <w:p w:rsidR="00EA1164" w:rsidRDefault="00EA1164" w:rsidP="0050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0" w:rsidRDefault="005006EE" w:rsidP="00502F44">
    <w:pPr>
      <w:pStyle w:val="Footer"/>
      <w:jc w:val="center"/>
    </w:pPr>
    <w:r w:rsidRPr="00EF46E8">
      <w:rPr>
        <w:color w:val="000000"/>
      </w:rPr>
      <w:fldChar w:fldCharType="begin"/>
    </w:r>
    <w:r w:rsidR="006049D0" w:rsidRPr="007D0AEA">
      <w:rPr>
        <w:color w:val="000000"/>
        <w:sz w:val="22"/>
      </w:rPr>
      <w:instrText xml:space="preserve"> DOCPROPERTY  bjDocumentSecurityLabel"  \* MERGEFORMAT </w:instrText>
    </w:r>
    <w:r w:rsidRPr="00EF46E8">
      <w:rPr>
        <w:color w:val="000000"/>
      </w:rPr>
      <w:fldChar w:fldCharType="separate"/>
    </w:r>
    <w:r w:rsidR="006049D0">
      <w:rPr>
        <w:color w:val="000000"/>
        <w:sz w:val="22"/>
      </w:rPr>
      <w:t>RESTRICTED</w:t>
    </w:r>
    <w:r w:rsidRPr="00EF46E8">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8938"/>
      <w:docPartObj>
        <w:docPartGallery w:val="Page Numbers (Bottom of Page)"/>
        <w:docPartUnique/>
      </w:docPartObj>
    </w:sdtPr>
    <w:sdtEndPr/>
    <w:sdtContent>
      <w:p w:rsidR="006049D0" w:rsidRDefault="00705FCD">
        <w:pPr>
          <w:pStyle w:val="Footer"/>
        </w:pPr>
        <w:r>
          <w:fldChar w:fldCharType="begin"/>
        </w:r>
        <w:r>
          <w:instrText xml:space="preserve"> PAGE   \* MERGEFORMAT </w:instrText>
        </w:r>
        <w:r>
          <w:fldChar w:fldCharType="separate"/>
        </w:r>
        <w:r>
          <w:rPr>
            <w:noProof/>
          </w:rPr>
          <w:t>1</w:t>
        </w:r>
        <w:r>
          <w:rPr>
            <w:noProof/>
          </w:rPr>
          <w:fldChar w:fldCharType="end"/>
        </w:r>
      </w:p>
    </w:sdtContent>
  </w:sdt>
  <w:p w:rsidR="006049D0" w:rsidRDefault="006049D0" w:rsidP="00502F4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0" w:rsidRDefault="005006EE" w:rsidP="00502F44">
    <w:pPr>
      <w:pStyle w:val="Footer"/>
      <w:jc w:val="center"/>
    </w:pPr>
    <w:r w:rsidRPr="00EF46E8">
      <w:rPr>
        <w:color w:val="000000"/>
      </w:rPr>
      <w:fldChar w:fldCharType="begin"/>
    </w:r>
    <w:r w:rsidR="006049D0" w:rsidRPr="007D0AEA">
      <w:rPr>
        <w:color w:val="000000"/>
        <w:sz w:val="22"/>
      </w:rPr>
      <w:instrText xml:space="preserve"> DOCPROPERTY  bjDocumentSecurityLabel"  \* MERGEFORMAT </w:instrText>
    </w:r>
    <w:r w:rsidRPr="00EF46E8">
      <w:rPr>
        <w:color w:val="000000"/>
      </w:rPr>
      <w:fldChar w:fldCharType="separate"/>
    </w:r>
    <w:r w:rsidR="006049D0">
      <w:rPr>
        <w:color w:val="000000"/>
        <w:sz w:val="22"/>
      </w:rPr>
      <w:t>RESTRICTED</w:t>
    </w:r>
    <w:r w:rsidRPr="00EF46E8">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64" w:rsidRDefault="00EA1164" w:rsidP="00502F44">
      <w:pPr>
        <w:spacing w:after="0" w:line="240" w:lineRule="auto"/>
      </w:pPr>
      <w:r>
        <w:separator/>
      </w:r>
    </w:p>
  </w:footnote>
  <w:footnote w:type="continuationSeparator" w:id="0">
    <w:p w:rsidR="00EA1164" w:rsidRDefault="00EA1164" w:rsidP="00502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0" w:rsidRDefault="005006EE" w:rsidP="00502F44">
    <w:pPr>
      <w:pStyle w:val="Header"/>
      <w:jc w:val="center"/>
    </w:pPr>
    <w:r w:rsidRPr="00EF46E8">
      <w:rPr>
        <w:color w:val="000000"/>
      </w:rPr>
      <w:fldChar w:fldCharType="begin"/>
    </w:r>
    <w:r w:rsidR="006049D0" w:rsidRPr="007D0AEA">
      <w:rPr>
        <w:color w:val="000000"/>
        <w:sz w:val="22"/>
      </w:rPr>
      <w:instrText xml:space="preserve"> DOCPROPERTY  bjDocumentSecurityLabel"  \* MERGEFORMAT </w:instrText>
    </w:r>
    <w:r w:rsidRPr="00EF46E8">
      <w:rPr>
        <w:color w:val="000000"/>
      </w:rPr>
      <w:fldChar w:fldCharType="separate"/>
    </w:r>
    <w:r w:rsidR="006049D0">
      <w:rPr>
        <w:color w:val="000000"/>
        <w:sz w:val="22"/>
      </w:rPr>
      <w:t>RESTRICTED</w:t>
    </w:r>
    <w:r w:rsidRPr="00EF46E8">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0" w:rsidRDefault="006049D0" w:rsidP="00502F4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D0" w:rsidRDefault="005006EE" w:rsidP="00502F44">
    <w:pPr>
      <w:pStyle w:val="Header"/>
      <w:jc w:val="center"/>
    </w:pPr>
    <w:r w:rsidRPr="00EF46E8">
      <w:rPr>
        <w:color w:val="000000"/>
      </w:rPr>
      <w:fldChar w:fldCharType="begin"/>
    </w:r>
    <w:r w:rsidR="006049D0" w:rsidRPr="007D0AEA">
      <w:rPr>
        <w:color w:val="000000"/>
        <w:sz w:val="22"/>
      </w:rPr>
      <w:instrText xml:space="preserve"> DOCPROPERTY  bjDocumentSecurityLabel"  \* MERGEFORMAT </w:instrText>
    </w:r>
    <w:r w:rsidRPr="00EF46E8">
      <w:rPr>
        <w:color w:val="000000"/>
      </w:rPr>
      <w:fldChar w:fldCharType="separate"/>
    </w:r>
    <w:r w:rsidR="006049D0">
      <w:rPr>
        <w:color w:val="000000"/>
        <w:sz w:val="22"/>
      </w:rPr>
      <w:t>RESTRICTED</w:t>
    </w:r>
    <w:r w:rsidRPr="00EF46E8">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1DAF"/>
    <w:multiLevelType w:val="hybridMultilevel"/>
    <w:tmpl w:val="8E783484"/>
    <w:lvl w:ilvl="0" w:tplc="44444146">
      <w:start w:val="49"/>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790F74"/>
    <w:multiLevelType w:val="hybridMultilevel"/>
    <w:tmpl w:val="8E783484"/>
    <w:lvl w:ilvl="0" w:tplc="44444146">
      <w:start w:val="49"/>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E64E7"/>
    <w:multiLevelType w:val="hybridMultilevel"/>
    <w:tmpl w:val="13FE43E2"/>
    <w:lvl w:ilvl="0" w:tplc="8828015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1BE3F56"/>
    <w:multiLevelType w:val="hybridMultilevel"/>
    <w:tmpl w:val="97BC8326"/>
    <w:lvl w:ilvl="0" w:tplc="4870847A">
      <w:start w:val="48"/>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9E3897"/>
    <w:multiLevelType w:val="hybridMultilevel"/>
    <w:tmpl w:val="4FFC02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9660CED"/>
    <w:multiLevelType w:val="hybridMultilevel"/>
    <w:tmpl w:val="25360238"/>
    <w:lvl w:ilvl="0" w:tplc="BE381D0E">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NotTrackFormatting/>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02F44"/>
    <w:rsid w:val="00001E12"/>
    <w:rsid w:val="00007B5D"/>
    <w:rsid w:val="000219E6"/>
    <w:rsid w:val="000231E9"/>
    <w:rsid w:val="00025A02"/>
    <w:rsid w:val="00027693"/>
    <w:rsid w:val="00027CEA"/>
    <w:rsid w:val="00031E47"/>
    <w:rsid w:val="00034D37"/>
    <w:rsid w:val="00037F90"/>
    <w:rsid w:val="00042FF0"/>
    <w:rsid w:val="00044B1B"/>
    <w:rsid w:val="00045A0C"/>
    <w:rsid w:val="0004638E"/>
    <w:rsid w:val="000504B0"/>
    <w:rsid w:val="000558F8"/>
    <w:rsid w:val="00056B28"/>
    <w:rsid w:val="000572BE"/>
    <w:rsid w:val="000646FE"/>
    <w:rsid w:val="000661AB"/>
    <w:rsid w:val="00074DAF"/>
    <w:rsid w:val="00082028"/>
    <w:rsid w:val="00086DC2"/>
    <w:rsid w:val="0009048F"/>
    <w:rsid w:val="00093728"/>
    <w:rsid w:val="00095A9A"/>
    <w:rsid w:val="000969AD"/>
    <w:rsid w:val="000A1449"/>
    <w:rsid w:val="000B0764"/>
    <w:rsid w:val="000B130C"/>
    <w:rsid w:val="000B3986"/>
    <w:rsid w:val="000B4FE5"/>
    <w:rsid w:val="000C0174"/>
    <w:rsid w:val="000C05BB"/>
    <w:rsid w:val="000C1404"/>
    <w:rsid w:val="000C52A5"/>
    <w:rsid w:val="000D701D"/>
    <w:rsid w:val="000E35EE"/>
    <w:rsid w:val="000F32FD"/>
    <w:rsid w:val="000F41E1"/>
    <w:rsid w:val="000F447F"/>
    <w:rsid w:val="000F44A6"/>
    <w:rsid w:val="000F79F6"/>
    <w:rsid w:val="00107962"/>
    <w:rsid w:val="00110313"/>
    <w:rsid w:val="0011055F"/>
    <w:rsid w:val="00114539"/>
    <w:rsid w:val="0012111F"/>
    <w:rsid w:val="0012602B"/>
    <w:rsid w:val="00131D17"/>
    <w:rsid w:val="0013596C"/>
    <w:rsid w:val="00137E85"/>
    <w:rsid w:val="001412AD"/>
    <w:rsid w:val="00142CE3"/>
    <w:rsid w:val="0014381A"/>
    <w:rsid w:val="0014536B"/>
    <w:rsid w:val="00156FA2"/>
    <w:rsid w:val="001644B4"/>
    <w:rsid w:val="00165E68"/>
    <w:rsid w:val="00166BA8"/>
    <w:rsid w:val="00175519"/>
    <w:rsid w:val="00176484"/>
    <w:rsid w:val="001863E5"/>
    <w:rsid w:val="001866E3"/>
    <w:rsid w:val="00191652"/>
    <w:rsid w:val="001934A3"/>
    <w:rsid w:val="001971E5"/>
    <w:rsid w:val="001A6841"/>
    <w:rsid w:val="001A6CC9"/>
    <w:rsid w:val="001A7527"/>
    <w:rsid w:val="001A7913"/>
    <w:rsid w:val="001B5853"/>
    <w:rsid w:val="001B7AD7"/>
    <w:rsid w:val="001D0021"/>
    <w:rsid w:val="001D00F5"/>
    <w:rsid w:val="001D0B30"/>
    <w:rsid w:val="001D2AE1"/>
    <w:rsid w:val="001D49D6"/>
    <w:rsid w:val="001E39ED"/>
    <w:rsid w:val="001E51C8"/>
    <w:rsid w:val="001F4EE9"/>
    <w:rsid w:val="001F7A0F"/>
    <w:rsid w:val="001F7BAC"/>
    <w:rsid w:val="0020027B"/>
    <w:rsid w:val="00200B4D"/>
    <w:rsid w:val="00206BE5"/>
    <w:rsid w:val="00210AE3"/>
    <w:rsid w:val="00211714"/>
    <w:rsid w:val="00214701"/>
    <w:rsid w:val="00217030"/>
    <w:rsid w:val="00223050"/>
    <w:rsid w:val="00224012"/>
    <w:rsid w:val="00234B63"/>
    <w:rsid w:val="002429BB"/>
    <w:rsid w:val="0024374D"/>
    <w:rsid w:val="0024584C"/>
    <w:rsid w:val="00253A64"/>
    <w:rsid w:val="00262104"/>
    <w:rsid w:val="00264E8B"/>
    <w:rsid w:val="00274271"/>
    <w:rsid w:val="00290FEA"/>
    <w:rsid w:val="00295A46"/>
    <w:rsid w:val="00296AC6"/>
    <w:rsid w:val="00296E4F"/>
    <w:rsid w:val="002B16A7"/>
    <w:rsid w:val="002C0D0C"/>
    <w:rsid w:val="002C1E78"/>
    <w:rsid w:val="002C2332"/>
    <w:rsid w:val="002C4D3A"/>
    <w:rsid w:val="002C73A0"/>
    <w:rsid w:val="002D0258"/>
    <w:rsid w:val="002D56B4"/>
    <w:rsid w:val="002E08CF"/>
    <w:rsid w:val="002E2F4B"/>
    <w:rsid w:val="002E3FAB"/>
    <w:rsid w:val="002E70F1"/>
    <w:rsid w:val="002E788D"/>
    <w:rsid w:val="002F2616"/>
    <w:rsid w:val="0030324A"/>
    <w:rsid w:val="00305A90"/>
    <w:rsid w:val="00305ADC"/>
    <w:rsid w:val="003074E3"/>
    <w:rsid w:val="00310582"/>
    <w:rsid w:val="00310757"/>
    <w:rsid w:val="00316866"/>
    <w:rsid w:val="0031701B"/>
    <w:rsid w:val="00335602"/>
    <w:rsid w:val="00336EBB"/>
    <w:rsid w:val="0034113A"/>
    <w:rsid w:val="003411E6"/>
    <w:rsid w:val="00344542"/>
    <w:rsid w:val="00345B32"/>
    <w:rsid w:val="00346975"/>
    <w:rsid w:val="00347272"/>
    <w:rsid w:val="003543BB"/>
    <w:rsid w:val="00355E9B"/>
    <w:rsid w:val="003566A4"/>
    <w:rsid w:val="00360178"/>
    <w:rsid w:val="00362B44"/>
    <w:rsid w:val="0036741A"/>
    <w:rsid w:val="00370F0A"/>
    <w:rsid w:val="0037560A"/>
    <w:rsid w:val="00377B1B"/>
    <w:rsid w:val="0038200E"/>
    <w:rsid w:val="00390BEC"/>
    <w:rsid w:val="00395D08"/>
    <w:rsid w:val="003A24F3"/>
    <w:rsid w:val="003B0CF5"/>
    <w:rsid w:val="003B33C8"/>
    <w:rsid w:val="003B4D6B"/>
    <w:rsid w:val="003B643A"/>
    <w:rsid w:val="003B732F"/>
    <w:rsid w:val="003B7570"/>
    <w:rsid w:val="003C2373"/>
    <w:rsid w:val="003C27B9"/>
    <w:rsid w:val="003C5BBF"/>
    <w:rsid w:val="003D5A0D"/>
    <w:rsid w:val="003E2B0C"/>
    <w:rsid w:val="003E4343"/>
    <w:rsid w:val="003E5981"/>
    <w:rsid w:val="003F4348"/>
    <w:rsid w:val="0042175B"/>
    <w:rsid w:val="0042467D"/>
    <w:rsid w:val="0043489B"/>
    <w:rsid w:val="004369B6"/>
    <w:rsid w:val="004372EE"/>
    <w:rsid w:val="00442A7C"/>
    <w:rsid w:val="00445DA9"/>
    <w:rsid w:val="004467D4"/>
    <w:rsid w:val="00455D51"/>
    <w:rsid w:val="004560D7"/>
    <w:rsid w:val="00456ABE"/>
    <w:rsid w:val="004620A0"/>
    <w:rsid w:val="00467B9E"/>
    <w:rsid w:val="004710FA"/>
    <w:rsid w:val="00473F7E"/>
    <w:rsid w:val="0047686A"/>
    <w:rsid w:val="00476996"/>
    <w:rsid w:val="00487D30"/>
    <w:rsid w:val="00493AC3"/>
    <w:rsid w:val="004A1E98"/>
    <w:rsid w:val="004B05D3"/>
    <w:rsid w:val="004B2A79"/>
    <w:rsid w:val="004C4BA0"/>
    <w:rsid w:val="004D23D6"/>
    <w:rsid w:val="004E25F4"/>
    <w:rsid w:val="004E3513"/>
    <w:rsid w:val="004F614B"/>
    <w:rsid w:val="005006EE"/>
    <w:rsid w:val="0050165C"/>
    <w:rsid w:val="00502F44"/>
    <w:rsid w:val="00504260"/>
    <w:rsid w:val="0050453C"/>
    <w:rsid w:val="00504C87"/>
    <w:rsid w:val="00506243"/>
    <w:rsid w:val="00516712"/>
    <w:rsid w:val="00531E7F"/>
    <w:rsid w:val="005334BA"/>
    <w:rsid w:val="0053642D"/>
    <w:rsid w:val="00542E63"/>
    <w:rsid w:val="005437E6"/>
    <w:rsid w:val="0055012D"/>
    <w:rsid w:val="00550998"/>
    <w:rsid w:val="00551C85"/>
    <w:rsid w:val="00564107"/>
    <w:rsid w:val="0057244B"/>
    <w:rsid w:val="00577491"/>
    <w:rsid w:val="00583EC9"/>
    <w:rsid w:val="005A158E"/>
    <w:rsid w:val="005B3099"/>
    <w:rsid w:val="005B38B6"/>
    <w:rsid w:val="005B5944"/>
    <w:rsid w:val="005C2A62"/>
    <w:rsid w:val="005C6422"/>
    <w:rsid w:val="005C7326"/>
    <w:rsid w:val="005E0BC0"/>
    <w:rsid w:val="005E6B9F"/>
    <w:rsid w:val="005F34DB"/>
    <w:rsid w:val="005F4147"/>
    <w:rsid w:val="00603AE3"/>
    <w:rsid w:val="006049D0"/>
    <w:rsid w:val="0061374B"/>
    <w:rsid w:val="00614325"/>
    <w:rsid w:val="00614E21"/>
    <w:rsid w:val="00616746"/>
    <w:rsid w:val="00616E33"/>
    <w:rsid w:val="006178A6"/>
    <w:rsid w:val="006206DE"/>
    <w:rsid w:val="006250BE"/>
    <w:rsid w:val="0063144D"/>
    <w:rsid w:val="0064727D"/>
    <w:rsid w:val="00652186"/>
    <w:rsid w:val="00655E6D"/>
    <w:rsid w:val="0065633B"/>
    <w:rsid w:val="00657B49"/>
    <w:rsid w:val="00661F8A"/>
    <w:rsid w:val="00664BE5"/>
    <w:rsid w:val="00677EBD"/>
    <w:rsid w:val="006845E4"/>
    <w:rsid w:val="00691968"/>
    <w:rsid w:val="006933AC"/>
    <w:rsid w:val="006942E0"/>
    <w:rsid w:val="006A04A3"/>
    <w:rsid w:val="006B1F61"/>
    <w:rsid w:val="006B45A5"/>
    <w:rsid w:val="006B6524"/>
    <w:rsid w:val="006C08D6"/>
    <w:rsid w:val="006C0C04"/>
    <w:rsid w:val="006C34BB"/>
    <w:rsid w:val="006C452C"/>
    <w:rsid w:val="006C5154"/>
    <w:rsid w:val="006D3DF5"/>
    <w:rsid w:val="006F6FEC"/>
    <w:rsid w:val="007004AC"/>
    <w:rsid w:val="00705608"/>
    <w:rsid w:val="00705FCD"/>
    <w:rsid w:val="00711D8E"/>
    <w:rsid w:val="00727E17"/>
    <w:rsid w:val="00733579"/>
    <w:rsid w:val="0073731F"/>
    <w:rsid w:val="00743261"/>
    <w:rsid w:val="0074680D"/>
    <w:rsid w:val="00751FA3"/>
    <w:rsid w:val="00757592"/>
    <w:rsid w:val="00766739"/>
    <w:rsid w:val="00790616"/>
    <w:rsid w:val="0079714A"/>
    <w:rsid w:val="007A3A5D"/>
    <w:rsid w:val="007A46AE"/>
    <w:rsid w:val="007B3F85"/>
    <w:rsid w:val="007B56EA"/>
    <w:rsid w:val="007C160F"/>
    <w:rsid w:val="007C4D4A"/>
    <w:rsid w:val="007D0AEA"/>
    <w:rsid w:val="007D469F"/>
    <w:rsid w:val="007D535F"/>
    <w:rsid w:val="007D5C1B"/>
    <w:rsid w:val="007E0D6C"/>
    <w:rsid w:val="007E404C"/>
    <w:rsid w:val="007E7334"/>
    <w:rsid w:val="007E7D9E"/>
    <w:rsid w:val="007F6345"/>
    <w:rsid w:val="00813EE0"/>
    <w:rsid w:val="00836548"/>
    <w:rsid w:val="008461F3"/>
    <w:rsid w:val="00850F73"/>
    <w:rsid w:val="008518D6"/>
    <w:rsid w:val="008550C0"/>
    <w:rsid w:val="00856171"/>
    <w:rsid w:val="00873DF0"/>
    <w:rsid w:val="008855A3"/>
    <w:rsid w:val="00890515"/>
    <w:rsid w:val="008A0A1A"/>
    <w:rsid w:val="008A2424"/>
    <w:rsid w:val="008A4FDA"/>
    <w:rsid w:val="008A6FD5"/>
    <w:rsid w:val="008B0730"/>
    <w:rsid w:val="008B3722"/>
    <w:rsid w:val="008C39E4"/>
    <w:rsid w:val="008D4EA2"/>
    <w:rsid w:val="008D6498"/>
    <w:rsid w:val="008D75C6"/>
    <w:rsid w:val="008E5FB8"/>
    <w:rsid w:val="008E78F9"/>
    <w:rsid w:val="008F2C56"/>
    <w:rsid w:val="00900F80"/>
    <w:rsid w:val="00902AEA"/>
    <w:rsid w:val="00902F23"/>
    <w:rsid w:val="00906F30"/>
    <w:rsid w:val="0091286E"/>
    <w:rsid w:val="009150BB"/>
    <w:rsid w:val="009156D2"/>
    <w:rsid w:val="00915BB4"/>
    <w:rsid w:val="009202F7"/>
    <w:rsid w:val="009208FA"/>
    <w:rsid w:val="00922E80"/>
    <w:rsid w:val="00924C3C"/>
    <w:rsid w:val="009259A6"/>
    <w:rsid w:val="00926191"/>
    <w:rsid w:val="00931AA7"/>
    <w:rsid w:val="00934942"/>
    <w:rsid w:val="009358DC"/>
    <w:rsid w:val="00956038"/>
    <w:rsid w:val="00965052"/>
    <w:rsid w:val="00965B5F"/>
    <w:rsid w:val="00971033"/>
    <w:rsid w:val="009736FA"/>
    <w:rsid w:val="009756A2"/>
    <w:rsid w:val="00985322"/>
    <w:rsid w:val="009979C2"/>
    <w:rsid w:val="009A0878"/>
    <w:rsid w:val="009A1A8D"/>
    <w:rsid w:val="009A20CA"/>
    <w:rsid w:val="009A35AC"/>
    <w:rsid w:val="009A4DE2"/>
    <w:rsid w:val="009A5B21"/>
    <w:rsid w:val="009A60C9"/>
    <w:rsid w:val="009A72A2"/>
    <w:rsid w:val="009A7DAF"/>
    <w:rsid w:val="009B38AC"/>
    <w:rsid w:val="009B651B"/>
    <w:rsid w:val="009C2461"/>
    <w:rsid w:val="009D0AD2"/>
    <w:rsid w:val="009D32E8"/>
    <w:rsid w:val="009E06BF"/>
    <w:rsid w:val="009E08E2"/>
    <w:rsid w:val="009E1518"/>
    <w:rsid w:val="009E1A6C"/>
    <w:rsid w:val="009E2B2D"/>
    <w:rsid w:val="009E4A6D"/>
    <w:rsid w:val="009E4D6D"/>
    <w:rsid w:val="009E51FE"/>
    <w:rsid w:val="009E6B3C"/>
    <w:rsid w:val="009F1510"/>
    <w:rsid w:val="009F77E2"/>
    <w:rsid w:val="00A021C5"/>
    <w:rsid w:val="00A031C0"/>
    <w:rsid w:val="00A1333A"/>
    <w:rsid w:val="00A1700C"/>
    <w:rsid w:val="00A327C3"/>
    <w:rsid w:val="00A40D39"/>
    <w:rsid w:val="00A46148"/>
    <w:rsid w:val="00A704B0"/>
    <w:rsid w:val="00A81EE2"/>
    <w:rsid w:val="00A84969"/>
    <w:rsid w:val="00A851DD"/>
    <w:rsid w:val="00A908C9"/>
    <w:rsid w:val="00AA5598"/>
    <w:rsid w:val="00AB7AAF"/>
    <w:rsid w:val="00AC1AD5"/>
    <w:rsid w:val="00AC3AE6"/>
    <w:rsid w:val="00AC46CD"/>
    <w:rsid w:val="00AC550A"/>
    <w:rsid w:val="00AD18DC"/>
    <w:rsid w:val="00AE57E6"/>
    <w:rsid w:val="00AF044C"/>
    <w:rsid w:val="00AF0D10"/>
    <w:rsid w:val="00AF40D0"/>
    <w:rsid w:val="00AF71DB"/>
    <w:rsid w:val="00B01DB4"/>
    <w:rsid w:val="00B045F2"/>
    <w:rsid w:val="00B05108"/>
    <w:rsid w:val="00B056A8"/>
    <w:rsid w:val="00B11429"/>
    <w:rsid w:val="00B12328"/>
    <w:rsid w:val="00B12A6B"/>
    <w:rsid w:val="00B15480"/>
    <w:rsid w:val="00B24AC5"/>
    <w:rsid w:val="00B30403"/>
    <w:rsid w:val="00B46469"/>
    <w:rsid w:val="00B51D7E"/>
    <w:rsid w:val="00B56454"/>
    <w:rsid w:val="00B609DE"/>
    <w:rsid w:val="00B62185"/>
    <w:rsid w:val="00B63ECD"/>
    <w:rsid w:val="00B7165F"/>
    <w:rsid w:val="00B71738"/>
    <w:rsid w:val="00B73F07"/>
    <w:rsid w:val="00B90991"/>
    <w:rsid w:val="00B917E8"/>
    <w:rsid w:val="00B927BA"/>
    <w:rsid w:val="00BA2AAC"/>
    <w:rsid w:val="00BA7971"/>
    <w:rsid w:val="00BB1E12"/>
    <w:rsid w:val="00BC04BD"/>
    <w:rsid w:val="00BC072E"/>
    <w:rsid w:val="00BD2EC9"/>
    <w:rsid w:val="00BE3675"/>
    <w:rsid w:val="00BF006A"/>
    <w:rsid w:val="00BF53E1"/>
    <w:rsid w:val="00BF7361"/>
    <w:rsid w:val="00C0039B"/>
    <w:rsid w:val="00C05D21"/>
    <w:rsid w:val="00C129BD"/>
    <w:rsid w:val="00C15E32"/>
    <w:rsid w:val="00C16159"/>
    <w:rsid w:val="00C402C8"/>
    <w:rsid w:val="00C413B4"/>
    <w:rsid w:val="00C479B5"/>
    <w:rsid w:val="00C47CD8"/>
    <w:rsid w:val="00C5018E"/>
    <w:rsid w:val="00C5106E"/>
    <w:rsid w:val="00C534E3"/>
    <w:rsid w:val="00C55076"/>
    <w:rsid w:val="00C5614D"/>
    <w:rsid w:val="00C71FB4"/>
    <w:rsid w:val="00C747EC"/>
    <w:rsid w:val="00C833E1"/>
    <w:rsid w:val="00C83E59"/>
    <w:rsid w:val="00C84E41"/>
    <w:rsid w:val="00C84FA6"/>
    <w:rsid w:val="00C903F7"/>
    <w:rsid w:val="00C9567F"/>
    <w:rsid w:val="00CB0210"/>
    <w:rsid w:val="00CB04D5"/>
    <w:rsid w:val="00CB16E1"/>
    <w:rsid w:val="00CB6120"/>
    <w:rsid w:val="00CB6AFF"/>
    <w:rsid w:val="00CC472F"/>
    <w:rsid w:val="00CC615D"/>
    <w:rsid w:val="00CC7D83"/>
    <w:rsid w:val="00CD2AB8"/>
    <w:rsid w:val="00CD46B1"/>
    <w:rsid w:val="00CD4AA6"/>
    <w:rsid w:val="00CD6536"/>
    <w:rsid w:val="00CD7A13"/>
    <w:rsid w:val="00CE0CAA"/>
    <w:rsid w:val="00CE2A27"/>
    <w:rsid w:val="00D10807"/>
    <w:rsid w:val="00D12DB1"/>
    <w:rsid w:val="00D16B77"/>
    <w:rsid w:val="00D21484"/>
    <w:rsid w:val="00D26F75"/>
    <w:rsid w:val="00D41958"/>
    <w:rsid w:val="00D5050A"/>
    <w:rsid w:val="00D51B3C"/>
    <w:rsid w:val="00D53F20"/>
    <w:rsid w:val="00D56CA7"/>
    <w:rsid w:val="00D57981"/>
    <w:rsid w:val="00D607AC"/>
    <w:rsid w:val="00D638B9"/>
    <w:rsid w:val="00D63F48"/>
    <w:rsid w:val="00D67C3F"/>
    <w:rsid w:val="00D7148E"/>
    <w:rsid w:val="00D75AFC"/>
    <w:rsid w:val="00D80A9E"/>
    <w:rsid w:val="00D9092D"/>
    <w:rsid w:val="00D92803"/>
    <w:rsid w:val="00D932E9"/>
    <w:rsid w:val="00D93E75"/>
    <w:rsid w:val="00DA2254"/>
    <w:rsid w:val="00DB10AF"/>
    <w:rsid w:val="00DC1175"/>
    <w:rsid w:val="00DC4544"/>
    <w:rsid w:val="00DC7183"/>
    <w:rsid w:val="00DD1CF8"/>
    <w:rsid w:val="00DD5C2A"/>
    <w:rsid w:val="00DE46EC"/>
    <w:rsid w:val="00DE5980"/>
    <w:rsid w:val="00DE6D50"/>
    <w:rsid w:val="00DF11AD"/>
    <w:rsid w:val="00DF5067"/>
    <w:rsid w:val="00E01F4C"/>
    <w:rsid w:val="00E0401F"/>
    <w:rsid w:val="00E115C9"/>
    <w:rsid w:val="00E1234C"/>
    <w:rsid w:val="00E139E8"/>
    <w:rsid w:val="00E21CCA"/>
    <w:rsid w:val="00E22F13"/>
    <w:rsid w:val="00E32DBA"/>
    <w:rsid w:val="00E3702C"/>
    <w:rsid w:val="00E526C9"/>
    <w:rsid w:val="00E52D0F"/>
    <w:rsid w:val="00E5516E"/>
    <w:rsid w:val="00E63E54"/>
    <w:rsid w:val="00E64472"/>
    <w:rsid w:val="00E649D8"/>
    <w:rsid w:val="00E702D2"/>
    <w:rsid w:val="00E77453"/>
    <w:rsid w:val="00E80E4D"/>
    <w:rsid w:val="00E81506"/>
    <w:rsid w:val="00E85BFA"/>
    <w:rsid w:val="00E87ACD"/>
    <w:rsid w:val="00E90773"/>
    <w:rsid w:val="00E91856"/>
    <w:rsid w:val="00E92F62"/>
    <w:rsid w:val="00EA0250"/>
    <w:rsid w:val="00EA1164"/>
    <w:rsid w:val="00EA3C64"/>
    <w:rsid w:val="00EB40E0"/>
    <w:rsid w:val="00EB7306"/>
    <w:rsid w:val="00EB7AE8"/>
    <w:rsid w:val="00EC5FA4"/>
    <w:rsid w:val="00ED06D5"/>
    <w:rsid w:val="00ED3377"/>
    <w:rsid w:val="00EF46AC"/>
    <w:rsid w:val="00EF46E8"/>
    <w:rsid w:val="00F060B0"/>
    <w:rsid w:val="00F12136"/>
    <w:rsid w:val="00F12AD3"/>
    <w:rsid w:val="00F13C62"/>
    <w:rsid w:val="00F14436"/>
    <w:rsid w:val="00F14A38"/>
    <w:rsid w:val="00F22A50"/>
    <w:rsid w:val="00F2352F"/>
    <w:rsid w:val="00F35A75"/>
    <w:rsid w:val="00F37328"/>
    <w:rsid w:val="00F41BD2"/>
    <w:rsid w:val="00F56C71"/>
    <w:rsid w:val="00F57559"/>
    <w:rsid w:val="00F57CF8"/>
    <w:rsid w:val="00F65548"/>
    <w:rsid w:val="00F744D7"/>
    <w:rsid w:val="00F747F7"/>
    <w:rsid w:val="00F75BA9"/>
    <w:rsid w:val="00F75CEB"/>
    <w:rsid w:val="00F92356"/>
    <w:rsid w:val="00F93AE5"/>
    <w:rsid w:val="00F97D50"/>
    <w:rsid w:val="00FA49D3"/>
    <w:rsid w:val="00FB04BF"/>
    <w:rsid w:val="00FB2CCE"/>
    <w:rsid w:val="00FC0391"/>
    <w:rsid w:val="00FC2592"/>
    <w:rsid w:val="00FD1036"/>
    <w:rsid w:val="00FD149A"/>
    <w:rsid w:val="00FD6336"/>
    <w:rsid w:val="00FE0924"/>
    <w:rsid w:val="00FE4E1A"/>
    <w:rsid w:val="00FE59CB"/>
    <w:rsid w:val="00FF32BF"/>
    <w:rsid w:val="00FF3E5F"/>
    <w:rsid w:val="00FF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14:docId w14:val="02D7A641"/>
  <w15:docId w15:val="{14CC7E55-21CD-4961-9E8C-E0990DE2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2F44"/>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502F44"/>
    <w:rPr>
      <w:rFonts w:cs="Times New Roman"/>
    </w:rPr>
  </w:style>
  <w:style w:type="paragraph" w:styleId="Footer">
    <w:name w:val="footer"/>
    <w:basedOn w:val="Normal"/>
    <w:link w:val="FooterChar"/>
    <w:uiPriority w:val="99"/>
    <w:rsid w:val="00502F44"/>
    <w:pPr>
      <w:tabs>
        <w:tab w:val="center" w:pos="4513"/>
        <w:tab w:val="right" w:pos="9026"/>
      </w:tabs>
      <w:spacing w:after="0" w:line="240" w:lineRule="auto"/>
    </w:pPr>
    <w:rPr>
      <w:sz w:val="20"/>
      <w:szCs w:val="20"/>
    </w:rPr>
  </w:style>
  <w:style w:type="character" w:customStyle="1" w:styleId="FooterChar">
    <w:name w:val="Footer Char"/>
    <w:link w:val="Footer"/>
    <w:uiPriority w:val="99"/>
    <w:rsid w:val="00502F44"/>
    <w:rPr>
      <w:rFonts w:cs="Times New Roman"/>
    </w:rPr>
  </w:style>
  <w:style w:type="paragraph" w:styleId="ListParagraph">
    <w:name w:val="List Paragraph"/>
    <w:aliases w:val="Dot pt,F5 List Paragraph,List Paragraph1,No Spacing1,List Paragraph Char Char Char,Indicator Text,Numbered Para 1,Bullet Points,MAIN CONTENT,List Paragraph12,Bullet 1,OBC Bullet,Colorful List - Accent 11,List Paragraph2,Normal numbered"/>
    <w:basedOn w:val="Normal"/>
    <w:link w:val="ListParagraphChar"/>
    <w:qFormat/>
    <w:rsid w:val="008A6FD5"/>
    <w:pPr>
      <w:ind w:left="720"/>
      <w:contextualSpacing/>
    </w:pPr>
  </w:style>
  <w:style w:type="character" w:styleId="Hyperlink">
    <w:name w:val="Hyperlink"/>
    <w:uiPriority w:val="99"/>
    <w:rsid w:val="001D00F5"/>
    <w:rPr>
      <w:rFonts w:cs="Times New Roman"/>
      <w:color w:val="0000FF"/>
      <w:u w:val="single"/>
    </w:rPr>
  </w:style>
  <w:style w:type="paragraph" w:styleId="BalloonText">
    <w:name w:val="Balloon Text"/>
    <w:basedOn w:val="Normal"/>
    <w:link w:val="BalloonTextChar"/>
    <w:uiPriority w:val="99"/>
    <w:semiHidden/>
    <w:rsid w:val="000276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27693"/>
    <w:rPr>
      <w:rFonts w:ascii="Tahoma" w:hAnsi="Tahoma" w:cs="Tahoma"/>
      <w:sz w:val="16"/>
      <w:szCs w:val="16"/>
    </w:rPr>
  </w:style>
  <w:style w:type="character" w:styleId="CommentReference">
    <w:name w:val="annotation reference"/>
    <w:uiPriority w:val="99"/>
    <w:semiHidden/>
    <w:unhideWhenUsed/>
    <w:rsid w:val="00AC46CD"/>
    <w:rPr>
      <w:sz w:val="16"/>
      <w:szCs w:val="16"/>
    </w:rPr>
  </w:style>
  <w:style w:type="paragraph" w:styleId="CommentText">
    <w:name w:val="annotation text"/>
    <w:basedOn w:val="Normal"/>
    <w:link w:val="CommentTextChar"/>
    <w:uiPriority w:val="99"/>
    <w:semiHidden/>
    <w:unhideWhenUsed/>
    <w:rsid w:val="00AC46CD"/>
    <w:rPr>
      <w:sz w:val="20"/>
      <w:szCs w:val="20"/>
    </w:rPr>
  </w:style>
  <w:style w:type="character" w:customStyle="1" w:styleId="CommentTextChar">
    <w:name w:val="Comment Text Char"/>
    <w:basedOn w:val="DefaultParagraphFont"/>
    <w:link w:val="CommentText"/>
    <w:uiPriority w:val="99"/>
    <w:semiHidden/>
    <w:rsid w:val="00AC46CD"/>
  </w:style>
  <w:style w:type="paragraph" w:styleId="CommentSubject">
    <w:name w:val="annotation subject"/>
    <w:basedOn w:val="CommentText"/>
    <w:next w:val="CommentText"/>
    <w:link w:val="CommentSubjectChar"/>
    <w:uiPriority w:val="99"/>
    <w:semiHidden/>
    <w:unhideWhenUsed/>
    <w:rsid w:val="00AC46CD"/>
    <w:rPr>
      <w:b/>
      <w:bCs/>
    </w:rPr>
  </w:style>
  <w:style w:type="character" w:customStyle="1" w:styleId="CommentSubjectChar">
    <w:name w:val="Comment Subject Char"/>
    <w:link w:val="CommentSubject"/>
    <w:uiPriority w:val="99"/>
    <w:semiHidden/>
    <w:rsid w:val="00AC46CD"/>
    <w:rPr>
      <w:b/>
      <w:bCs/>
    </w:rPr>
  </w:style>
  <w:style w:type="paragraph" w:customStyle="1" w:styleId="Default">
    <w:name w:val="Default"/>
    <w:rsid w:val="00025A02"/>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
    <w:basedOn w:val="DefaultParagraphFont"/>
    <w:link w:val="ListParagraph"/>
    <w:uiPriority w:val="34"/>
    <w:qFormat/>
    <w:rsid w:val="00F14A38"/>
    <w:rPr>
      <w:sz w:val="22"/>
      <w:szCs w:val="22"/>
    </w:rPr>
  </w:style>
  <w:style w:type="paragraph" w:customStyle="1" w:styleId="Body">
    <w:name w:val="Body"/>
    <w:rsid w:val="00F14A38"/>
    <w:rPr>
      <w:rFonts w:ascii="Helvetica" w:eastAsia="ヒラギノ角ゴ Pro W3" w:hAnsi="Helvetica"/>
      <w:color w:val="000000"/>
      <w:sz w:val="24"/>
      <w:lang w:val="en-US"/>
    </w:rPr>
  </w:style>
  <w:style w:type="paragraph" w:styleId="NormalWeb">
    <w:name w:val="Normal (Web)"/>
    <w:basedOn w:val="Normal"/>
    <w:uiPriority w:val="99"/>
    <w:unhideWhenUsed/>
    <w:rsid w:val="009E4D6D"/>
    <w:pPr>
      <w:spacing w:before="100" w:beforeAutospacing="1" w:after="100" w:afterAutospacing="1" w:line="240" w:lineRule="auto"/>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7C160F"/>
    <w:rPr>
      <w:color w:val="800080" w:themeColor="followedHyperlink"/>
      <w:u w:val="single"/>
    </w:rPr>
  </w:style>
  <w:style w:type="paragraph" w:customStyle="1" w:styleId="ODPMLevel1">
    <w:name w:val="ODPM Level 1"/>
    <w:basedOn w:val="Normal"/>
    <w:rsid w:val="004467D4"/>
    <w:pPr>
      <w:tabs>
        <w:tab w:val="left" w:pos="-720"/>
      </w:tabs>
      <w:suppressAutoHyphens/>
      <w:spacing w:after="240" w:line="240" w:lineRule="auto"/>
    </w:pPr>
    <w:rPr>
      <w:rFonts w:ascii="Arial" w:hAnsi="Arial"/>
      <w:spacing w:val="-2"/>
      <w:sz w:val="24"/>
      <w:szCs w:val="20"/>
    </w:rPr>
  </w:style>
  <w:style w:type="paragraph" w:customStyle="1" w:styleId="msolistparagraph0">
    <w:name w:val="msolistparagraph"/>
    <w:basedOn w:val="Normal"/>
    <w:uiPriority w:val="99"/>
    <w:rsid w:val="00F65548"/>
    <w:pPr>
      <w:spacing w:after="0" w:line="240" w:lineRule="auto"/>
      <w:ind w:left="720"/>
    </w:pPr>
    <w:rPr>
      <w:lang w:eastAsia="en-US"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122">
      <w:bodyDiv w:val="1"/>
      <w:marLeft w:val="0"/>
      <w:marRight w:val="0"/>
      <w:marTop w:val="0"/>
      <w:marBottom w:val="0"/>
      <w:divBdr>
        <w:top w:val="none" w:sz="0" w:space="0" w:color="auto"/>
        <w:left w:val="none" w:sz="0" w:space="0" w:color="auto"/>
        <w:bottom w:val="none" w:sz="0" w:space="0" w:color="auto"/>
        <w:right w:val="none" w:sz="0" w:space="0" w:color="auto"/>
      </w:divBdr>
    </w:div>
    <w:div w:id="245916560">
      <w:bodyDiv w:val="1"/>
      <w:marLeft w:val="0"/>
      <w:marRight w:val="0"/>
      <w:marTop w:val="0"/>
      <w:marBottom w:val="0"/>
      <w:divBdr>
        <w:top w:val="none" w:sz="0" w:space="0" w:color="auto"/>
        <w:left w:val="none" w:sz="0" w:space="0" w:color="auto"/>
        <w:bottom w:val="none" w:sz="0" w:space="0" w:color="auto"/>
        <w:right w:val="none" w:sz="0" w:space="0" w:color="auto"/>
      </w:divBdr>
    </w:div>
    <w:div w:id="250355439">
      <w:bodyDiv w:val="1"/>
      <w:marLeft w:val="0"/>
      <w:marRight w:val="0"/>
      <w:marTop w:val="0"/>
      <w:marBottom w:val="0"/>
      <w:divBdr>
        <w:top w:val="none" w:sz="0" w:space="0" w:color="auto"/>
        <w:left w:val="none" w:sz="0" w:space="0" w:color="auto"/>
        <w:bottom w:val="none" w:sz="0" w:space="0" w:color="auto"/>
        <w:right w:val="none" w:sz="0" w:space="0" w:color="auto"/>
      </w:divBdr>
    </w:div>
    <w:div w:id="251816022">
      <w:bodyDiv w:val="1"/>
      <w:marLeft w:val="0"/>
      <w:marRight w:val="0"/>
      <w:marTop w:val="0"/>
      <w:marBottom w:val="0"/>
      <w:divBdr>
        <w:top w:val="none" w:sz="0" w:space="0" w:color="auto"/>
        <w:left w:val="none" w:sz="0" w:space="0" w:color="auto"/>
        <w:bottom w:val="none" w:sz="0" w:space="0" w:color="auto"/>
        <w:right w:val="none" w:sz="0" w:space="0" w:color="auto"/>
      </w:divBdr>
    </w:div>
    <w:div w:id="260144417">
      <w:bodyDiv w:val="1"/>
      <w:marLeft w:val="0"/>
      <w:marRight w:val="0"/>
      <w:marTop w:val="0"/>
      <w:marBottom w:val="0"/>
      <w:divBdr>
        <w:top w:val="none" w:sz="0" w:space="0" w:color="auto"/>
        <w:left w:val="none" w:sz="0" w:space="0" w:color="auto"/>
        <w:bottom w:val="none" w:sz="0" w:space="0" w:color="auto"/>
        <w:right w:val="none" w:sz="0" w:space="0" w:color="auto"/>
      </w:divBdr>
    </w:div>
    <w:div w:id="279532108">
      <w:bodyDiv w:val="1"/>
      <w:marLeft w:val="0"/>
      <w:marRight w:val="0"/>
      <w:marTop w:val="0"/>
      <w:marBottom w:val="0"/>
      <w:divBdr>
        <w:top w:val="none" w:sz="0" w:space="0" w:color="auto"/>
        <w:left w:val="none" w:sz="0" w:space="0" w:color="auto"/>
        <w:bottom w:val="none" w:sz="0" w:space="0" w:color="auto"/>
        <w:right w:val="none" w:sz="0" w:space="0" w:color="auto"/>
      </w:divBdr>
    </w:div>
    <w:div w:id="285041935">
      <w:bodyDiv w:val="1"/>
      <w:marLeft w:val="0"/>
      <w:marRight w:val="0"/>
      <w:marTop w:val="0"/>
      <w:marBottom w:val="0"/>
      <w:divBdr>
        <w:top w:val="none" w:sz="0" w:space="0" w:color="auto"/>
        <w:left w:val="none" w:sz="0" w:space="0" w:color="auto"/>
        <w:bottom w:val="none" w:sz="0" w:space="0" w:color="auto"/>
        <w:right w:val="none" w:sz="0" w:space="0" w:color="auto"/>
      </w:divBdr>
    </w:div>
    <w:div w:id="436412213">
      <w:bodyDiv w:val="1"/>
      <w:marLeft w:val="0"/>
      <w:marRight w:val="0"/>
      <w:marTop w:val="0"/>
      <w:marBottom w:val="0"/>
      <w:divBdr>
        <w:top w:val="none" w:sz="0" w:space="0" w:color="auto"/>
        <w:left w:val="none" w:sz="0" w:space="0" w:color="auto"/>
        <w:bottom w:val="none" w:sz="0" w:space="0" w:color="auto"/>
        <w:right w:val="none" w:sz="0" w:space="0" w:color="auto"/>
      </w:divBdr>
    </w:div>
    <w:div w:id="466707479">
      <w:bodyDiv w:val="1"/>
      <w:marLeft w:val="0"/>
      <w:marRight w:val="0"/>
      <w:marTop w:val="0"/>
      <w:marBottom w:val="0"/>
      <w:divBdr>
        <w:top w:val="none" w:sz="0" w:space="0" w:color="auto"/>
        <w:left w:val="none" w:sz="0" w:space="0" w:color="auto"/>
        <w:bottom w:val="none" w:sz="0" w:space="0" w:color="auto"/>
        <w:right w:val="none" w:sz="0" w:space="0" w:color="auto"/>
      </w:divBdr>
    </w:div>
    <w:div w:id="484316281">
      <w:bodyDiv w:val="1"/>
      <w:marLeft w:val="0"/>
      <w:marRight w:val="0"/>
      <w:marTop w:val="0"/>
      <w:marBottom w:val="0"/>
      <w:divBdr>
        <w:top w:val="none" w:sz="0" w:space="0" w:color="auto"/>
        <w:left w:val="none" w:sz="0" w:space="0" w:color="auto"/>
        <w:bottom w:val="none" w:sz="0" w:space="0" w:color="auto"/>
        <w:right w:val="none" w:sz="0" w:space="0" w:color="auto"/>
      </w:divBdr>
    </w:div>
    <w:div w:id="573050157">
      <w:bodyDiv w:val="1"/>
      <w:marLeft w:val="0"/>
      <w:marRight w:val="0"/>
      <w:marTop w:val="0"/>
      <w:marBottom w:val="0"/>
      <w:divBdr>
        <w:top w:val="none" w:sz="0" w:space="0" w:color="auto"/>
        <w:left w:val="none" w:sz="0" w:space="0" w:color="auto"/>
        <w:bottom w:val="none" w:sz="0" w:space="0" w:color="auto"/>
        <w:right w:val="none" w:sz="0" w:space="0" w:color="auto"/>
      </w:divBdr>
    </w:div>
    <w:div w:id="619528604">
      <w:bodyDiv w:val="1"/>
      <w:marLeft w:val="0"/>
      <w:marRight w:val="0"/>
      <w:marTop w:val="0"/>
      <w:marBottom w:val="0"/>
      <w:divBdr>
        <w:top w:val="none" w:sz="0" w:space="0" w:color="auto"/>
        <w:left w:val="none" w:sz="0" w:space="0" w:color="auto"/>
        <w:bottom w:val="none" w:sz="0" w:space="0" w:color="auto"/>
        <w:right w:val="none" w:sz="0" w:space="0" w:color="auto"/>
      </w:divBdr>
    </w:div>
    <w:div w:id="762410756">
      <w:bodyDiv w:val="1"/>
      <w:marLeft w:val="0"/>
      <w:marRight w:val="0"/>
      <w:marTop w:val="0"/>
      <w:marBottom w:val="0"/>
      <w:divBdr>
        <w:top w:val="none" w:sz="0" w:space="0" w:color="auto"/>
        <w:left w:val="none" w:sz="0" w:space="0" w:color="auto"/>
        <w:bottom w:val="none" w:sz="0" w:space="0" w:color="auto"/>
        <w:right w:val="none" w:sz="0" w:space="0" w:color="auto"/>
      </w:divBdr>
    </w:div>
    <w:div w:id="808283812">
      <w:bodyDiv w:val="1"/>
      <w:marLeft w:val="0"/>
      <w:marRight w:val="0"/>
      <w:marTop w:val="0"/>
      <w:marBottom w:val="0"/>
      <w:divBdr>
        <w:top w:val="none" w:sz="0" w:space="0" w:color="auto"/>
        <w:left w:val="none" w:sz="0" w:space="0" w:color="auto"/>
        <w:bottom w:val="none" w:sz="0" w:space="0" w:color="auto"/>
        <w:right w:val="none" w:sz="0" w:space="0" w:color="auto"/>
      </w:divBdr>
    </w:div>
    <w:div w:id="814760446">
      <w:bodyDiv w:val="1"/>
      <w:marLeft w:val="0"/>
      <w:marRight w:val="0"/>
      <w:marTop w:val="0"/>
      <w:marBottom w:val="0"/>
      <w:divBdr>
        <w:top w:val="none" w:sz="0" w:space="0" w:color="auto"/>
        <w:left w:val="none" w:sz="0" w:space="0" w:color="auto"/>
        <w:bottom w:val="none" w:sz="0" w:space="0" w:color="auto"/>
        <w:right w:val="none" w:sz="0" w:space="0" w:color="auto"/>
      </w:divBdr>
    </w:div>
    <w:div w:id="883324619">
      <w:bodyDiv w:val="1"/>
      <w:marLeft w:val="0"/>
      <w:marRight w:val="0"/>
      <w:marTop w:val="0"/>
      <w:marBottom w:val="0"/>
      <w:divBdr>
        <w:top w:val="none" w:sz="0" w:space="0" w:color="auto"/>
        <w:left w:val="none" w:sz="0" w:space="0" w:color="auto"/>
        <w:bottom w:val="none" w:sz="0" w:space="0" w:color="auto"/>
        <w:right w:val="none" w:sz="0" w:space="0" w:color="auto"/>
      </w:divBdr>
    </w:div>
    <w:div w:id="891309370">
      <w:bodyDiv w:val="1"/>
      <w:marLeft w:val="0"/>
      <w:marRight w:val="0"/>
      <w:marTop w:val="0"/>
      <w:marBottom w:val="0"/>
      <w:divBdr>
        <w:top w:val="none" w:sz="0" w:space="0" w:color="auto"/>
        <w:left w:val="none" w:sz="0" w:space="0" w:color="auto"/>
        <w:bottom w:val="none" w:sz="0" w:space="0" w:color="auto"/>
        <w:right w:val="none" w:sz="0" w:space="0" w:color="auto"/>
      </w:divBdr>
    </w:div>
    <w:div w:id="896090002">
      <w:bodyDiv w:val="1"/>
      <w:marLeft w:val="0"/>
      <w:marRight w:val="0"/>
      <w:marTop w:val="0"/>
      <w:marBottom w:val="0"/>
      <w:divBdr>
        <w:top w:val="none" w:sz="0" w:space="0" w:color="auto"/>
        <w:left w:val="none" w:sz="0" w:space="0" w:color="auto"/>
        <w:bottom w:val="none" w:sz="0" w:space="0" w:color="auto"/>
        <w:right w:val="none" w:sz="0" w:space="0" w:color="auto"/>
      </w:divBdr>
    </w:div>
    <w:div w:id="952400523">
      <w:bodyDiv w:val="1"/>
      <w:marLeft w:val="0"/>
      <w:marRight w:val="0"/>
      <w:marTop w:val="0"/>
      <w:marBottom w:val="0"/>
      <w:divBdr>
        <w:top w:val="none" w:sz="0" w:space="0" w:color="auto"/>
        <w:left w:val="none" w:sz="0" w:space="0" w:color="auto"/>
        <w:bottom w:val="none" w:sz="0" w:space="0" w:color="auto"/>
        <w:right w:val="none" w:sz="0" w:space="0" w:color="auto"/>
      </w:divBdr>
    </w:div>
    <w:div w:id="1038434144">
      <w:bodyDiv w:val="1"/>
      <w:marLeft w:val="0"/>
      <w:marRight w:val="0"/>
      <w:marTop w:val="0"/>
      <w:marBottom w:val="0"/>
      <w:divBdr>
        <w:top w:val="none" w:sz="0" w:space="0" w:color="auto"/>
        <w:left w:val="none" w:sz="0" w:space="0" w:color="auto"/>
        <w:bottom w:val="none" w:sz="0" w:space="0" w:color="auto"/>
        <w:right w:val="none" w:sz="0" w:space="0" w:color="auto"/>
      </w:divBdr>
    </w:div>
    <w:div w:id="1072460160">
      <w:bodyDiv w:val="1"/>
      <w:marLeft w:val="0"/>
      <w:marRight w:val="0"/>
      <w:marTop w:val="0"/>
      <w:marBottom w:val="0"/>
      <w:divBdr>
        <w:top w:val="none" w:sz="0" w:space="0" w:color="auto"/>
        <w:left w:val="none" w:sz="0" w:space="0" w:color="auto"/>
        <w:bottom w:val="none" w:sz="0" w:space="0" w:color="auto"/>
        <w:right w:val="none" w:sz="0" w:space="0" w:color="auto"/>
      </w:divBdr>
    </w:div>
    <w:div w:id="1078480608">
      <w:bodyDiv w:val="1"/>
      <w:marLeft w:val="0"/>
      <w:marRight w:val="0"/>
      <w:marTop w:val="0"/>
      <w:marBottom w:val="0"/>
      <w:divBdr>
        <w:top w:val="none" w:sz="0" w:space="0" w:color="auto"/>
        <w:left w:val="none" w:sz="0" w:space="0" w:color="auto"/>
        <w:bottom w:val="none" w:sz="0" w:space="0" w:color="auto"/>
        <w:right w:val="none" w:sz="0" w:space="0" w:color="auto"/>
      </w:divBdr>
    </w:div>
    <w:div w:id="1138491770">
      <w:bodyDiv w:val="1"/>
      <w:marLeft w:val="0"/>
      <w:marRight w:val="0"/>
      <w:marTop w:val="0"/>
      <w:marBottom w:val="0"/>
      <w:divBdr>
        <w:top w:val="none" w:sz="0" w:space="0" w:color="auto"/>
        <w:left w:val="none" w:sz="0" w:space="0" w:color="auto"/>
        <w:bottom w:val="none" w:sz="0" w:space="0" w:color="auto"/>
        <w:right w:val="none" w:sz="0" w:space="0" w:color="auto"/>
      </w:divBdr>
    </w:div>
    <w:div w:id="1147698787">
      <w:bodyDiv w:val="1"/>
      <w:marLeft w:val="0"/>
      <w:marRight w:val="0"/>
      <w:marTop w:val="0"/>
      <w:marBottom w:val="0"/>
      <w:divBdr>
        <w:top w:val="none" w:sz="0" w:space="0" w:color="auto"/>
        <w:left w:val="none" w:sz="0" w:space="0" w:color="auto"/>
        <w:bottom w:val="none" w:sz="0" w:space="0" w:color="auto"/>
        <w:right w:val="none" w:sz="0" w:space="0" w:color="auto"/>
      </w:divBdr>
    </w:div>
    <w:div w:id="1174609785">
      <w:bodyDiv w:val="1"/>
      <w:marLeft w:val="0"/>
      <w:marRight w:val="0"/>
      <w:marTop w:val="0"/>
      <w:marBottom w:val="0"/>
      <w:divBdr>
        <w:top w:val="none" w:sz="0" w:space="0" w:color="auto"/>
        <w:left w:val="none" w:sz="0" w:space="0" w:color="auto"/>
        <w:bottom w:val="none" w:sz="0" w:space="0" w:color="auto"/>
        <w:right w:val="none" w:sz="0" w:space="0" w:color="auto"/>
      </w:divBdr>
    </w:div>
    <w:div w:id="1212424488">
      <w:bodyDiv w:val="1"/>
      <w:marLeft w:val="0"/>
      <w:marRight w:val="0"/>
      <w:marTop w:val="0"/>
      <w:marBottom w:val="0"/>
      <w:divBdr>
        <w:top w:val="none" w:sz="0" w:space="0" w:color="auto"/>
        <w:left w:val="none" w:sz="0" w:space="0" w:color="auto"/>
        <w:bottom w:val="none" w:sz="0" w:space="0" w:color="auto"/>
        <w:right w:val="none" w:sz="0" w:space="0" w:color="auto"/>
      </w:divBdr>
    </w:div>
    <w:div w:id="1244147313">
      <w:bodyDiv w:val="1"/>
      <w:marLeft w:val="0"/>
      <w:marRight w:val="0"/>
      <w:marTop w:val="0"/>
      <w:marBottom w:val="0"/>
      <w:divBdr>
        <w:top w:val="none" w:sz="0" w:space="0" w:color="auto"/>
        <w:left w:val="none" w:sz="0" w:space="0" w:color="auto"/>
        <w:bottom w:val="none" w:sz="0" w:space="0" w:color="auto"/>
        <w:right w:val="none" w:sz="0" w:space="0" w:color="auto"/>
      </w:divBdr>
    </w:div>
    <w:div w:id="1349983483">
      <w:bodyDiv w:val="1"/>
      <w:marLeft w:val="0"/>
      <w:marRight w:val="0"/>
      <w:marTop w:val="0"/>
      <w:marBottom w:val="0"/>
      <w:divBdr>
        <w:top w:val="none" w:sz="0" w:space="0" w:color="auto"/>
        <w:left w:val="none" w:sz="0" w:space="0" w:color="auto"/>
        <w:bottom w:val="none" w:sz="0" w:space="0" w:color="auto"/>
        <w:right w:val="none" w:sz="0" w:space="0" w:color="auto"/>
      </w:divBdr>
    </w:div>
    <w:div w:id="1543594246">
      <w:bodyDiv w:val="1"/>
      <w:marLeft w:val="0"/>
      <w:marRight w:val="0"/>
      <w:marTop w:val="0"/>
      <w:marBottom w:val="0"/>
      <w:divBdr>
        <w:top w:val="none" w:sz="0" w:space="0" w:color="auto"/>
        <w:left w:val="none" w:sz="0" w:space="0" w:color="auto"/>
        <w:bottom w:val="none" w:sz="0" w:space="0" w:color="auto"/>
        <w:right w:val="none" w:sz="0" w:space="0" w:color="auto"/>
      </w:divBdr>
    </w:div>
    <w:div w:id="1548763632">
      <w:bodyDiv w:val="1"/>
      <w:marLeft w:val="0"/>
      <w:marRight w:val="0"/>
      <w:marTop w:val="0"/>
      <w:marBottom w:val="0"/>
      <w:divBdr>
        <w:top w:val="none" w:sz="0" w:space="0" w:color="auto"/>
        <w:left w:val="none" w:sz="0" w:space="0" w:color="auto"/>
        <w:bottom w:val="none" w:sz="0" w:space="0" w:color="auto"/>
        <w:right w:val="none" w:sz="0" w:space="0" w:color="auto"/>
      </w:divBdr>
    </w:div>
    <w:div w:id="1733236911">
      <w:bodyDiv w:val="1"/>
      <w:marLeft w:val="0"/>
      <w:marRight w:val="0"/>
      <w:marTop w:val="0"/>
      <w:marBottom w:val="0"/>
      <w:divBdr>
        <w:top w:val="none" w:sz="0" w:space="0" w:color="auto"/>
        <w:left w:val="none" w:sz="0" w:space="0" w:color="auto"/>
        <w:bottom w:val="none" w:sz="0" w:space="0" w:color="auto"/>
        <w:right w:val="none" w:sz="0" w:space="0" w:color="auto"/>
      </w:divBdr>
    </w:div>
    <w:div w:id="1843661758">
      <w:marLeft w:val="0"/>
      <w:marRight w:val="0"/>
      <w:marTop w:val="0"/>
      <w:marBottom w:val="0"/>
      <w:divBdr>
        <w:top w:val="none" w:sz="0" w:space="0" w:color="auto"/>
        <w:left w:val="none" w:sz="0" w:space="0" w:color="auto"/>
        <w:bottom w:val="none" w:sz="0" w:space="0" w:color="auto"/>
        <w:right w:val="none" w:sz="0" w:space="0" w:color="auto"/>
      </w:divBdr>
    </w:div>
    <w:div w:id="1843661759">
      <w:marLeft w:val="0"/>
      <w:marRight w:val="0"/>
      <w:marTop w:val="0"/>
      <w:marBottom w:val="0"/>
      <w:divBdr>
        <w:top w:val="none" w:sz="0" w:space="0" w:color="auto"/>
        <w:left w:val="none" w:sz="0" w:space="0" w:color="auto"/>
        <w:bottom w:val="none" w:sz="0" w:space="0" w:color="auto"/>
        <w:right w:val="none" w:sz="0" w:space="0" w:color="auto"/>
      </w:divBdr>
    </w:div>
    <w:div w:id="1843661760">
      <w:marLeft w:val="0"/>
      <w:marRight w:val="0"/>
      <w:marTop w:val="0"/>
      <w:marBottom w:val="0"/>
      <w:divBdr>
        <w:top w:val="none" w:sz="0" w:space="0" w:color="auto"/>
        <w:left w:val="none" w:sz="0" w:space="0" w:color="auto"/>
        <w:bottom w:val="none" w:sz="0" w:space="0" w:color="auto"/>
        <w:right w:val="none" w:sz="0" w:space="0" w:color="auto"/>
      </w:divBdr>
    </w:div>
    <w:div w:id="1843661761">
      <w:marLeft w:val="0"/>
      <w:marRight w:val="0"/>
      <w:marTop w:val="0"/>
      <w:marBottom w:val="0"/>
      <w:divBdr>
        <w:top w:val="none" w:sz="0" w:space="0" w:color="auto"/>
        <w:left w:val="none" w:sz="0" w:space="0" w:color="auto"/>
        <w:bottom w:val="none" w:sz="0" w:space="0" w:color="auto"/>
        <w:right w:val="none" w:sz="0" w:space="0" w:color="auto"/>
      </w:divBdr>
    </w:div>
    <w:div w:id="1843661762">
      <w:marLeft w:val="0"/>
      <w:marRight w:val="0"/>
      <w:marTop w:val="0"/>
      <w:marBottom w:val="0"/>
      <w:divBdr>
        <w:top w:val="none" w:sz="0" w:space="0" w:color="auto"/>
        <w:left w:val="none" w:sz="0" w:space="0" w:color="auto"/>
        <w:bottom w:val="none" w:sz="0" w:space="0" w:color="auto"/>
        <w:right w:val="none" w:sz="0" w:space="0" w:color="auto"/>
      </w:divBdr>
    </w:div>
    <w:div w:id="1843661763">
      <w:marLeft w:val="0"/>
      <w:marRight w:val="0"/>
      <w:marTop w:val="0"/>
      <w:marBottom w:val="0"/>
      <w:divBdr>
        <w:top w:val="none" w:sz="0" w:space="0" w:color="auto"/>
        <w:left w:val="none" w:sz="0" w:space="0" w:color="auto"/>
        <w:bottom w:val="none" w:sz="0" w:space="0" w:color="auto"/>
        <w:right w:val="none" w:sz="0" w:space="0" w:color="auto"/>
      </w:divBdr>
    </w:div>
    <w:div w:id="1843661764">
      <w:marLeft w:val="0"/>
      <w:marRight w:val="0"/>
      <w:marTop w:val="0"/>
      <w:marBottom w:val="0"/>
      <w:divBdr>
        <w:top w:val="none" w:sz="0" w:space="0" w:color="auto"/>
        <w:left w:val="none" w:sz="0" w:space="0" w:color="auto"/>
        <w:bottom w:val="none" w:sz="0" w:space="0" w:color="auto"/>
        <w:right w:val="none" w:sz="0" w:space="0" w:color="auto"/>
      </w:divBdr>
    </w:div>
    <w:div w:id="1894609749">
      <w:bodyDiv w:val="1"/>
      <w:marLeft w:val="0"/>
      <w:marRight w:val="0"/>
      <w:marTop w:val="0"/>
      <w:marBottom w:val="0"/>
      <w:divBdr>
        <w:top w:val="none" w:sz="0" w:space="0" w:color="auto"/>
        <w:left w:val="none" w:sz="0" w:space="0" w:color="auto"/>
        <w:bottom w:val="none" w:sz="0" w:space="0" w:color="auto"/>
        <w:right w:val="none" w:sz="0" w:space="0" w:color="auto"/>
      </w:divBdr>
    </w:div>
    <w:div w:id="21370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about-our-statisti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restrict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3484-9589-48E7-A57E-7B728A2F0009}">
  <ds:schemaRefs/>
</ds:datastoreItem>
</file>

<file path=customXml/itemProps2.xml><?xml version="1.0" encoding="utf-8"?>
<ds:datastoreItem xmlns:ds="http://schemas.openxmlformats.org/officeDocument/2006/customXml" ds:itemID="{2F92300B-6553-4529-8280-E3632E3B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266213FA.dotm</Template>
  <TotalTime>0</TotalTime>
  <Pages>18</Pages>
  <Words>5453</Words>
  <Characters>31085</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36466</CharactersWithSpaces>
  <SharedDoc>false</SharedDoc>
  <HLinks>
    <vt:vector size="6" baseType="variant">
      <vt:variant>
        <vt:i4>4063342</vt:i4>
      </vt:variant>
      <vt:variant>
        <vt:i4>0</vt:i4>
      </vt:variant>
      <vt:variant>
        <vt:i4>0</vt:i4>
      </vt:variant>
      <vt:variant>
        <vt:i4>5</vt:i4>
      </vt:variant>
      <vt:variant>
        <vt:lpwstr>https://www.gov.uk/government/policy-advisory-groups/welfare-sector-transparency-board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rogcmlloyd</dc:creator>
  <cp:keywords/>
  <cp:lastModifiedBy>TAYLOR, Mark</cp:lastModifiedBy>
  <cp:revision>2</cp:revision>
  <cp:lastPrinted>2014-07-16T10:20:00Z</cp:lastPrinted>
  <dcterms:created xsi:type="dcterms:W3CDTF">2014-10-17T13:49:00Z</dcterms:created>
  <dcterms:modified xsi:type="dcterms:W3CDTF">2014-10-17T13:49:00Z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RESTRICTED</vt:lpwstr>
  </property>
  <property fmtid="{D5CDD505-2E9C-101B-9397-08002B2CF9AE}" pid="3" name="Document Security Label">
    <vt:lpwstr>RESTRICTED</vt:lpwstr>
  </property>
  <property fmtid="{D5CDD505-2E9C-101B-9397-08002B2CF9AE}" pid="4" name="bjDocumentSecurityXML">
    <vt:lpwstr>&lt;label version="1.0"&gt;&lt;element uid="id_newpolicy" value=""/&gt;&lt;element uid="id_restricted"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RESTRICTED</vt:lpwstr>
  </property>
  <property fmtid="{D5CDD505-2E9C-101B-9397-08002B2CF9AE}" pid="8" name="bjSecLabelProp1ID">
    <vt:lpwstr>id_restricted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a7aa2eae-995c-469c-a965-dd7b12d97636</vt:lpwstr>
  </property>
</Properties>
</file>