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B" w:rsidRPr="00F90B8B" w:rsidRDefault="00F90B8B" w:rsidP="00375BEE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r w:rsidRPr="00F90B8B">
        <w:rPr>
          <w:b/>
          <w:bCs/>
          <w:sz w:val="24"/>
          <w:szCs w:val="24"/>
          <w:u w:val="single"/>
        </w:rPr>
        <w:t>PQ HL1422</w:t>
      </w:r>
    </w:p>
    <w:bookmarkEnd w:id="0"/>
    <w:p w:rsidR="00F90B8B" w:rsidRDefault="00F90B8B" w:rsidP="00375BEE">
      <w:pPr>
        <w:jc w:val="both"/>
        <w:rPr>
          <w:bCs/>
          <w:sz w:val="24"/>
          <w:szCs w:val="24"/>
        </w:rPr>
      </w:pPr>
    </w:p>
    <w:p w:rsidR="00375BEE" w:rsidRDefault="00375BEE" w:rsidP="00375B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Of the 60 statutory instruments laid this calendar year (as of July), the following amendments or improvements were made:</w:t>
      </w:r>
    </w:p>
    <w:p w:rsidR="00375BEE" w:rsidRPr="005B1926" w:rsidRDefault="00375BEE" w:rsidP="00375BEE">
      <w:pPr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5537"/>
      </w:tblGrid>
      <w:tr w:rsidR="00375BEE" w:rsidRPr="005B1926" w:rsidTr="00606597">
        <w:tc>
          <w:tcPr>
            <w:tcW w:w="2992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>Statutory instrument</w:t>
            </w:r>
            <w:r w:rsidRPr="005B1926">
              <w:rPr>
                <w:b/>
              </w:rPr>
              <w:t xml:space="preserve"> 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Amendments</w:t>
            </w:r>
          </w:p>
        </w:tc>
      </w:tr>
      <w:tr w:rsidR="00375BEE" w:rsidRPr="005B1926" w:rsidTr="00606597">
        <w:tc>
          <w:tcPr>
            <w:tcW w:w="2992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>
              <w:t>The Non-</w:t>
            </w:r>
            <w:r w:rsidRPr="005B1926">
              <w:t>Domestic Rating (Rates Retention) (Amendment) Regulations 2014 (SI 2014/96)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  <w:jc w:val="both"/>
            </w:pPr>
            <w:r w:rsidRPr="005B1926">
              <w:t xml:space="preserve">Regulation 2(2) and (3) of this </w:t>
            </w:r>
            <w:r>
              <w:t xml:space="preserve">SI amended </w:t>
            </w:r>
            <w:r w:rsidRPr="005B1926">
              <w:t>Non-Domestic Rating (Rates Retention) Regulations 2013 (SI 2013/452). Th</w:t>
            </w:r>
            <w:r>
              <w:t>is amended</w:t>
            </w:r>
            <w:r w:rsidRPr="005B1926">
              <w:t xml:space="preserve"> </w:t>
            </w:r>
            <w:r>
              <w:t>cross-</w:t>
            </w:r>
            <w:r w:rsidRPr="005B1926">
              <w:t>references</w:t>
            </w:r>
            <w:r w:rsidRPr="005B1926">
              <w:rPr>
                <w:color w:val="1F497D"/>
              </w:rPr>
              <w:t xml:space="preserve"> </w:t>
            </w:r>
            <w:r w:rsidRPr="005B1926">
              <w:t>that were picked up when we came to making amending regulations for the purpose of changing a calculation on new instructions from policy.  The correction was the not the primary reason for making this SI.</w:t>
            </w:r>
          </w:p>
        </w:tc>
      </w:tr>
      <w:tr w:rsidR="00375BEE" w:rsidRPr="005B1926" w:rsidTr="00606597">
        <w:tc>
          <w:tcPr>
            <w:tcW w:w="2992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The Community Infrastructure Levy (Amendment) Regulations 2014</w:t>
            </w:r>
          </w:p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(SI 2014/385)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  <w:jc w:val="both"/>
            </w:pPr>
            <w:r w:rsidRPr="005B1926">
              <w:t xml:space="preserve">The draft legislation was re-laid following a revision to the drafting of a provision about the abatement of </w:t>
            </w:r>
            <w:r>
              <w:t>community infrastructure levy</w:t>
            </w:r>
            <w:r w:rsidRPr="005B1926">
              <w:t xml:space="preserve">, to ensure that the provision worked as effectively as intended in allowing offsetting of earlier levy payments. In particular, we wanted to make clearer that </w:t>
            </w:r>
            <w:r>
              <w:t xml:space="preserve">local </w:t>
            </w:r>
            <w:r w:rsidRPr="005B1926">
              <w:t xml:space="preserve">authorities were enabled to grant the abatement. </w:t>
            </w:r>
          </w:p>
        </w:tc>
      </w:tr>
      <w:tr w:rsidR="00375BEE" w:rsidRPr="005B1926" w:rsidTr="00606597">
        <w:tc>
          <w:tcPr>
            <w:tcW w:w="2992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The Mobile Homes (Site Licensing) (England) Regulations 2014 (SI 2014/442)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  <w:jc w:val="both"/>
            </w:pPr>
            <w:r w:rsidRPr="005B1926">
              <w:t xml:space="preserve">This SI corrected </w:t>
            </w:r>
            <w:r>
              <w:t>t</w:t>
            </w:r>
            <w:r w:rsidRPr="005B1926">
              <w:t xml:space="preserve">he Mobile Homes (Site Rules) (England) Regulations 2014 (S.I. 2014/5). S.I. 2014/442 made a minor amendment to S.I. 2013/981, to re-word the amendment to this S.I. made by S.I. 2014/5, to clarify the additional prescribed grounds upon which a refusal order may be sought by a private registered provider of social housing, who is seeking to prevent the occupier of a mobile home from selling or gifting the home to a particular proposed occupier.  </w:t>
            </w:r>
          </w:p>
          <w:p w:rsidR="00375BEE" w:rsidRPr="005B1926" w:rsidRDefault="00375BEE" w:rsidP="00606597">
            <w:pPr>
              <w:autoSpaceDE/>
              <w:autoSpaceDN/>
              <w:spacing w:after="200" w:line="276" w:lineRule="auto"/>
              <w:jc w:val="both"/>
            </w:pPr>
            <w:r w:rsidRPr="005B1926">
              <w:t xml:space="preserve">These changes were made following feedback from the </w:t>
            </w:r>
            <w:r>
              <w:t>Joint Committee</w:t>
            </w:r>
            <w:r w:rsidRPr="005B1926">
              <w:t>.  The correction was the not the primary reason for making this SI.</w:t>
            </w:r>
          </w:p>
        </w:tc>
      </w:tr>
      <w:tr w:rsidR="00375BEE" w:rsidRPr="005B1926" w:rsidTr="00606597">
        <w:tc>
          <w:tcPr>
            <w:tcW w:w="2992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The Firefighters’ Compensation Scheme (England) (Amendment) Order 2014</w:t>
            </w:r>
          </w:p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(SI 2014/447)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  <w:jc w:val="both"/>
            </w:pPr>
            <w:r w:rsidRPr="005B1926">
              <w:t xml:space="preserve">Amendments were made to Part 1 and Schedule 1 of the Firefighters’ Compensation Scheme (England) Order 2006 (S.I. 2006/1811) to correct an existing error in the original Scheme that omitted the mechanism for determining an individual’s pensionable pay where they are neither a member of the 1992 or 2006 Scheme. The correction was the not the primary reason for making this SI. </w:t>
            </w:r>
          </w:p>
        </w:tc>
      </w:tr>
      <w:tr w:rsidR="00375BEE" w:rsidRPr="005B1926" w:rsidTr="00606597">
        <w:tc>
          <w:tcPr>
            <w:tcW w:w="2992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The Council Tax Reduction Schemes (Prescribed Requirements) (England) (Amendment) Regulations 2014 (SI 2014/448)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  <w:jc w:val="both"/>
            </w:pPr>
            <w:r w:rsidRPr="005B1926">
              <w:t>The purpose of the SI was to uprate a figure in the original SI (SI 2012/2885) which should have been uprated by SI 2013/3181 but was</w:t>
            </w:r>
            <w:r>
              <w:t xml:space="preserve"> no</w:t>
            </w:r>
            <w:r w:rsidRPr="005B1926">
              <w:t xml:space="preserve">t, and to correct the amount of a second figure which had been incorrectly uprated by SI 2013/3181. </w:t>
            </w:r>
          </w:p>
        </w:tc>
      </w:tr>
      <w:tr w:rsidR="00375BEE" w:rsidRPr="005B1926" w:rsidTr="00606597">
        <w:tc>
          <w:tcPr>
            <w:tcW w:w="2992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The Building Regulations &amp;c. (Amendment) Regulations 2014</w:t>
            </w:r>
          </w:p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(SI 2014/579)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  <w:jc w:val="both"/>
            </w:pPr>
            <w:r w:rsidRPr="005B1926">
              <w:t>Amendments made by this SI corrected some omissions in the</w:t>
            </w:r>
            <w:r w:rsidRPr="005B1926">
              <w:rPr>
                <w:color w:val="1F497D"/>
              </w:rPr>
              <w:t xml:space="preserve"> </w:t>
            </w:r>
            <w:r w:rsidRPr="005B1926">
              <w:t>Building Regulations 2010 (S.I.2010/2214) and the Building (Approved Inspectors etc.) Regulations 2010 (S.I 2010/2215) arising from earlier amendments to the 2010 Regulations, and made other drafting corrections.</w:t>
            </w:r>
          </w:p>
          <w:p w:rsidR="00375BEE" w:rsidRPr="005B1926" w:rsidRDefault="00375BEE" w:rsidP="00606597">
            <w:pPr>
              <w:autoSpaceDE/>
              <w:autoSpaceDN/>
              <w:spacing w:after="200" w:line="276" w:lineRule="auto"/>
              <w:jc w:val="both"/>
            </w:pPr>
            <w:r w:rsidRPr="005B1926">
              <w:lastRenderedPageBreak/>
              <w:t>In particular - Regulation 2(2), (7) and (8) corrects omissions arising from earlier amendments to the 2010 Regulations. Regulation 2(5) makes drafting corrections. Paragraphs (1), (2) and (3)(c) of regulation 3 correct omissions arising from earlier amendments to the Building Approved Inspectors Regulations.  The correction was the not the primary reason for making this SI.</w:t>
            </w:r>
          </w:p>
        </w:tc>
      </w:tr>
      <w:tr w:rsidR="00375BEE" w:rsidRPr="005B1926" w:rsidTr="00606597">
        <w:tc>
          <w:tcPr>
            <w:tcW w:w="2992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lastRenderedPageBreak/>
              <w:t>The Non-Domestic Rating (Levy and Safety Net) (Amendment) Regulations 2014 (SI 2014/822)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line="276" w:lineRule="auto"/>
              <w:jc w:val="both"/>
            </w:pPr>
            <w:r w:rsidRPr="005B1926">
              <w:t>These regulations corrected the</w:t>
            </w:r>
            <w:r w:rsidRPr="005B1926">
              <w:rPr>
                <w:color w:val="1F497D"/>
              </w:rPr>
              <w:t xml:space="preserve"> </w:t>
            </w:r>
            <w:r w:rsidRPr="005B1926">
              <w:t xml:space="preserve">Non-Domestic Rating (Levy and Safety Net) Regulations 2013 </w:t>
            </w:r>
            <w:r>
              <w:t>in relation</w:t>
            </w:r>
            <w:r w:rsidRPr="005B1926">
              <w:t xml:space="preserve"> to the amount of relief included for the purposes of calculating retained rates income, in respect of rate relief in Enterprise Zones. </w:t>
            </w:r>
          </w:p>
        </w:tc>
      </w:tr>
      <w:tr w:rsidR="00375BEE" w:rsidRPr="005B1926" w:rsidTr="00606597">
        <w:tc>
          <w:tcPr>
            <w:tcW w:w="2992" w:type="dxa"/>
          </w:tcPr>
          <w:p w:rsidR="00375BEE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The Barnsley, Doncaster, Rotherham and Sheffield Combined Authority Order 2014 (SI 2014/863)</w:t>
            </w:r>
            <w:r>
              <w:t xml:space="preserve"> </w:t>
            </w:r>
          </w:p>
          <w:p w:rsidR="00375BEE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The West Yorkshire Combined Authority Order 2014 (SI 2014/864)</w:t>
            </w:r>
          </w:p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 xml:space="preserve">The </w:t>
            </w:r>
            <w:proofErr w:type="spellStart"/>
            <w:r w:rsidRPr="005B1926">
              <w:t>Halton</w:t>
            </w:r>
            <w:proofErr w:type="spellEnd"/>
            <w:r w:rsidRPr="005B1926">
              <w:t xml:space="preserve">, </w:t>
            </w:r>
            <w:proofErr w:type="spellStart"/>
            <w:r w:rsidRPr="005B1926">
              <w:t>Knowsley</w:t>
            </w:r>
            <w:proofErr w:type="spellEnd"/>
            <w:r w:rsidRPr="005B1926">
              <w:t xml:space="preserve">, Liverpool, St Helens, </w:t>
            </w:r>
            <w:proofErr w:type="spellStart"/>
            <w:r w:rsidRPr="005B1926">
              <w:t>Sefton</w:t>
            </w:r>
            <w:proofErr w:type="spellEnd"/>
            <w:r w:rsidRPr="005B1926">
              <w:t xml:space="preserve"> and Wirral Combined Authority Order 2014 (SI 2014/865)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line="276" w:lineRule="auto"/>
              <w:jc w:val="both"/>
            </w:pPr>
            <w:r w:rsidRPr="005B1926">
              <w:t xml:space="preserve">The changes </w:t>
            </w:r>
            <w:r>
              <w:t xml:space="preserve">to these 3 SIs </w:t>
            </w:r>
            <w:r w:rsidRPr="005B1926">
              <w:t>were drafting and technical. There was no policy change. The changes included:</w:t>
            </w:r>
          </w:p>
          <w:p w:rsidR="00375BEE" w:rsidRPr="005B1926" w:rsidRDefault="00375BEE" w:rsidP="00375BEE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jc w:val="both"/>
            </w:pPr>
            <w:r w:rsidRPr="005B1926">
              <w:t>Changing “will” to “shall”;</w:t>
            </w:r>
          </w:p>
          <w:p w:rsidR="00375BEE" w:rsidRPr="005B1926" w:rsidRDefault="00375BEE" w:rsidP="00375BEE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jc w:val="both"/>
            </w:pPr>
            <w:r w:rsidRPr="005B1926">
              <w:t>Minor punctuation changes;</w:t>
            </w:r>
          </w:p>
          <w:p w:rsidR="00375BEE" w:rsidRPr="005B1926" w:rsidRDefault="00375BEE" w:rsidP="00375BEE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jc w:val="both"/>
            </w:pPr>
            <w:r w:rsidRPr="005B1926">
              <w:t>Providing explicitly in S.I. 2014/863 and S.I. 2014/864 that where at a meeting of the combined authority there are an equal number of votes for and against a decision, that decision is not agreed; and</w:t>
            </w:r>
          </w:p>
          <w:p w:rsidR="00375BEE" w:rsidRPr="005B1926" w:rsidRDefault="00375BEE" w:rsidP="00375BEE">
            <w:pPr>
              <w:numPr>
                <w:ilvl w:val="0"/>
                <w:numId w:val="1"/>
              </w:numPr>
              <w:autoSpaceDE/>
              <w:autoSpaceDN/>
              <w:spacing w:after="200" w:line="276" w:lineRule="auto"/>
              <w:jc w:val="both"/>
            </w:pPr>
            <w:r w:rsidRPr="005B1926">
              <w:t>Changing the commencement date from 1</w:t>
            </w:r>
            <w:r w:rsidRPr="005B1926">
              <w:rPr>
                <w:vertAlign w:val="superscript"/>
              </w:rPr>
              <w:t>st</w:t>
            </w:r>
            <w:r w:rsidRPr="005B1926">
              <w:t xml:space="preserve"> April 2014 to “the day after the day on which it [</w:t>
            </w:r>
            <w:r w:rsidRPr="005B1926">
              <w:rPr>
                <w:i/>
                <w:iCs/>
              </w:rPr>
              <w:t>the Order</w:t>
            </w:r>
            <w:r w:rsidRPr="005B1926">
              <w:t>] is made;</w:t>
            </w:r>
          </w:p>
          <w:p w:rsidR="00375BEE" w:rsidRPr="005B1926" w:rsidRDefault="00375BEE" w:rsidP="00606597">
            <w:pPr>
              <w:autoSpaceDE/>
              <w:autoSpaceDN/>
              <w:spacing w:line="276" w:lineRule="auto"/>
              <w:jc w:val="both"/>
            </w:pPr>
            <w:r w:rsidRPr="005B1926">
              <w:t xml:space="preserve">These changes were made following feedback from the </w:t>
            </w:r>
            <w:r>
              <w:t>Joint Committee.</w:t>
            </w:r>
          </w:p>
        </w:tc>
      </w:tr>
      <w:tr w:rsidR="00375BEE" w:rsidRPr="005B1926" w:rsidTr="00606597">
        <w:trPr>
          <w:trHeight w:val="2142"/>
        </w:trPr>
        <w:tc>
          <w:tcPr>
            <w:tcW w:w="2992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The Energy Performance of Buildings (England and Wales) (Amendment) Regulations 2014 (SI 2014/880)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line="276" w:lineRule="auto"/>
              <w:jc w:val="both"/>
            </w:pPr>
            <w:r>
              <w:t>This SI corrected</w:t>
            </w:r>
            <w:r w:rsidRPr="005B1926">
              <w:t xml:space="preserve"> the Energy Performance of Buildings (England and Wales) Regulations 2012 (S.I. 2012/3118). The changes were for example to correct a reference to building ‘envelope’ to building ‘element’ and to amend a provision so that it covered building</w:t>
            </w:r>
            <w:r>
              <w:t>s of exactly 500m2.  The detail</w:t>
            </w:r>
            <w:r w:rsidRPr="005B1926">
              <w:t xml:space="preserve"> </w:t>
            </w:r>
            <w:r>
              <w:t>h</w:t>
            </w:r>
            <w:r w:rsidRPr="005B1926">
              <w:t>ad been spotted over the last couple of years and the opportunity was taken to make these amendments whilst making other substantive amendments to the 2012 Regulations.</w:t>
            </w:r>
          </w:p>
        </w:tc>
      </w:tr>
      <w:tr w:rsidR="00375BEE" w:rsidRPr="005B1926" w:rsidTr="00606597">
        <w:tc>
          <w:tcPr>
            <w:tcW w:w="2992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</w:pPr>
            <w:r w:rsidRPr="005B1926">
              <w:t>The Housing (Right to Buy) (Limit on Discount) (England) (Amendment) Order 2014 (SI 14/1865)</w:t>
            </w:r>
          </w:p>
        </w:tc>
        <w:tc>
          <w:tcPr>
            <w:tcW w:w="5537" w:type="dxa"/>
          </w:tcPr>
          <w:p w:rsidR="00375BEE" w:rsidRPr="005B1926" w:rsidRDefault="00375BEE" w:rsidP="00606597">
            <w:pPr>
              <w:autoSpaceDE/>
              <w:autoSpaceDN/>
              <w:spacing w:after="200" w:line="276" w:lineRule="auto"/>
              <w:jc w:val="both"/>
            </w:pPr>
            <w:r w:rsidRPr="005B1926">
              <w:t xml:space="preserve">The purpose of this SI </w:t>
            </w:r>
            <w:r>
              <w:t>corrected</w:t>
            </w:r>
            <w:r w:rsidRPr="005B1926">
              <w:t xml:space="preserve"> SI 2014/1378 </w:t>
            </w:r>
            <w:r>
              <w:t>in relation to changes to Article 3 of the</w:t>
            </w:r>
            <w:r w:rsidRPr="005B1926">
              <w:t xml:space="preserve"> Housing (Right to Buy)(Limits on Discount) (England) Order 2012. </w:t>
            </w:r>
          </w:p>
        </w:tc>
      </w:tr>
    </w:tbl>
    <w:p w:rsidR="00375BEE" w:rsidRPr="005B1926" w:rsidRDefault="00375BEE" w:rsidP="00375BEE">
      <w:pPr>
        <w:jc w:val="both"/>
        <w:rPr>
          <w:bCs/>
        </w:rPr>
      </w:pPr>
    </w:p>
    <w:p w:rsidR="00721525" w:rsidRDefault="00721525"/>
    <w:sectPr w:rsidR="00721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EE" w:rsidRDefault="00375BEE" w:rsidP="00375BEE">
      <w:r>
        <w:separator/>
      </w:r>
    </w:p>
  </w:endnote>
  <w:endnote w:type="continuationSeparator" w:id="0">
    <w:p w:rsidR="00375BEE" w:rsidRDefault="00375BEE" w:rsidP="0037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EE" w:rsidRDefault="00375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EE" w:rsidRDefault="00375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EE" w:rsidRDefault="0037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EE" w:rsidRDefault="00375BEE" w:rsidP="00375BEE">
      <w:r>
        <w:separator/>
      </w:r>
    </w:p>
  </w:footnote>
  <w:footnote w:type="continuationSeparator" w:id="0">
    <w:p w:rsidR="00375BEE" w:rsidRDefault="00375BEE" w:rsidP="0037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EE" w:rsidRDefault="00375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EE" w:rsidRDefault="00375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EE" w:rsidRDefault="00375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B2C"/>
    <w:multiLevelType w:val="hybridMultilevel"/>
    <w:tmpl w:val="96025DB2"/>
    <w:lvl w:ilvl="0" w:tplc="1A5E0CCE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EE"/>
    <w:rsid w:val="00115E97"/>
    <w:rsid w:val="00375BEE"/>
    <w:rsid w:val="00721525"/>
    <w:rsid w:val="007A2C3D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EE"/>
  </w:style>
  <w:style w:type="paragraph" w:styleId="Footer">
    <w:name w:val="footer"/>
    <w:basedOn w:val="Normal"/>
    <w:link w:val="FooterChar"/>
    <w:uiPriority w:val="99"/>
    <w:unhideWhenUsed/>
    <w:rsid w:val="00375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BEE"/>
  </w:style>
  <w:style w:type="table" w:styleId="TableGrid">
    <w:name w:val="Table Grid"/>
    <w:basedOn w:val="TableNormal"/>
    <w:uiPriority w:val="59"/>
    <w:rsid w:val="00375BEE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EE"/>
  </w:style>
  <w:style w:type="paragraph" w:styleId="Footer">
    <w:name w:val="footer"/>
    <w:basedOn w:val="Normal"/>
    <w:link w:val="FooterChar"/>
    <w:uiPriority w:val="99"/>
    <w:unhideWhenUsed/>
    <w:rsid w:val="00375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BEE"/>
  </w:style>
  <w:style w:type="table" w:styleId="TableGrid">
    <w:name w:val="Table Grid"/>
    <w:basedOn w:val="TableNormal"/>
    <w:uiPriority w:val="59"/>
    <w:rsid w:val="00375BEE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FA2FF729-7FB8-4E07-8233-FF766D875A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5225461F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mharriso</dc:creator>
  <cp:lastModifiedBy>mharriso</cp:lastModifiedBy>
  <cp:revision>2</cp:revision>
  <dcterms:created xsi:type="dcterms:W3CDTF">2014-09-24T10:19:00Z</dcterms:created>
  <dcterms:modified xsi:type="dcterms:W3CDTF">2014-09-24T10:19:00Z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a5812cfa-0a1b-413d-91f8-e4807df25b76</vt:lpwstr>
  </property>
  <property fmtid="{D5CDD505-2E9C-101B-9397-08002B2CF9AE}" pid="3" name="bjSaver">
    <vt:lpwstr>p1gOUg629V7pISdKyjBJPTanTjzVkWHs</vt:lpwstr>
  </property>
  <property fmtid="{D5CDD505-2E9C-101B-9397-08002B2CF9AE}" pid="4" name="bjDocumentSecurityLabel">
    <vt:lpwstr>No Marking</vt:lpwstr>
  </property>
</Properties>
</file>