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5B5" w:rsidRDefault="00DC06B1" w:rsidP="0020686E">
      <w:pPr>
        <w:pStyle w:val="Title"/>
        <w:jc w:val="center"/>
        <w:rPr>
          <w:rFonts w:cs="Arial"/>
          <w:b/>
          <w:color w:val="FFFFFF"/>
          <w:sz w:val="48"/>
          <w:szCs w:val="36"/>
        </w:rPr>
      </w:pPr>
      <w:r w:rsidRPr="00A225B5">
        <w:rPr>
          <w:rFonts w:cs="Arial"/>
          <w:b/>
          <w:noProof/>
          <w:sz w:val="48"/>
          <w:szCs w:val="36"/>
          <w:lang w:eastAsia="en-GB"/>
        </w:rPr>
        <w:drawing>
          <wp:anchor distT="0" distB="0" distL="114300" distR="114300" simplePos="0" relativeHeight="251658240" behindDoc="1" locked="0" layoutInCell="1" allowOverlap="1" wp14:anchorId="059B4770" wp14:editId="31105002">
            <wp:simplePos x="0" y="0"/>
            <wp:positionH relativeFrom="column">
              <wp:posOffset>1925320</wp:posOffset>
            </wp:positionH>
            <wp:positionV relativeFrom="paragraph">
              <wp:posOffset>-3152140</wp:posOffset>
            </wp:positionV>
            <wp:extent cx="1496291" cy="909612"/>
            <wp:effectExtent l="0" t="0" r="889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M Gov logo_generic"/>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496291" cy="909612"/>
                    </a:xfrm>
                    <a:prstGeom prst="rect">
                      <a:avLst/>
                    </a:prstGeom>
                    <a:noFill/>
                    <a:ln>
                      <a:noFill/>
                    </a:ln>
                  </pic:spPr>
                </pic:pic>
              </a:graphicData>
            </a:graphic>
            <wp14:sizeRelH relativeFrom="page">
              <wp14:pctWidth>0</wp14:pctWidth>
            </wp14:sizeRelH>
            <wp14:sizeRelV relativeFrom="page">
              <wp14:pctHeight>0</wp14:pctHeight>
            </wp14:sizeRelV>
          </wp:anchor>
        </w:drawing>
      </w:r>
      <w:r w:rsidR="00AE7C43" w:rsidRPr="00A225B5">
        <w:rPr>
          <w:rFonts w:cs="Arial"/>
          <w:b/>
          <w:noProof/>
          <w:sz w:val="48"/>
          <w:szCs w:val="36"/>
          <w:lang w:eastAsia="en-GB"/>
        </w:rPr>
        <w:drawing>
          <wp:anchor distT="0" distB="0" distL="114300" distR="114300" simplePos="0" relativeHeight="251657216" behindDoc="1" locked="0" layoutInCell="1" allowOverlap="1" wp14:anchorId="59DA18AB" wp14:editId="1EF13DF3">
            <wp:simplePos x="0" y="0"/>
            <wp:positionH relativeFrom="column">
              <wp:posOffset>-8890</wp:posOffset>
            </wp:positionH>
            <wp:positionV relativeFrom="paragraph">
              <wp:posOffset>-3140710</wp:posOffset>
            </wp:positionV>
            <wp:extent cx="1384300" cy="901700"/>
            <wp:effectExtent l="0" t="0" r="0" b="0"/>
            <wp:wrapThrough wrapText="bothSides">
              <wp:wrapPolygon edited="0">
                <wp:start x="0" y="0"/>
                <wp:lineTo x="0" y="20992"/>
                <wp:lineTo x="16349" y="20992"/>
                <wp:lineTo x="16943" y="17341"/>
                <wp:lineTo x="14268" y="15515"/>
                <wp:lineTo x="20807" y="14603"/>
                <wp:lineTo x="20807" y="10039"/>
                <wp:lineTo x="7728" y="7301"/>
                <wp:lineTo x="8917" y="5476"/>
                <wp:lineTo x="8323" y="2738"/>
                <wp:lineTo x="6837" y="0"/>
                <wp:lineTo x="0" y="0"/>
              </wp:wrapPolygon>
            </wp:wrapThrough>
            <wp:docPr id="3" name="Picture 4" descr="Description: Published by the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Published by the Department of Healt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4300" cy="901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25B5">
        <w:rPr>
          <w:rFonts w:cs="Arial"/>
          <w:b/>
          <w:color w:val="FFFFFF"/>
          <w:sz w:val="48"/>
          <w:szCs w:val="36"/>
        </w:rPr>
        <w:t>Health Premium Incentive Scheme</w:t>
      </w:r>
      <w:r w:rsidR="000E707D" w:rsidRPr="00A225B5">
        <w:rPr>
          <w:rFonts w:cs="Arial"/>
          <w:b/>
          <w:color w:val="FFFFFF"/>
          <w:sz w:val="48"/>
          <w:szCs w:val="36"/>
        </w:rPr>
        <w:t xml:space="preserve"> 2014/15</w:t>
      </w:r>
      <w:r w:rsidR="002A1EC6" w:rsidRPr="00A225B5">
        <w:rPr>
          <w:rFonts w:cs="Arial"/>
          <w:b/>
          <w:color w:val="FFFFFF"/>
          <w:sz w:val="48"/>
          <w:szCs w:val="36"/>
        </w:rPr>
        <w:t xml:space="preserve"> and </w:t>
      </w:r>
      <w:bookmarkStart w:id="0" w:name="_GoBack"/>
      <w:bookmarkEnd w:id="0"/>
    </w:p>
    <w:p w:rsidR="00D912D5" w:rsidRPr="00A225B5" w:rsidRDefault="002A1EC6" w:rsidP="0020686E">
      <w:pPr>
        <w:pStyle w:val="Title"/>
        <w:jc w:val="center"/>
        <w:rPr>
          <w:rFonts w:cs="Arial"/>
          <w:b/>
          <w:color w:val="FFFFFF"/>
          <w:sz w:val="48"/>
          <w:szCs w:val="36"/>
        </w:rPr>
      </w:pPr>
      <w:r w:rsidRPr="00A225B5">
        <w:rPr>
          <w:rFonts w:cs="Arial"/>
          <w:b/>
          <w:color w:val="FFFFFF"/>
          <w:sz w:val="48"/>
          <w:szCs w:val="36"/>
        </w:rPr>
        <w:t>Public Health Allocations</w:t>
      </w:r>
    </w:p>
    <w:p w:rsidR="00D912D5" w:rsidRPr="002A1EC6" w:rsidRDefault="00866E3E" w:rsidP="0020686E">
      <w:pPr>
        <w:pStyle w:val="Subtitle"/>
        <w:jc w:val="center"/>
        <w:rPr>
          <w:rFonts w:cs="Arial"/>
          <w:color w:val="FFFFFF"/>
          <w:sz w:val="36"/>
          <w:szCs w:val="36"/>
        </w:rPr>
      </w:pPr>
      <w:r w:rsidRPr="002A1EC6">
        <w:rPr>
          <w:rFonts w:cs="Arial"/>
          <w:color w:val="FFFFFF"/>
          <w:sz w:val="36"/>
          <w:szCs w:val="36"/>
        </w:rPr>
        <w:t xml:space="preserve">A </w:t>
      </w:r>
      <w:r w:rsidR="002A1EC6">
        <w:rPr>
          <w:rFonts w:cs="Arial"/>
          <w:color w:val="FFFFFF"/>
          <w:sz w:val="36"/>
          <w:szCs w:val="36"/>
        </w:rPr>
        <w:t xml:space="preserve">Technical </w:t>
      </w:r>
      <w:r w:rsidR="00DC06B1" w:rsidRPr="002A1EC6">
        <w:rPr>
          <w:rFonts w:cs="Arial"/>
          <w:color w:val="FFFFFF"/>
          <w:sz w:val="36"/>
          <w:szCs w:val="36"/>
        </w:rPr>
        <w:t>Consultation</w:t>
      </w:r>
    </w:p>
    <w:p w:rsidR="00E16E91" w:rsidRDefault="00E16E91" w:rsidP="00ED5BED">
      <w:pPr>
        <w:pStyle w:val="Caption"/>
        <w:rPr>
          <w:sz w:val="36"/>
          <w:szCs w:val="36"/>
        </w:rPr>
      </w:pPr>
    </w:p>
    <w:p w:rsidR="004156F4" w:rsidRDefault="004156F4" w:rsidP="004156F4"/>
    <w:p w:rsidR="004156F4" w:rsidRDefault="004156F4" w:rsidP="004156F4"/>
    <w:p w:rsidR="004156F4" w:rsidRDefault="004156F4" w:rsidP="004156F4"/>
    <w:p w:rsidR="004156F4" w:rsidRDefault="004156F4" w:rsidP="004156F4"/>
    <w:p w:rsidR="004156F4" w:rsidRDefault="004156F4" w:rsidP="004156F4"/>
    <w:p w:rsidR="004156F4" w:rsidRPr="004156F4" w:rsidRDefault="004156F4" w:rsidP="004156F4"/>
    <w:p w:rsidR="0095511C" w:rsidRPr="0095511C" w:rsidRDefault="0095511C" w:rsidP="0095511C"/>
    <w:p w:rsidR="00DC06B1" w:rsidRPr="004156F4" w:rsidRDefault="00DC06B1" w:rsidP="00A225B5">
      <w:pPr>
        <w:pStyle w:val="Title"/>
        <w:spacing w:line="276" w:lineRule="auto"/>
        <w:jc w:val="center"/>
        <w:rPr>
          <w:rFonts w:cs="Arial"/>
          <w:i/>
          <w:color w:val="FFFFFF"/>
          <w:sz w:val="28"/>
          <w:szCs w:val="28"/>
        </w:rPr>
      </w:pPr>
      <w:r w:rsidRPr="004156F4">
        <w:rPr>
          <w:rFonts w:cs="Arial"/>
          <w:i/>
          <w:color w:val="FFFFFF"/>
          <w:sz w:val="28"/>
          <w:szCs w:val="28"/>
        </w:rPr>
        <w:t>“Give local communities greater control over public health budgets with payment by the outcomes they achieve in improving the health of local residents”</w:t>
      </w:r>
    </w:p>
    <w:p w:rsidR="004F357B" w:rsidRPr="004156F4" w:rsidRDefault="004F357B" w:rsidP="00A225B5">
      <w:pPr>
        <w:pStyle w:val="Title"/>
        <w:spacing w:line="276" w:lineRule="auto"/>
        <w:jc w:val="center"/>
        <w:rPr>
          <w:rFonts w:cs="Arial"/>
          <w:color w:val="FFFFFF"/>
          <w:sz w:val="28"/>
          <w:szCs w:val="28"/>
        </w:rPr>
      </w:pPr>
      <w:r w:rsidRPr="004156F4">
        <w:rPr>
          <w:rFonts w:cs="Arial"/>
          <w:color w:val="FFFFFF"/>
          <w:sz w:val="28"/>
          <w:szCs w:val="28"/>
        </w:rPr>
        <w:t>A Coalition Commitment</w:t>
      </w:r>
    </w:p>
    <w:p w:rsidR="0095511C" w:rsidRPr="004156F4" w:rsidRDefault="0095511C" w:rsidP="00A225B5">
      <w:pPr>
        <w:pStyle w:val="Title"/>
        <w:spacing w:line="276" w:lineRule="auto"/>
        <w:jc w:val="center"/>
        <w:rPr>
          <w:rFonts w:cs="Arial"/>
          <w:color w:val="FFFFFF"/>
          <w:sz w:val="28"/>
          <w:szCs w:val="28"/>
        </w:rPr>
      </w:pPr>
      <w:r w:rsidRPr="004156F4">
        <w:rPr>
          <w:rFonts w:cs="Arial"/>
          <w:color w:val="FFFFFF"/>
          <w:sz w:val="28"/>
          <w:szCs w:val="28"/>
        </w:rPr>
        <w:t>May 2010</w:t>
      </w:r>
    </w:p>
    <w:p w:rsidR="00E92CB1" w:rsidRPr="009A27BF" w:rsidRDefault="00E92CB1" w:rsidP="00ED5BED">
      <w:pPr>
        <w:pStyle w:val="Caption"/>
        <w:rPr>
          <w:sz w:val="24"/>
          <w:szCs w:val="24"/>
        </w:rPr>
      </w:pPr>
    </w:p>
    <w:p w:rsidR="00D912D5" w:rsidRPr="009A27BF" w:rsidRDefault="00D912D5">
      <w:pPr>
        <w:pStyle w:val="Paragraphtext"/>
        <w:rPr>
          <w:rFonts w:cs="Arial"/>
          <w:szCs w:val="24"/>
        </w:rPr>
        <w:sectPr w:rsidR="00D912D5" w:rsidRPr="009A27BF" w:rsidSect="00E3272D">
          <w:headerReference w:type="even" r:id="rId11"/>
          <w:footerReference w:type="even" r:id="rId12"/>
          <w:footerReference w:type="default" r:id="rId13"/>
          <w:headerReference w:type="first" r:id="rId14"/>
          <w:footerReference w:type="first" r:id="rId15"/>
          <w:type w:val="continuous"/>
          <w:pgSz w:w="11906" w:h="16838" w:code="9"/>
          <w:pgMar w:top="5670" w:right="851" w:bottom="1134" w:left="851" w:header="680" w:footer="851" w:gutter="0"/>
          <w:cols w:space="720"/>
          <w:formProt w:val="0"/>
          <w:titlePg/>
        </w:sectPr>
      </w:pPr>
    </w:p>
    <w:tbl>
      <w:tblPr>
        <w:tblW w:w="5113" w:type="pct"/>
        <w:tblLook w:val="04A0" w:firstRow="1" w:lastRow="0" w:firstColumn="1" w:lastColumn="0" w:noHBand="0" w:noVBand="1"/>
      </w:tblPr>
      <w:tblGrid>
        <w:gridCol w:w="5166"/>
        <w:gridCol w:w="5489"/>
      </w:tblGrid>
      <w:tr w:rsidR="00DC06B1" w:rsidRPr="009A27BF" w:rsidTr="00044130">
        <w:tc>
          <w:tcPr>
            <w:tcW w:w="2424" w:type="pct"/>
            <w:tcBorders>
              <w:top w:val="single" w:sz="4" w:space="0" w:color="auto"/>
              <w:left w:val="single" w:sz="4" w:space="0" w:color="auto"/>
              <w:bottom w:val="single" w:sz="4" w:space="0" w:color="auto"/>
              <w:right w:val="single" w:sz="4" w:space="0" w:color="auto"/>
            </w:tcBorders>
          </w:tcPr>
          <w:p w:rsidR="00DC06B1" w:rsidRPr="009A27BF" w:rsidRDefault="00DC06B1" w:rsidP="003C0FDB">
            <w:pPr>
              <w:pStyle w:val="Heading3"/>
              <w:rPr>
                <w:szCs w:val="24"/>
              </w:rPr>
            </w:pPr>
            <w:r w:rsidRPr="009A27BF">
              <w:rPr>
                <w:szCs w:val="24"/>
              </w:rPr>
              <w:lastRenderedPageBreak/>
              <w:t>Title:</w:t>
            </w:r>
          </w:p>
          <w:p w:rsidR="00DC06B1" w:rsidRPr="009A27BF" w:rsidRDefault="00DC06B1" w:rsidP="00DC06B1">
            <w:pPr>
              <w:pStyle w:val="Heading3"/>
              <w:rPr>
                <w:b w:val="0"/>
                <w:szCs w:val="24"/>
              </w:rPr>
            </w:pPr>
            <w:r w:rsidRPr="009A27BF">
              <w:rPr>
                <w:b w:val="0"/>
                <w:szCs w:val="24"/>
              </w:rPr>
              <w:t>Health Premium Incentive Scheme – Consultation</w:t>
            </w:r>
          </w:p>
        </w:tc>
        <w:tc>
          <w:tcPr>
            <w:tcW w:w="2576" w:type="pct"/>
            <w:tcBorders>
              <w:top w:val="single" w:sz="4" w:space="0" w:color="auto"/>
              <w:left w:val="single" w:sz="4" w:space="0" w:color="auto"/>
              <w:bottom w:val="single" w:sz="4" w:space="0" w:color="auto"/>
              <w:right w:val="single" w:sz="4" w:space="0" w:color="auto"/>
            </w:tcBorders>
          </w:tcPr>
          <w:p w:rsidR="00DC06B1" w:rsidRPr="001866D3" w:rsidRDefault="00DC06B1" w:rsidP="003C0FDB">
            <w:pPr>
              <w:pStyle w:val="Heading3"/>
              <w:rPr>
                <w:color w:val="000000" w:themeColor="text1"/>
                <w:szCs w:val="24"/>
              </w:rPr>
            </w:pPr>
            <w:r w:rsidRPr="009A27BF">
              <w:rPr>
                <w:szCs w:val="24"/>
              </w:rPr>
              <w:t xml:space="preserve">Publication date: </w:t>
            </w:r>
            <w:r w:rsidR="001866D3">
              <w:rPr>
                <w:szCs w:val="24"/>
              </w:rPr>
              <w:t xml:space="preserve">          </w:t>
            </w:r>
            <w:r w:rsidR="001866D3">
              <w:rPr>
                <w:szCs w:val="24"/>
              </w:rPr>
              <w:tab/>
            </w:r>
            <w:r w:rsidR="00F3106F" w:rsidRPr="001866D3">
              <w:rPr>
                <w:color w:val="000000" w:themeColor="text1"/>
                <w:szCs w:val="24"/>
              </w:rPr>
              <w:t xml:space="preserve">09 </w:t>
            </w:r>
            <w:r w:rsidR="003B3D6F" w:rsidRPr="001866D3">
              <w:rPr>
                <w:color w:val="000000" w:themeColor="text1"/>
                <w:szCs w:val="24"/>
              </w:rPr>
              <w:t>September</w:t>
            </w:r>
            <w:r w:rsidR="00DB3CA1" w:rsidRPr="001866D3">
              <w:rPr>
                <w:color w:val="000000" w:themeColor="text1"/>
                <w:szCs w:val="24"/>
              </w:rPr>
              <w:t xml:space="preserve"> </w:t>
            </w:r>
            <w:r w:rsidRPr="001866D3">
              <w:rPr>
                <w:color w:val="000000" w:themeColor="text1"/>
                <w:szCs w:val="24"/>
              </w:rPr>
              <w:t xml:space="preserve">2014 </w:t>
            </w:r>
          </w:p>
          <w:p w:rsidR="00DC06B1" w:rsidRPr="009A27BF" w:rsidRDefault="00DC06B1" w:rsidP="001866D3">
            <w:pPr>
              <w:pStyle w:val="Paragraphtext"/>
              <w:rPr>
                <w:rFonts w:cs="Arial"/>
                <w:b/>
                <w:szCs w:val="24"/>
              </w:rPr>
            </w:pPr>
            <w:r w:rsidRPr="001866D3">
              <w:rPr>
                <w:rFonts w:cs="Arial"/>
                <w:b/>
                <w:color w:val="000000" w:themeColor="text1"/>
                <w:szCs w:val="24"/>
              </w:rPr>
              <w:t xml:space="preserve">Consultation end date: </w:t>
            </w:r>
            <w:r w:rsidR="001866D3">
              <w:rPr>
                <w:rFonts w:cs="Arial"/>
                <w:b/>
                <w:color w:val="000000" w:themeColor="text1"/>
                <w:szCs w:val="24"/>
              </w:rPr>
              <w:tab/>
            </w:r>
            <w:r w:rsidR="003B3D6F" w:rsidRPr="001866D3">
              <w:rPr>
                <w:rFonts w:cs="Arial"/>
                <w:b/>
                <w:color w:val="000000" w:themeColor="text1"/>
                <w:szCs w:val="24"/>
              </w:rPr>
              <w:t>23</w:t>
            </w:r>
            <w:r w:rsidR="00C06A12" w:rsidRPr="001866D3">
              <w:rPr>
                <w:rFonts w:cs="Arial"/>
                <w:b/>
                <w:color w:val="000000" w:themeColor="text1"/>
                <w:szCs w:val="24"/>
              </w:rPr>
              <w:t xml:space="preserve"> </w:t>
            </w:r>
            <w:r w:rsidR="003B3D6F" w:rsidRPr="001866D3">
              <w:rPr>
                <w:rFonts w:cs="Arial"/>
                <w:b/>
                <w:color w:val="000000" w:themeColor="text1"/>
                <w:szCs w:val="24"/>
              </w:rPr>
              <w:t xml:space="preserve">October </w:t>
            </w:r>
            <w:r w:rsidRPr="001866D3">
              <w:rPr>
                <w:rFonts w:cs="Arial"/>
                <w:b/>
                <w:color w:val="000000" w:themeColor="text1"/>
                <w:szCs w:val="24"/>
              </w:rPr>
              <w:t>2014</w:t>
            </w:r>
          </w:p>
        </w:tc>
      </w:tr>
      <w:tr w:rsidR="00DC06B1" w:rsidRPr="009A27BF" w:rsidTr="00044130">
        <w:trPr>
          <w:trHeight w:val="1391"/>
        </w:trPr>
        <w:tc>
          <w:tcPr>
            <w:tcW w:w="2424" w:type="pct"/>
            <w:vMerge w:val="restart"/>
            <w:tcBorders>
              <w:top w:val="single" w:sz="4" w:space="0" w:color="auto"/>
              <w:left w:val="single" w:sz="4" w:space="0" w:color="auto"/>
              <w:right w:val="single" w:sz="4" w:space="0" w:color="auto"/>
            </w:tcBorders>
            <w:hideMark/>
          </w:tcPr>
          <w:p w:rsidR="00DC06B1" w:rsidRPr="009A27BF" w:rsidRDefault="00DC06B1" w:rsidP="003C0FDB">
            <w:pPr>
              <w:pStyle w:val="Heading3"/>
              <w:rPr>
                <w:szCs w:val="24"/>
              </w:rPr>
            </w:pPr>
            <w:r w:rsidRPr="009A27BF">
              <w:rPr>
                <w:szCs w:val="24"/>
              </w:rPr>
              <w:t xml:space="preserve">Author: </w:t>
            </w:r>
          </w:p>
          <w:p w:rsidR="00DC06B1" w:rsidRPr="009A27BF" w:rsidRDefault="00DC06B1" w:rsidP="003C0FDB">
            <w:pPr>
              <w:pStyle w:val="Heading3"/>
              <w:rPr>
                <w:b w:val="0"/>
                <w:szCs w:val="24"/>
              </w:rPr>
            </w:pPr>
            <w:r w:rsidRPr="009A27BF">
              <w:rPr>
                <w:b w:val="0"/>
                <w:szCs w:val="24"/>
              </w:rPr>
              <w:t xml:space="preserve">DH / PHD / PHPSU / 10100 </w:t>
            </w:r>
          </w:p>
          <w:p w:rsidR="00DC06B1" w:rsidRPr="009A27BF" w:rsidRDefault="00DC06B1" w:rsidP="003C0FDB">
            <w:pPr>
              <w:rPr>
                <w:b/>
                <w:szCs w:val="24"/>
              </w:rPr>
            </w:pPr>
            <w:r w:rsidRPr="009A27BF">
              <w:rPr>
                <w:szCs w:val="24"/>
              </w:rPr>
              <w:t>PHE</w:t>
            </w:r>
          </w:p>
        </w:tc>
        <w:tc>
          <w:tcPr>
            <w:tcW w:w="2576" w:type="pct"/>
            <w:tcBorders>
              <w:top w:val="single" w:sz="4" w:space="0" w:color="auto"/>
              <w:left w:val="single" w:sz="4" w:space="0" w:color="auto"/>
              <w:bottom w:val="single" w:sz="4" w:space="0" w:color="auto"/>
              <w:right w:val="single" w:sz="4" w:space="0" w:color="auto"/>
            </w:tcBorders>
          </w:tcPr>
          <w:p w:rsidR="00DC06B1" w:rsidRDefault="00DC06B1" w:rsidP="003C0FDB">
            <w:pPr>
              <w:pStyle w:val="Heading3"/>
              <w:rPr>
                <w:szCs w:val="24"/>
              </w:rPr>
            </w:pPr>
            <w:r w:rsidRPr="009A27BF">
              <w:rPr>
                <w:szCs w:val="24"/>
              </w:rPr>
              <w:t xml:space="preserve">Target audience: </w:t>
            </w:r>
          </w:p>
          <w:p w:rsidR="00C06A12" w:rsidRPr="00C06A12" w:rsidRDefault="00C06A12" w:rsidP="00C06A12"/>
          <w:p w:rsidR="00A06921" w:rsidRPr="009A27BF" w:rsidRDefault="00DC06B1" w:rsidP="00BF74C4">
            <w:pPr>
              <w:pStyle w:val="Heading3"/>
              <w:numPr>
                <w:ilvl w:val="0"/>
                <w:numId w:val="6"/>
              </w:numPr>
              <w:rPr>
                <w:b w:val="0"/>
                <w:szCs w:val="24"/>
              </w:rPr>
            </w:pPr>
            <w:r w:rsidRPr="009A27BF">
              <w:rPr>
                <w:b w:val="0"/>
                <w:szCs w:val="24"/>
              </w:rPr>
              <w:t>Local authorit</w:t>
            </w:r>
            <w:r w:rsidR="00640AC2" w:rsidRPr="009A27BF">
              <w:rPr>
                <w:b w:val="0"/>
                <w:szCs w:val="24"/>
              </w:rPr>
              <w:t>y directors of</w:t>
            </w:r>
            <w:r w:rsidRPr="009A27BF">
              <w:rPr>
                <w:b w:val="0"/>
                <w:szCs w:val="24"/>
              </w:rPr>
              <w:t xml:space="preserve"> finance</w:t>
            </w:r>
          </w:p>
          <w:p w:rsidR="00DC06B1" w:rsidRPr="009A27BF" w:rsidRDefault="00640AC2" w:rsidP="00BF74C4">
            <w:pPr>
              <w:pStyle w:val="Heading3"/>
              <w:numPr>
                <w:ilvl w:val="0"/>
                <w:numId w:val="6"/>
              </w:numPr>
              <w:rPr>
                <w:b w:val="0"/>
                <w:szCs w:val="24"/>
              </w:rPr>
            </w:pPr>
            <w:r w:rsidRPr="009A27BF">
              <w:rPr>
                <w:b w:val="0"/>
                <w:szCs w:val="24"/>
              </w:rPr>
              <w:t>Local authority d</w:t>
            </w:r>
            <w:r w:rsidR="00DC06B1" w:rsidRPr="009A27BF">
              <w:rPr>
                <w:b w:val="0"/>
                <w:szCs w:val="24"/>
              </w:rPr>
              <w:t xml:space="preserve">irectors of </w:t>
            </w:r>
            <w:r w:rsidRPr="009A27BF">
              <w:rPr>
                <w:b w:val="0"/>
                <w:szCs w:val="24"/>
              </w:rPr>
              <w:t>p</w:t>
            </w:r>
            <w:r w:rsidR="00DC06B1" w:rsidRPr="009A27BF">
              <w:rPr>
                <w:b w:val="0"/>
                <w:szCs w:val="24"/>
              </w:rPr>
              <w:t xml:space="preserve">ublic </w:t>
            </w:r>
            <w:r w:rsidRPr="009A27BF">
              <w:rPr>
                <w:b w:val="0"/>
                <w:szCs w:val="24"/>
              </w:rPr>
              <w:t>h</w:t>
            </w:r>
            <w:r w:rsidR="00DC06B1" w:rsidRPr="009A27BF">
              <w:rPr>
                <w:b w:val="0"/>
                <w:szCs w:val="24"/>
              </w:rPr>
              <w:t>ealth</w:t>
            </w:r>
          </w:p>
          <w:p w:rsidR="00640AC2" w:rsidRPr="009A27BF" w:rsidRDefault="00640AC2" w:rsidP="00BF74C4">
            <w:pPr>
              <w:pStyle w:val="ListParagraph"/>
              <w:numPr>
                <w:ilvl w:val="0"/>
                <w:numId w:val="6"/>
              </w:numPr>
              <w:rPr>
                <w:rFonts w:ascii="Arial" w:hAnsi="Arial" w:cs="Arial"/>
              </w:rPr>
            </w:pPr>
            <w:r w:rsidRPr="009A27BF">
              <w:rPr>
                <w:rFonts w:ascii="Arial" w:hAnsi="Arial" w:cs="Arial"/>
              </w:rPr>
              <w:t>Members of health and wellbeing boards</w:t>
            </w:r>
          </w:p>
          <w:p w:rsidR="00DC06B1" w:rsidRPr="009A27BF" w:rsidRDefault="00DC06B1" w:rsidP="003C0FDB">
            <w:pPr>
              <w:rPr>
                <w:szCs w:val="24"/>
              </w:rPr>
            </w:pPr>
          </w:p>
        </w:tc>
      </w:tr>
      <w:tr w:rsidR="00DC06B1" w:rsidRPr="009A27BF" w:rsidTr="00044130">
        <w:trPr>
          <w:trHeight w:val="1390"/>
        </w:trPr>
        <w:tc>
          <w:tcPr>
            <w:tcW w:w="2424" w:type="pct"/>
            <w:vMerge/>
            <w:tcBorders>
              <w:left w:val="single" w:sz="4" w:space="0" w:color="auto"/>
              <w:bottom w:val="single" w:sz="4" w:space="0" w:color="auto"/>
              <w:right w:val="single" w:sz="4" w:space="0" w:color="auto"/>
            </w:tcBorders>
          </w:tcPr>
          <w:p w:rsidR="00DC06B1" w:rsidRPr="009A27BF" w:rsidRDefault="00DC06B1" w:rsidP="003C0FDB">
            <w:pPr>
              <w:pStyle w:val="Heading3"/>
              <w:rPr>
                <w:szCs w:val="24"/>
              </w:rPr>
            </w:pPr>
          </w:p>
        </w:tc>
        <w:tc>
          <w:tcPr>
            <w:tcW w:w="2576" w:type="pct"/>
            <w:tcBorders>
              <w:top w:val="single" w:sz="4" w:space="0" w:color="auto"/>
              <w:left w:val="single" w:sz="4" w:space="0" w:color="auto"/>
              <w:bottom w:val="single" w:sz="4" w:space="0" w:color="auto"/>
              <w:right w:val="single" w:sz="4" w:space="0" w:color="auto"/>
            </w:tcBorders>
          </w:tcPr>
          <w:p w:rsidR="00DC06B1" w:rsidRDefault="00DC06B1" w:rsidP="003C0FDB">
            <w:pPr>
              <w:pStyle w:val="Heading3"/>
              <w:rPr>
                <w:szCs w:val="24"/>
              </w:rPr>
            </w:pPr>
            <w:r w:rsidRPr="009A27BF">
              <w:rPr>
                <w:szCs w:val="24"/>
              </w:rPr>
              <w:t>Circulation list:</w:t>
            </w:r>
          </w:p>
          <w:p w:rsidR="00C06A12" w:rsidRPr="00C06A12" w:rsidRDefault="00C06A12" w:rsidP="00D70E55">
            <w:pPr>
              <w:jc w:val="center"/>
            </w:pPr>
          </w:p>
          <w:p w:rsidR="00DC06B1" w:rsidRPr="009A27BF" w:rsidRDefault="00DC06B1" w:rsidP="00C06A12">
            <w:pPr>
              <w:pStyle w:val="ListParagraph"/>
              <w:numPr>
                <w:ilvl w:val="0"/>
                <w:numId w:val="7"/>
              </w:numPr>
              <w:spacing w:line="360" w:lineRule="auto"/>
              <w:rPr>
                <w:rFonts w:ascii="Arial" w:hAnsi="Arial" w:cs="Arial"/>
              </w:rPr>
            </w:pPr>
            <w:r w:rsidRPr="009A27BF">
              <w:rPr>
                <w:rFonts w:ascii="Arial" w:hAnsi="Arial" w:cs="Arial"/>
              </w:rPr>
              <w:t>NHS England</w:t>
            </w:r>
          </w:p>
          <w:p w:rsidR="00DC06B1" w:rsidRDefault="00DC06B1" w:rsidP="00C06A12">
            <w:pPr>
              <w:pStyle w:val="ListParagraph"/>
              <w:numPr>
                <w:ilvl w:val="0"/>
                <w:numId w:val="7"/>
              </w:numPr>
              <w:spacing w:line="360" w:lineRule="auto"/>
              <w:rPr>
                <w:rFonts w:ascii="Arial" w:hAnsi="Arial" w:cs="Arial"/>
              </w:rPr>
            </w:pPr>
            <w:r w:rsidRPr="009A27BF">
              <w:rPr>
                <w:rFonts w:ascii="Arial" w:hAnsi="Arial" w:cs="Arial"/>
              </w:rPr>
              <w:t>Public Health England</w:t>
            </w:r>
          </w:p>
          <w:p w:rsidR="00C06A12" w:rsidRPr="009A27BF" w:rsidRDefault="00C06A12" w:rsidP="00C06A12">
            <w:pPr>
              <w:pStyle w:val="ListParagraph"/>
              <w:spacing w:line="360" w:lineRule="auto"/>
              <w:rPr>
                <w:rFonts w:ascii="Arial" w:hAnsi="Arial" w:cs="Arial"/>
              </w:rPr>
            </w:pPr>
          </w:p>
        </w:tc>
      </w:tr>
      <w:tr w:rsidR="00DC06B1" w:rsidRPr="009A27BF" w:rsidTr="00044130">
        <w:tc>
          <w:tcPr>
            <w:tcW w:w="2424" w:type="pct"/>
            <w:tcBorders>
              <w:top w:val="single" w:sz="4" w:space="0" w:color="auto"/>
              <w:left w:val="single" w:sz="4" w:space="0" w:color="auto"/>
              <w:bottom w:val="single" w:sz="4" w:space="0" w:color="auto"/>
              <w:right w:val="single" w:sz="4" w:space="0" w:color="auto"/>
            </w:tcBorders>
            <w:hideMark/>
          </w:tcPr>
          <w:p w:rsidR="00DC06B1" w:rsidRPr="00825304" w:rsidRDefault="00DC06B1" w:rsidP="003C0FDB">
            <w:pPr>
              <w:pStyle w:val="Heading3"/>
              <w:rPr>
                <w:szCs w:val="24"/>
              </w:rPr>
            </w:pPr>
            <w:r w:rsidRPr="00825304">
              <w:rPr>
                <w:szCs w:val="24"/>
              </w:rPr>
              <w:t xml:space="preserve">Document Purpose: </w:t>
            </w:r>
          </w:p>
          <w:p w:rsidR="00DC06B1" w:rsidRPr="00825304" w:rsidRDefault="00866E3E" w:rsidP="00016231">
            <w:pPr>
              <w:pStyle w:val="Paragraphtext"/>
              <w:rPr>
                <w:rFonts w:cs="Arial"/>
                <w:bCs/>
                <w:szCs w:val="24"/>
              </w:rPr>
            </w:pPr>
            <w:r w:rsidRPr="00825304">
              <w:rPr>
                <w:rFonts w:cs="Arial"/>
                <w:szCs w:val="24"/>
              </w:rPr>
              <w:t xml:space="preserve">To set out plans for </w:t>
            </w:r>
            <w:r w:rsidR="00DC06B1" w:rsidRPr="00825304">
              <w:rPr>
                <w:rFonts w:cs="Arial"/>
                <w:szCs w:val="24"/>
              </w:rPr>
              <w:t xml:space="preserve">the </w:t>
            </w:r>
            <w:r w:rsidRPr="00825304">
              <w:rPr>
                <w:rFonts w:cs="Arial"/>
                <w:szCs w:val="24"/>
              </w:rPr>
              <w:t xml:space="preserve">introduction </w:t>
            </w:r>
            <w:r w:rsidR="00640AC2" w:rsidRPr="00825304">
              <w:rPr>
                <w:rFonts w:cs="Arial"/>
                <w:szCs w:val="24"/>
              </w:rPr>
              <w:t xml:space="preserve">of the </w:t>
            </w:r>
            <w:r w:rsidR="00DC06B1" w:rsidRPr="00825304">
              <w:rPr>
                <w:rFonts w:cs="Arial"/>
                <w:szCs w:val="24"/>
              </w:rPr>
              <w:t>Health Premium Incentive Scheme</w:t>
            </w:r>
            <w:r w:rsidRPr="00825304">
              <w:rPr>
                <w:rFonts w:cs="Arial"/>
                <w:szCs w:val="24"/>
              </w:rPr>
              <w:t>, and to consult on technical details of the scheme</w:t>
            </w:r>
            <w:r w:rsidR="002A1EC6" w:rsidRPr="00825304">
              <w:rPr>
                <w:rFonts w:cs="Arial"/>
                <w:szCs w:val="24"/>
              </w:rPr>
              <w:t>; and to set out public health allocations for 2015-16</w:t>
            </w:r>
            <w:r w:rsidR="00C06A12" w:rsidRPr="00825304">
              <w:rPr>
                <w:rFonts w:cs="Arial"/>
                <w:szCs w:val="24"/>
              </w:rPr>
              <w:t>.</w:t>
            </w:r>
          </w:p>
        </w:tc>
        <w:tc>
          <w:tcPr>
            <w:tcW w:w="2576" w:type="pct"/>
            <w:tcBorders>
              <w:top w:val="single" w:sz="4" w:space="0" w:color="auto"/>
              <w:left w:val="single" w:sz="4" w:space="0" w:color="auto"/>
              <w:bottom w:val="single" w:sz="4" w:space="0" w:color="auto"/>
              <w:right w:val="single" w:sz="4" w:space="0" w:color="auto"/>
            </w:tcBorders>
          </w:tcPr>
          <w:p w:rsidR="00DC06B1" w:rsidRPr="00825304" w:rsidRDefault="00DC06B1" w:rsidP="003C0FDB">
            <w:pPr>
              <w:pStyle w:val="Heading3"/>
              <w:rPr>
                <w:szCs w:val="24"/>
              </w:rPr>
            </w:pPr>
            <w:r w:rsidRPr="00825304">
              <w:rPr>
                <w:szCs w:val="24"/>
              </w:rPr>
              <w:t xml:space="preserve">Contact details: </w:t>
            </w:r>
          </w:p>
          <w:p w:rsidR="00DC06B1" w:rsidRPr="00825304" w:rsidRDefault="00CB5476" w:rsidP="003C0FDB">
            <w:pPr>
              <w:rPr>
                <w:szCs w:val="24"/>
              </w:rPr>
            </w:pPr>
            <w:hyperlink r:id="rId16" w:history="1">
              <w:r w:rsidR="00145028" w:rsidRPr="00825304">
                <w:rPr>
                  <w:rStyle w:val="Hyperlink"/>
                  <w:rFonts w:ascii="Arial" w:hAnsi="Arial"/>
                  <w:szCs w:val="24"/>
                </w:rPr>
                <w:t>Healthpremiumincentivescheme@dh.gsi.gov.uk</w:t>
              </w:r>
            </w:hyperlink>
          </w:p>
          <w:p w:rsidR="00DC06B1" w:rsidRPr="00825304" w:rsidRDefault="00DC06B1" w:rsidP="003C0FDB">
            <w:pPr>
              <w:rPr>
                <w:szCs w:val="24"/>
              </w:rPr>
            </w:pPr>
          </w:p>
        </w:tc>
      </w:tr>
    </w:tbl>
    <w:p w:rsidR="00DC06B1" w:rsidRPr="009A27BF" w:rsidRDefault="00DC06B1">
      <w:pPr>
        <w:pStyle w:val="Paragraphtext"/>
        <w:rPr>
          <w:rFonts w:cs="Arial"/>
          <w:szCs w:val="24"/>
        </w:rPr>
      </w:pPr>
    </w:p>
    <w:p w:rsidR="00DC06B1" w:rsidRPr="009A27BF" w:rsidRDefault="00DC06B1">
      <w:pPr>
        <w:pStyle w:val="Paragraphtext"/>
        <w:rPr>
          <w:rFonts w:cs="Arial"/>
          <w:szCs w:val="24"/>
        </w:rPr>
      </w:pPr>
    </w:p>
    <w:p w:rsidR="00DC06B1" w:rsidRPr="009A27BF" w:rsidRDefault="00DC06B1">
      <w:pPr>
        <w:pStyle w:val="Paragraphtext"/>
        <w:rPr>
          <w:rFonts w:cs="Arial"/>
          <w:szCs w:val="24"/>
        </w:rPr>
      </w:pPr>
    </w:p>
    <w:p w:rsidR="00DC06B1" w:rsidRPr="009A27BF" w:rsidRDefault="00DC06B1">
      <w:pPr>
        <w:pStyle w:val="Paragraphtext"/>
        <w:rPr>
          <w:rFonts w:cs="Arial"/>
          <w:szCs w:val="24"/>
        </w:rPr>
      </w:pPr>
    </w:p>
    <w:p w:rsidR="00DC06B1" w:rsidRPr="009A27BF" w:rsidRDefault="00DC06B1">
      <w:pPr>
        <w:pStyle w:val="Paragraphtext"/>
        <w:rPr>
          <w:rFonts w:cs="Arial"/>
          <w:szCs w:val="24"/>
        </w:rPr>
      </w:pPr>
    </w:p>
    <w:p w:rsidR="00DC06B1" w:rsidRPr="009A27BF" w:rsidRDefault="00DC06B1">
      <w:pPr>
        <w:pStyle w:val="Paragraphtext"/>
        <w:rPr>
          <w:rFonts w:cs="Arial"/>
          <w:szCs w:val="24"/>
        </w:rPr>
      </w:pPr>
    </w:p>
    <w:p w:rsidR="00DC06B1" w:rsidRPr="009A27BF" w:rsidRDefault="00DC06B1">
      <w:pPr>
        <w:pStyle w:val="Paragraphtext"/>
        <w:rPr>
          <w:rFonts w:cs="Arial"/>
          <w:szCs w:val="24"/>
        </w:rPr>
      </w:pPr>
    </w:p>
    <w:p w:rsidR="00D912D5" w:rsidRPr="009A27BF" w:rsidRDefault="00B67B7F">
      <w:pPr>
        <w:pStyle w:val="Paragraphtext"/>
        <w:rPr>
          <w:rFonts w:cs="Arial"/>
          <w:szCs w:val="24"/>
        </w:rPr>
      </w:pPr>
      <w:r w:rsidRPr="009A27BF">
        <w:rPr>
          <w:rFonts w:cs="Arial"/>
          <w:szCs w:val="24"/>
        </w:rPr>
        <w:t xml:space="preserve">You may re-use the text of this document (not including logos) free of charge in any format or medium, under the terms of the Open Government Licence. To view this licence, visit </w:t>
      </w:r>
      <w:hyperlink r:id="rId17" w:history="1">
        <w:r w:rsidR="00814C0E" w:rsidRPr="009A27BF">
          <w:rPr>
            <w:rStyle w:val="Hyperlink"/>
            <w:rFonts w:ascii="Arial" w:hAnsi="Arial" w:cs="Arial"/>
            <w:szCs w:val="24"/>
          </w:rPr>
          <w:t>www.nationalarchives.gov.uk/doc/open-government-licence</w:t>
        </w:r>
      </w:hyperlink>
    </w:p>
    <w:p w:rsidR="00814C0E" w:rsidRPr="009A27BF" w:rsidRDefault="00814C0E">
      <w:pPr>
        <w:pStyle w:val="Paragraphtext"/>
        <w:rPr>
          <w:rFonts w:cs="Arial"/>
          <w:szCs w:val="24"/>
        </w:rPr>
      </w:pPr>
    </w:p>
    <w:p w:rsidR="00A0544F" w:rsidRPr="009A27BF" w:rsidRDefault="00A0544F">
      <w:pPr>
        <w:pStyle w:val="Paragraphtext"/>
        <w:rPr>
          <w:rFonts w:cs="Arial"/>
          <w:szCs w:val="24"/>
        </w:rPr>
      </w:pPr>
      <w:r w:rsidRPr="009A27BF">
        <w:rPr>
          <w:rFonts w:cs="Arial"/>
          <w:szCs w:val="24"/>
        </w:rPr>
        <w:t xml:space="preserve">© Crown copyright </w:t>
      </w:r>
    </w:p>
    <w:p w:rsidR="00A0544F" w:rsidRPr="009A27BF" w:rsidRDefault="008C4ABB">
      <w:pPr>
        <w:pStyle w:val="Paragraphtext"/>
        <w:rPr>
          <w:rFonts w:cs="Arial"/>
          <w:szCs w:val="24"/>
        </w:rPr>
      </w:pPr>
      <w:r w:rsidRPr="009A27BF">
        <w:rPr>
          <w:rFonts w:cs="Arial"/>
          <w:szCs w:val="24"/>
        </w:rPr>
        <w:t>Published to gov.uk, in PDF format only.</w:t>
      </w:r>
      <w:r w:rsidR="00AE0CB3" w:rsidRPr="009A27BF">
        <w:rPr>
          <w:rFonts w:cs="Arial"/>
          <w:szCs w:val="24"/>
        </w:rPr>
        <w:t xml:space="preserve"> </w:t>
      </w:r>
    </w:p>
    <w:p w:rsidR="00D912D5" w:rsidRPr="009A27BF" w:rsidRDefault="00CB5476">
      <w:pPr>
        <w:pStyle w:val="Paragraphtext"/>
        <w:rPr>
          <w:rStyle w:val="Hyperlink"/>
          <w:rFonts w:ascii="Arial" w:hAnsi="Arial" w:cs="Arial"/>
          <w:szCs w:val="24"/>
        </w:rPr>
      </w:pPr>
      <w:hyperlink r:id="rId18" w:history="1">
        <w:r w:rsidR="00A0544F" w:rsidRPr="009A27BF">
          <w:rPr>
            <w:rStyle w:val="Hyperlink"/>
            <w:rFonts w:ascii="Arial" w:hAnsi="Arial" w:cs="Arial"/>
            <w:szCs w:val="24"/>
          </w:rPr>
          <w:t>www.gov.uk/dh</w:t>
        </w:r>
      </w:hyperlink>
      <w:r w:rsidR="00A0544F" w:rsidRPr="009A27BF">
        <w:rPr>
          <w:rFonts w:cs="Arial"/>
          <w:szCs w:val="24"/>
        </w:rPr>
        <w:t xml:space="preserve"> </w:t>
      </w:r>
    </w:p>
    <w:p w:rsidR="00D912D5" w:rsidRPr="009A27BF" w:rsidRDefault="00D912D5">
      <w:pPr>
        <w:rPr>
          <w:szCs w:val="24"/>
        </w:rPr>
      </w:pPr>
    </w:p>
    <w:p w:rsidR="00D912D5" w:rsidRPr="009A27BF" w:rsidRDefault="00D912D5">
      <w:pPr>
        <w:rPr>
          <w:szCs w:val="24"/>
        </w:rPr>
        <w:sectPr w:rsidR="00D912D5" w:rsidRPr="009A27BF" w:rsidSect="00E3272D">
          <w:headerReference w:type="first" r:id="rId19"/>
          <w:footerReference w:type="first" r:id="rId20"/>
          <w:pgSz w:w="11906" w:h="16838" w:code="9"/>
          <w:pgMar w:top="1560" w:right="851" w:bottom="907" w:left="851" w:header="624" w:footer="624" w:gutter="0"/>
          <w:cols w:space="720"/>
          <w:formProt w:val="0"/>
          <w:titlePg/>
        </w:sectPr>
      </w:pPr>
      <w:bookmarkStart w:id="1" w:name="_Toc180303268"/>
      <w:bookmarkStart w:id="2" w:name="_Toc287863054"/>
      <w:bookmarkStart w:id="3" w:name="_Toc150919533"/>
    </w:p>
    <w:p w:rsidR="00D912D5" w:rsidRPr="00CC29F0" w:rsidRDefault="00DC06B1" w:rsidP="004D77F9">
      <w:pPr>
        <w:pStyle w:val="Figureschartstitle"/>
        <w:rPr>
          <w:b/>
          <w:sz w:val="50"/>
          <w:szCs w:val="50"/>
        </w:rPr>
      </w:pPr>
      <w:r w:rsidRPr="00CC29F0">
        <w:rPr>
          <w:b/>
          <w:sz w:val="50"/>
          <w:szCs w:val="50"/>
        </w:rPr>
        <w:lastRenderedPageBreak/>
        <w:t>Health Premium Incentive Scheme</w:t>
      </w:r>
    </w:p>
    <w:p w:rsidR="00D912D5" w:rsidRPr="00CC29F0" w:rsidRDefault="004D77F9" w:rsidP="004D77F9">
      <w:pPr>
        <w:pStyle w:val="Figureschartstitle"/>
        <w:rPr>
          <w:b/>
          <w:sz w:val="50"/>
          <w:szCs w:val="50"/>
        </w:rPr>
      </w:pPr>
      <w:r w:rsidRPr="00CC29F0">
        <w:rPr>
          <w:b/>
          <w:sz w:val="50"/>
          <w:szCs w:val="50"/>
        </w:rPr>
        <w:t xml:space="preserve">Technical </w:t>
      </w:r>
      <w:r w:rsidR="00DC06B1" w:rsidRPr="00CC29F0">
        <w:rPr>
          <w:b/>
          <w:sz w:val="50"/>
          <w:szCs w:val="50"/>
        </w:rPr>
        <w:t>Consultation</w:t>
      </w:r>
    </w:p>
    <w:p w:rsidR="00D912D5" w:rsidRPr="009A27BF" w:rsidRDefault="00D912D5">
      <w:pPr>
        <w:pStyle w:val="Paragraphtext"/>
        <w:rPr>
          <w:rFonts w:cs="Arial"/>
          <w:szCs w:val="24"/>
        </w:rPr>
      </w:pPr>
    </w:p>
    <w:p w:rsidR="00D912D5" w:rsidRPr="009A27BF" w:rsidRDefault="00B67B7F">
      <w:pPr>
        <w:pStyle w:val="Titlepagetext"/>
        <w:rPr>
          <w:szCs w:val="24"/>
        </w:rPr>
      </w:pPr>
      <w:r w:rsidRPr="009A27BF">
        <w:rPr>
          <w:szCs w:val="24"/>
        </w:rPr>
        <w:t>Prepared by</w:t>
      </w:r>
      <w:r w:rsidR="0095511C">
        <w:rPr>
          <w:szCs w:val="24"/>
        </w:rPr>
        <w:t>:</w:t>
      </w:r>
    </w:p>
    <w:p w:rsidR="00D912D5" w:rsidRPr="009A27BF" w:rsidRDefault="00D912D5">
      <w:pPr>
        <w:rPr>
          <w:szCs w:val="24"/>
        </w:rPr>
      </w:pPr>
      <w:bookmarkStart w:id="4" w:name="_Toc300827391"/>
      <w:bookmarkStart w:id="5" w:name="_Toc300910623"/>
    </w:p>
    <w:p w:rsidR="00DC06B1" w:rsidRPr="009A27BF" w:rsidRDefault="00DC06B1" w:rsidP="0095511C">
      <w:pPr>
        <w:ind w:left="720"/>
        <w:rPr>
          <w:szCs w:val="24"/>
        </w:rPr>
      </w:pPr>
      <w:r w:rsidRPr="009A27BF">
        <w:rPr>
          <w:szCs w:val="24"/>
        </w:rPr>
        <w:t>Tim Baxter</w:t>
      </w:r>
    </w:p>
    <w:p w:rsidR="00044130" w:rsidRPr="009A27BF" w:rsidRDefault="00044130" w:rsidP="0095511C">
      <w:pPr>
        <w:ind w:left="720"/>
        <w:rPr>
          <w:szCs w:val="24"/>
        </w:rPr>
      </w:pPr>
      <w:r w:rsidRPr="009A27BF">
        <w:rPr>
          <w:szCs w:val="24"/>
        </w:rPr>
        <w:t>Department of Health</w:t>
      </w:r>
    </w:p>
    <w:p w:rsidR="00DC06B1" w:rsidRPr="009A27BF" w:rsidRDefault="00DC06B1" w:rsidP="0095511C">
      <w:pPr>
        <w:ind w:left="720"/>
        <w:rPr>
          <w:szCs w:val="24"/>
        </w:rPr>
      </w:pPr>
    </w:p>
    <w:p w:rsidR="00DC06B1" w:rsidRPr="009A27BF" w:rsidRDefault="00866E3E" w:rsidP="0095511C">
      <w:pPr>
        <w:ind w:left="720"/>
        <w:rPr>
          <w:szCs w:val="24"/>
        </w:rPr>
      </w:pPr>
      <w:r w:rsidRPr="009A27BF">
        <w:rPr>
          <w:szCs w:val="24"/>
        </w:rPr>
        <w:t xml:space="preserve">Dr </w:t>
      </w:r>
      <w:r w:rsidR="00DC06B1" w:rsidRPr="009A27BF">
        <w:rPr>
          <w:szCs w:val="24"/>
        </w:rPr>
        <w:t>Stephen Lorrimer</w:t>
      </w:r>
    </w:p>
    <w:p w:rsidR="00044130" w:rsidRPr="009A27BF" w:rsidRDefault="00044130" w:rsidP="0095511C">
      <w:pPr>
        <w:ind w:left="720"/>
        <w:rPr>
          <w:szCs w:val="24"/>
        </w:rPr>
      </w:pPr>
      <w:r w:rsidRPr="009A27BF">
        <w:rPr>
          <w:szCs w:val="24"/>
        </w:rPr>
        <w:t>NHS England</w:t>
      </w:r>
      <w:r w:rsidR="00640AC2" w:rsidRPr="009A27BF">
        <w:rPr>
          <w:rStyle w:val="FootnoteReference"/>
          <w:szCs w:val="24"/>
        </w:rPr>
        <w:footnoteReference w:id="1"/>
      </w:r>
    </w:p>
    <w:p w:rsidR="00044130" w:rsidRDefault="00044130" w:rsidP="0095511C">
      <w:pPr>
        <w:ind w:left="720"/>
        <w:rPr>
          <w:szCs w:val="24"/>
        </w:rPr>
      </w:pPr>
    </w:p>
    <w:p w:rsidR="00BF7248" w:rsidRPr="009A27BF" w:rsidRDefault="00BF7248" w:rsidP="00BF7248">
      <w:pPr>
        <w:ind w:left="720"/>
        <w:rPr>
          <w:szCs w:val="24"/>
        </w:rPr>
      </w:pPr>
    </w:p>
    <w:p w:rsidR="00516AE8" w:rsidRDefault="00516AE8">
      <w:pPr>
        <w:spacing w:before="0" w:after="0" w:line="240" w:lineRule="auto"/>
        <w:rPr>
          <w:rFonts w:cs="Times New Roman"/>
          <w:color w:val="00D1AE"/>
          <w:sz w:val="50"/>
        </w:rPr>
      </w:pPr>
      <w:bookmarkStart w:id="6" w:name="_Toc222299826"/>
      <w:bookmarkStart w:id="7" w:name="_Toc222534404"/>
      <w:bookmarkStart w:id="8" w:name="_Toc222537685"/>
      <w:bookmarkStart w:id="9" w:name="_Toc389119557"/>
      <w:bookmarkStart w:id="10" w:name="_Toc390699467"/>
      <w:bookmarkStart w:id="11" w:name="_Toc390863837"/>
      <w:r>
        <w:br w:type="page"/>
      </w:r>
    </w:p>
    <w:p w:rsidR="00D912D5" w:rsidRPr="00CC29F0" w:rsidRDefault="00B67B7F" w:rsidP="00297C31">
      <w:pPr>
        <w:pStyle w:val="ChapterHead"/>
        <w:rPr>
          <w:b/>
        </w:rPr>
      </w:pPr>
      <w:bookmarkStart w:id="12" w:name="_Toc396307850"/>
      <w:r w:rsidRPr="00CC29F0">
        <w:rPr>
          <w:b/>
        </w:rPr>
        <w:lastRenderedPageBreak/>
        <w:t>Contents</w:t>
      </w:r>
      <w:bookmarkEnd w:id="1"/>
      <w:bookmarkEnd w:id="2"/>
      <w:bookmarkEnd w:id="4"/>
      <w:bookmarkEnd w:id="5"/>
      <w:bookmarkEnd w:id="6"/>
      <w:bookmarkEnd w:id="7"/>
      <w:bookmarkEnd w:id="8"/>
      <w:bookmarkEnd w:id="9"/>
      <w:bookmarkEnd w:id="10"/>
      <w:bookmarkEnd w:id="11"/>
      <w:bookmarkEnd w:id="12"/>
    </w:p>
    <w:p w:rsidR="00D74575" w:rsidRDefault="00D74575" w:rsidP="00D74575">
      <w:pPr>
        <w:pStyle w:val="TOC1"/>
        <w:tabs>
          <w:tab w:val="left" w:pos="1276"/>
          <w:tab w:val="left" w:pos="8931"/>
        </w:tabs>
        <w:spacing w:line="480" w:lineRule="auto"/>
        <w:ind w:left="720"/>
        <w:rPr>
          <w:szCs w:val="24"/>
        </w:rPr>
      </w:pPr>
    </w:p>
    <w:p w:rsidR="00C30E8D" w:rsidRPr="00615658" w:rsidRDefault="00A3396D" w:rsidP="00615658">
      <w:pPr>
        <w:pStyle w:val="TOC1"/>
        <w:spacing w:line="360" w:lineRule="auto"/>
        <w:rPr>
          <w:rFonts w:asciiTheme="minorHAnsi" w:eastAsiaTheme="minorEastAsia" w:hAnsiTheme="minorHAnsi" w:cstheme="minorBidi"/>
          <w:noProof/>
          <w:sz w:val="28"/>
          <w:szCs w:val="22"/>
          <w:lang w:eastAsia="en-GB"/>
        </w:rPr>
      </w:pPr>
      <w:r w:rsidRPr="00615658">
        <w:rPr>
          <w:sz w:val="32"/>
          <w:szCs w:val="24"/>
        </w:rPr>
        <w:fldChar w:fldCharType="begin"/>
      </w:r>
      <w:r w:rsidRPr="00615658">
        <w:rPr>
          <w:sz w:val="32"/>
          <w:szCs w:val="24"/>
        </w:rPr>
        <w:instrText xml:space="preserve"> TOC \t "Heading 1,2,Heading 2,3,Chapter Head,1,Chpt Head,1" </w:instrText>
      </w:r>
      <w:r w:rsidRPr="00615658">
        <w:rPr>
          <w:sz w:val="32"/>
          <w:szCs w:val="24"/>
        </w:rPr>
        <w:fldChar w:fldCharType="separate"/>
      </w:r>
      <w:r w:rsidR="00C30E8D" w:rsidRPr="00615658">
        <w:rPr>
          <w:b/>
          <w:noProof/>
          <w:sz w:val="32"/>
        </w:rPr>
        <w:t>Contents</w:t>
      </w:r>
      <w:r w:rsidR="00C30E8D" w:rsidRPr="00615658">
        <w:rPr>
          <w:noProof/>
          <w:sz w:val="32"/>
        </w:rPr>
        <w:tab/>
      </w:r>
    </w:p>
    <w:p w:rsidR="00C30E8D" w:rsidRPr="00615658" w:rsidRDefault="00C30E8D" w:rsidP="00615658">
      <w:pPr>
        <w:pStyle w:val="TOC1"/>
        <w:spacing w:line="360" w:lineRule="auto"/>
        <w:rPr>
          <w:rFonts w:asciiTheme="minorHAnsi" w:eastAsiaTheme="minorEastAsia" w:hAnsiTheme="minorHAnsi" w:cstheme="minorBidi"/>
          <w:noProof/>
          <w:sz w:val="28"/>
          <w:szCs w:val="22"/>
          <w:lang w:eastAsia="en-GB"/>
        </w:rPr>
      </w:pPr>
      <w:r w:rsidRPr="00615658">
        <w:rPr>
          <w:b/>
          <w:noProof/>
          <w:sz w:val="32"/>
        </w:rPr>
        <w:t>1.</w:t>
      </w:r>
      <w:r w:rsidRPr="00615658">
        <w:rPr>
          <w:rFonts w:asciiTheme="minorHAnsi" w:eastAsiaTheme="minorEastAsia" w:hAnsiTheme="minorHAnsi" w:cstheme="minorBidi"/>
          <w:noProof/>
          <w:sz w:val="28"/>
          <w:szCs w:val="22"/>
          <w:lang w:eastAsia="en-GB"/>
        </w:rPr>
        <w:tab/>
      </w:r>
      <w:r w:rsidRPr="00615658">
        <w:rPr>
          <w:b/>
          <w:noProof/>
          <w:sz w:val="32"/>
        </w:rPr>
        <w:t>Overview</w:t>
      </w:r>
      <w:r w:rsidRPr="00615658">
        <w:rPr>
          <w:noProof/>
          <w:sz w:val="32"/>
        </w:rPr>
        <w:tab/>
      </w:r>
      <w:r w:rsidRPr="00615658">
        <w:rPr>
          <w:noProof/>
          <w:sz w:val="32"/>
        </w:rPr>
        <w:fldChar w:fldCharType="begin"/>
      </w:r>
      <w:r w:rsidRPr="00615658">
        <w:rPr>
          <w:noProof/>
          <w:sz w:val="32"/>
        </w:rPr>
        <w:instrText xml:space="preserve"> PAGEREF _Toc396307851 \h </w:instrText>
      </w:r>
      <w:r w:rsidRPr="00615658">
        <w:rPr>
          <w:noProof/>
          <w:sz w:val="32"/>
        </w:rPr>
      </w:r>
      <w:r w:rsidRPr="00615658">
        <w:rPr>
          <w:noProof/>
          <w:sz w:val="32"/>
        </w:rPr>
        <w:fldChar w:fldCharType="separate"/>
      </w:r>
      <w:r w:rsidR="00D8560A">
        <w:rPr>
          <w:noProof/>
          <w:sz w:val="32"/>
        </w:rPr>
        <w:t>5</w:t>
      </w:r>
      <w:r w:rsidRPr="00615658">
        <w:rPr>
          <w:noProof/>
          <w:sz w:val="32"/>
        </w:rPr>
        <w:fldChar w:fldCharType="end"/>
      </w:r>
    </w:p>
    <w:p w:rsidR="00C30E8D" w:rsidRPr="00615658" w:rsidRDefault="00C30E8D" w:rsidP="00615658">
      <w:pPr>
        <w:pStyle w:val="TOC1"/>
        <w:spacing w:line="360" w:lineRule="auto"/>
        <w:rPr>
          <w:rFonts w:asciiTheme="minorHAnsi" w:eastAsiaTheme="minorEastAsia" w:hAnsiTheme="minorHAnsi" w:cstheme="minorBidi"/>
          <w:noProof/>
          <w:sz w:val="28"/>
          <w:szCs w:val="22"/>
          <w:lang w:eastAsia="en-GB"/>
        </w:rPr>
      </w:pPr>
      <w:r w:rsidRPr="00615658">
        <w:rPr>
          <w:b/>
          <w:noProof/>
          <w:sz w:val="32"/>
        </w:rPr>
        <w:t>2.</w:t>
      </w:r>
      <w:r w:rsidRPr="00615658">
        <w:rPr>
          <w:rFonts w:asciiTheme="minorHAnsi" w:eastAsiaTheme="minorEastAsia" w:hAnsiTheme="minorHAnsi" w:cstheme="minorBidi"/>
          <w:noProof/>
          <w:sz w:val="28"/>
          <w:szCs w:val="22"/>
          <w:lang w:eastAsia="en-GB"/>
        </w:rPr>
        <w:tab/>
      </w:r>
      <w:r w:rsidRPr="00615658">
        <w:rPr>
          <w:b/>
          <w:noProof/>
          <w:sz w:val="32"/>
        </w:rPr>
        <w:t>Consultation information</w:t>
      </w:r>
      <w:r w:rsidRPr="00615658">
        <w:rPr>
          <w:noProof/>
          <w:sz w:val="32"/>
        </w:rPr>
        <w:tab/>
      </w:r>
      <w:r w:rsidRPr="00615658">
        <w:rPr>
          <w:noProof/>
          <w:sz w:val="32"/>
        </w:rPr>
        <w:fldChar w:fldCharType="begin"/>
      </w:r>
      <w:r w:rsidRPr="00615658">
        <w:rPr>
          <w:noProof/>
          <w:sz w:val="32"/>
        </w:rPr>
        <w:instrText xml:space="preserve"> PAGEREF _Toc396307852 \h </w:instrText>
      </w:r>
      <w:r w:rsidRPr="00615658">
        <w:rPr>
          <w:noProof/>
          <w:sz w:val="32"/>
        </w:rPr>
      </w:r>
      <w:r w:rsidRPr="00615658">
        <w:rPr>
          <w:noProof/>
          <w:sz w:val="32"/>
        </w:rPr>
        <w:fldChar w:fldCharType="separate"/>
      </w:r>
      <w:r w:rsidR="00D8560A">
        <w:rPr>
          <w:noProof/>
          <w:sz w:val="32"/>
        </w:rPr>
        <w:t>7</w:t>
      </w:r>
      <w:r w:rsidRPr="00615658">
        <w:rPr>
          <w:noProof/>
          <w:sz w:val="32"/>
        </w:rPr>
        <w:fldChar w:fldCharType="end"/>
      </w:r>
    </w:p>
    <w:p w:rsidR="00C30E8D" w:rsidRPr="00615658" w:rsidRDefault="00C30E8D" w:rsidP="00615658">
      <w:pPr>
        <w:pStyle w:val="TOC1"/>
        <w:spacing w:line="360" w:lineRule="auto"/>
        <w:rPr>
          <w:rFonts w:asciiTheme="minorHAnsi" w:eastAsiaTheme="minorEastAsia" w:hAnsiTheme="minorHAnsi" w:cstheme="minorBidi"/>
          <w:noProof/>
          <w:sz w:val="28"/>
          <w:szCs w:val="22"/>
          <w:lang w:eastAsia="en-GB"/>
        </w:rPr>
      </w:pPr>
      <w:r w:rsidRPr="00615658">
        <w:rPr>
          <w:b/>
          <w:noProof/>
          <w:sz w:val="32"/>
        </w:rPr>
        <w:t>3.</w:t>
      </w:r>
      <w:r w:rsidRPr="00615658">
        <w:rPr>
          <w:rFonts w:asciiTheme="minorHAnsi" w:eastAsiaTheme="minorEastAsia" w:hAnsiTheme="minorHAnsi" w:cstheme="minorBidi"/>
          <w:noProof/>
          <w:sz w:val="28"/>
          <w:szCs w:val="22"/>
          <w:lang w:eastAsia="en-GB"/>
        </w:rPr>
        <w:tab/>
      </w:r>
      <w:r w:rsidRPr="00615658">
        <w:rPr>
          <w:b/>
          <w:noProof/>
          <w:sz w:val="32"/>
        </w:rPr>
        <w:t>Background</w:t>
      </w:r>
      <w:r w:rsidRPr="00615658">
        <w:rPr>
          <w:noProof/>
          <w:sz w:val="32"/>
        </w:rPr>
        <w:tab/>
      </w:r>
      <w:r w:rsidRPr="00615658">
        <w:rPr>
          <w:noProof/>
          <w:sz w:val="32"/>
        </w:rPr>
        <w:fldChar w:fldCharType="begin"/>
      </w:r>
      <w:r w:rsidRPr="00615658">
        <w:rPr>
          <w:noProof/>
          <w:sz w:val="32"/>
        </w:rPr>
        <w:instrText xml:space="preserve"> PAGEREF _Toc396307853 \h </w:instrText>
      </w:r>
      <w:r w:rsidRPr="00615658">
        <w:rPr>
          <w:noProof/>
          <w:sz w:val="32"/>
        </w:rPr>
      </w:r>
      <w:r w:rsidRPr="00615658">
        <w:rPr>
          <w:noProof/>
          <w:sz w:val="32"/>
        </w:rPr>
        <w:fldChar w:fldCharType="separate"/>
      </w:r>
      <w:r w:rsidR="00D8560A">
        <w:rPr>
          <w:noProof/>
          <w:sz w:val="32"/>
        </w:rPr>
        <w:t>8</w:t>
      </w:r>
      <w:r w:rsidRPr="00615658">
        <w:rPr>
          <w:noProof/>
          <w:sz w:val="32"/>
        </w:rPr>
        <w:fldChar w:fldCharType="end"/>
      </w:r>
    </w:p>
    <w:p w:rsidR="00C30E8D" w:rsidRPr="00615658" w:rsidRDefault="00C30E8D" w:rsidP="00615658">
      <w:pPr>
        <w:pStyle w:val="TOC1"/>
        <w:spacing w:line="360" w:lineRule="auto"/>
        <w:rPr>
          <w:rFonts w:asciiTheme="minorHAnsi" w:eastAsiaTheme="minorEastAsia" w:hAnsiTheme="minorHAnsi" w:cstheme="minorBidi"/>
          <w:noProof/>
          <w:sz w:val="28"/>
          <w:szCs w:val="22"/>
          <w:lang w:eastAsia="en-GB"/>
        </w:rPr>
      </w:pPr>
      <w:r w:rsidRPr="00615658">
        <w:rPr>
          <w:b/>
          <w:noProof/>
          <w:sz w:val="32"/>
        </w:rPr>
        <w:t>4.</w:t>
      </w:r>
      <w:r w:rsidRPr="00615658">
        <w:rPr>
          <w:rFonts w:asciiTheme="minorHAnsi" w:eastAsiaTheme="minorEastAsia" w:hAnsiTheme="minorHAnsi" w:cstheme="minorBidi"/>
          <w:noProof/>
          <w:sz w:val="28"/>
          <w:szCs w:val="22"/>
          <w:lang w:eastAsia="en-GB"/>
        </w:rPr>
        <w:tab/>
      </w:r>
      <w:r w:rsidRPr="00615658">
        <w:rPr>
          <w:b/>
          <w:noProof/>
          <w:sz w:val="32"/>
        </w:rPr>
        <w:t>Proposal</w:t>
      </w:r>
      <w:r w:rsidRPr="00615658">
        <w:rPr>
          <w:noProof/>
          <w:sz w:val="32"/>
        </w:rPr>
        <w:tab/>
      </w:r>
      <w:r w:rsidRPr="00615658">
        <w:rPr>
          <w:noProof/>
          <w:sz w:val="32"/>
        </w:rPr>
        <w:fldChar w:fldCharType="begin"/>
      </w:r>
      <w:r w:rsidRPr="00615658">
        <w:rPr>
          <w:noProof/>
          <w:sz w:val="32"/>
        </w:rPr>
        <w:instrText xml:space="preserve"> PAGEREF _Toc396307854 \h </w:instrText>
      </w:r>
      <w:r w:rsidRPr="00615658">
        <w:rPr>
          <w:noProof/>
          <w:sz w:val="32"/>
        </w:rPr>
      </w:r>
      <w:r w:rsidRPr="00615658">
        <w:rPr>
          <w:noProof/>
          <w:sz w:val="32"/>
        </w:rPr>
        <w:fldChar w:fldCharType="separate"/>
      </w:r>
      <w:r w:rsidR="00D8560A">
        <w:rPr>
          <w:noProof/>
          <w:sz w:val="32"/>
        </w:rPr>
        <w:t>10</w:t>
      </w:r>
      <w:r w:rsidRPr="00615658">
        <w:rPr>
          <w:noProof/>
          <w:sz w:val="32"/>
        </w:rPr>
        <w:fldChar w:fldCharType="end"/>
      </w:r>
    </w:p>
    <w:p w:rsidR="00C30E8D" w:rsidRPr="00615658" w:rsidRDefault="00C30E8D" w:rsidP="00615658">
      <w:pPr>
        <w:pStyle w:val="TOC1"/>
        <w:spacing w:line="360" w:lineRule="auto"/>
        <w:rPr>
          <w:rFonts w:asciiTheme="minorHAnsi" w:eastAsiaTheme="minorEastAsia" w:hAnsiTheme="minorHAnsi" w:cstheme="minorBidi"/>
          <w:noProof/>
          <w:sz w:val="28"/>
          <w:szCs w:val="22"/>
          <w:lang w:eastAsia="en-GB"/>
        </w:rPr>
      </w:pPr>
      <w:r w:rsidRPr="00615658">
        <w:rPr>
          <w:b/>
          <w:noProof/>
          <w:sz w:val="32"/>
        </w:rPr>
        <w:t>5.</w:t>
      </w:r>
      <w:r w:rsidRPr="00615658">
        <w:rPr>
          <w:rFonts w:asciiTheme="minorHAnsi" w:eastAsiaTheme="minorEastAsia" w:hAnsiTheme="minorHAnsi" w:cstheme="minorBidi"/>
          <w:noProof/>
          <w:sz w:val="28"/>
          <w:szCs w:val="22"/>
          <w:lang w:eastAsia="en-GB"/>
        </w:rPr>
        <w:tab/>
      </w:r>
      <w:r w:rsidRPr="00615658">
        <w:rPr>
          <w:b/>
          <w:noProof/>
          <w:sz w:val="32"/>
        </w:rPr>
        <w:t>Measuring success and Payment</w:t>
      </w:r>
      <w:r w:rsidRPr="00615658">
        <w:rPr>
          <w:noProof/>
          <w:sz w:val="32"/>
        </w:rPr>
        <w:tab/>
      </w:r>
      <w:r w:rsidRPr="00615658">
        <w:rPr>
          <w:noProof/>
          <w:sz w:val="32"/>
        </w:rPr>
        <w:fldChar w:fldCharType="begin"/>
      </w:r>
      <w:r w:rsidRPr="00615658">
        <w:rPr>
          <w:noProof/>
          <w:sz w:val="32"/>
        </w:rPr>
        <w:instrText xml:space="preserve"> PAGEREF _Toc396307860 \h </w:instrText>
      </w:r>
      <w:r w:rsidRPr="00615658">
        <w:rPr>
          <w:noProof/>
          <w:sz w:val="32"/>
        </w:rPr>
      </w:r>
      <w:r w:rsidRPr="00615658">
        <w:rPr>
          <w:noProof/>
          <w:sz w:val="32"/>
        </w:rPr>
        <w:fldChar w:fldCharType="separate"/>
      </w:r>
      <w:r w:rsidR="00D8560A">
        <w:rPr>
          <w:noProof/>
          <w:sz w:val="32"/>
        </w:rPr>
        <w:t>14</w:t>
      </w:r>
      <w:r w:rsidRPr="00615658">
        <w:rPr>
          <w:noProof/>
          <w:sz w:val="32"/>
        </w:rPr>
        <w:fldChar w:fldCharType="end"/>
      </w:r>
    </w:p>
    <w:p w:rsidR="00C30E8D" w:rsidRPr="00615658" w:rsidRDefault="00C30E8D" w:rsidP="00615658">
      <w:pPr>
        <w:pStyle w:val="TOC1"/>
        <w:spacing w:line="360" w:lineRule="auto"/>
        <w:rPr>
          <w:rFonts w:asciiTheme="minorHAnsi" w:eastAsiaTheme="minorEastAsia" w:hAnsiTheme="minorHAnsi" w:cstheme="minorBidi"/>
          <w:noProof/>
          <w:sz w:val="28"/>
          <w:szCs w:val="22"/>
          <w:lang w:eastAsia="en-GB"/>
        </w:rPr>
      </w:pPr>
      <w:r w:rsidRPr="00615658">
        <w:rPr>
          <w:b/>
          <w:noProof/>
          <w:sz w:val="32"/>
        </w:rPr>
        <w:t>6.</w:t>
      </w:r>
      <w:r w:rsidRPr="00615658">
        <w:rPr>
          <w:rFonts w:asciiTheme="minorHAnsi" w:eastAsiaTheme="minorEastAsia" w:hAnsiTheme="minorHAnsi" w:cstheme="minorBidi"/>
          <w:noProof/>
          <w:sz w:val="28"/>
          <w:szCs w:val="22"/>
          <w:lang w:eastAsia="en-GB"/>
        </w:rPr>
        <w:tab/>
      </w:r>
      <w:r w:rsidRPr="00615658">
        <w:rPr>
          <w:b/>
          <w:noProof/>
          <w:sz w:val="32"/>
        </w:rPr>
        <w:t>Core allocation</w:t>
      </w:r>
      <w:r w:rsidRPr="00615658">
        <w:rPr>
          <w:noProof/>
          <w:sz w:val="32"/>
        </w:rPr>
        <w:tab/>
      </w:r>
      <w:r w:rsidRPr="00615658">
        <w:rPr>
          <w:noProof/>
          <w:sz w:val="32"/>
        </w:rPr>
        <w:fldChar w:fldCharType="begin"/>
      </w:r>
      <w:r w:rsidRPr="00615658">
        <w:rPr>
          <w:noProof/>
          <w:sz w:val="32"/>
        </w:rPr>
        <w:instrText xml:space="preserve"> PAGEREF _Toc396307862 \h </w:instrText>
      </w:r>
      <w:r w:rsidRPr="00615658">
        <w:rPr>
          <w:noProof/>
          <w:sz w:val="32"/>
        </w:rPr>
      </w:r>
      <w:r w:rsidRPr="00615658">
        <w:rPr>
          <w:noProof/>
          <w:sz w:val="32"/>
        </w:rPr>
        <w:fldChar w:fldCharType="separate"/>
      </w:r>
      <w:r w:rsidR="00D8560A">
        <w:rPr>
          <w:noProof/>
          <w:sz w:val="32"/>
        </w:rPr>
        <w:t>16</w:t>
      </w:r>
      <w:r w:rsidRPr="00615658">
        <w:rPr>
          <w:noProof/>
          <w:sz w:val="32"/>
        </w:rPr>
        <w:fldChar w:fldCharType="end"/>
      </w:r>
    </w:p>
    <w:p w:rsidR="00C30E8D" w:rsidRPr="00615658" w:rsidRDefault="00C30E8D" w:rsidP="00615658">
      <w:pPr>
        <w:pStyle w:val="TOC1"/>
        <w:spacing w:line="360" w:lineRule="auto"/>
        <w:rPr>
          <w:rFonts w:asciiTheme="minorHAnsi" w:eastAsiaTheme="minorEastAsia" w:hAnsiTheme="minorHAnsi" w:cstheme="minorBidi"/>
          <w:noProof/>
          <w:sz w:val="28"/>
          <w:szCs w:val="22"/>
          <w:lang w:eastAsia="en-GB"/>
        </w:rPr>
      </w:pPr>
      <w:r w:rsidRPr="00615658">
        <w:rPr>
          <w:b/>
          <w:noProof/>
          <w:sz w:val="32"/>
        </w:rPr>
        <w:t>7.</w:t>
      </w:r>
      <w:r w:rsidRPr="00615658">
        <w:rPr>
          <w:rFonts w:asciiTheme="minorHAnsi" w:eastAsiaTheme="minorEastAsia" w:hAnsiTheme="minorHAnsi" w:cstheme="minorBidi"/>
          <w:noProof/>
          <w:sz w:val="28"/>
          <w:szCs w:val="22"/>
          <w:lang w:eastAsia="en-GB"/>
        </w:rPr>
        <w:tab/>
      </w:r>
      <w:r w:rsidRPr="00615658">
        <w:rPr>
          <w:b/>
          <w:noProof/>
          <w:sz w:val="32"/>
        </w:rPr>
        <w:t>Next steps</w:t>
      </w:r>
      <w:r w:rsidRPr="00615658">
        <w:rPr>
          <w:noProof/>
          <w:sz w:val="32"/>
        </w:rPr>
        <w:tab/>
      </w:r>
      <w:r w:rsidRPr="00615658">
        <w:rPr>
          <w:noProof/>
          <w:sz w:val="32"/>
        </w:rPr>
        <w:fldChar w:fldCharType="begin"/>
      </w:r>
      <w:r w:rsidRPr="00615658">
        <w:rPr>
          <w:noProof/>
          <w:sz w:val="32"/>
        </w:rPr>
        <w:instrText xml:space="preserve"> PAGEREF _Toc396307863 \h </w:instrText>
      </w:r>
      <w:r w:rsidRPr="00615658">
        <w:rPr>
          <w:noProof/>
          <w:sz w:val="32"/>
        </w:rPr>
      </w:r>
      <w:r w:rsidRPr="00615658">
        <w:rPr>
          <w:noProof/>
          <w:sz w:val="32"/>
        </w:rPr>
        <w:fldChar w:fldCharType="separate"/>
      </w:r>
      <w:r w:rsidR="00D8560A">
        <w:rPr>
          <w:noProof/>
          <w:sz w:val="32"/>
        </w:rPr>
        <w:t>17</w:t>
      </w:r>
      <w:r w:rsidRPr="00615658">
        <w:rPr>
          <w:noProof/>
          <w:sz w:val="32"/>
        </w:rPr>
        <w:fldChar w:fldCharType="end"/>
      </w:r>
    </w:p>
    <w:p w:rsidR="003C73BD" w:rsidRPr="00615658" w:rsidRDefault="00DE503A" w:rsidP="00615658">
      <w:pPr>
        <w:pStyle w:val="TOC1"/>
        <w:spacing w:line="360" w:lineRule="auto"/>
        <w:rPr>
          <w:noProof/>
          <w:sz w:val="32"/>
        </w:rPr>
      </w:pPr>
      <w:r w:rsidRPr="00615658">
        <w:rPr>
          <w:b/>
          <w:noProof/>
          <w:sz w:val="32"/>
        </w:rPr>
        <w:t>8</w:t>
      </w:r>
      <w:r w:rsidR="00C30E8D" w:rsidRPr="00615658">
        <w:rPr>
          <w:b/>
          <w:noProof/>
          <w:sz w:val="32"/>
        </w:rPr>
        <w:t xml:space="preserve">. </w:t>
      </w:r>
      <w:r w:rsidR="009E7B33" w:rsidRPr="00615658">
        <w:rPr>
          <w:b/>
          <w:noProof/>
          <w:sz w:val="32"/>
        </w:rPr>
        <w:tab/>
      </w:r>
      <w:r w:rsidR="00C30E8D" w:rsidRPr="00615658">
        <w:rPr>
          <w:b/>
          <w:noProof/>
          <w:sz w:val="32"/>
        </w:rPr>
        <w:t>Question</w:t>
      </w:r>
      <w:r w:rsidR="004B7A67" w:rsidRPr="00615658">
        <w:rPr>
          <w:b/>
          <w:noProof/>
          <w:sz w:val="32"/>
        </w:rPr>
        <w:t>s</w:t>
      </w:r>
      <w:r w:rsidR="00C30E8D" w:rsidRPr="00615658">
        <w:rPr>
          <w:b/>
          <w:noProof/>
          <w:sz w:val="32"/>
        </w:rPr>
        <w:t xml:space="preserve"> </w:t>
      </w:r>
      <w:r w:rsidR="004B7A67" w:rsidRPr="00615658">
        <w:rPr>
          <w:b/>
          <w:noProof/>
          <w:sz w:val="32"/>
        </w:rPr>
        <w:t>s</w:t>
      </w:r>
      <w:r w:rsidR="00C30E8D" w:rsidRPr="00615658">
        <w:rPr>
          <w:b/>
          <w:noProof/>
          <w:sz w:val="32"/>
        </w:rPr>
        <w:t>ummary</w:t>
      </w:r>
      <w:r w:rsidR="00C30E8D" w:rsidRPr="00615658">
        <w:rPr>
          <w:noProof/>
          <w:sz w:val="32"/>
        </w:rPr>
        <w:tab/>
      </w:r>
      <w:r w:rsidR="00C30E8D" w:rsidRPr="00615658">
        <w:rPr>
          <w:noProof/>
          <w:sz w:val="32"/>
        </w:rPr>
        <w:fldChar w:fldCharType="begin"/>
      </w:r>
      <w:r w:rsidR="00C30E8D" w:rsidRPr="00615658">
        <w:rPr>
          <w:noProof/>
          <w:sz w:val="32"/>
        </w:rPr>
        <w:instrText xml:space="preserve"> PAGEREF _Toc396307864 \h </w:instrText>
      </w:r>
      <w:r w:rsidR="00C30E8D" w:rsidRPr="00615658">
        <w:rPr>
          <w:noProof/>
          <w:sz w:val="32"/>
        </w:rPr>
      </w:r>
      <w:r w:rsidR="00C30E8D" w:rsidRPr="00615658">
        <w:rPr>
          <w:noProof/>
          <w:sz w:val="32"/>
        </w:rPr>
        <w:fldChar w:fldCharType="separate"/>
      </w:r>
      <w:r w:rsidR="00D8560A">
        <w:rPr>
          <w:noProof/>
          <w:sz w:val="32"/>
        </w:rPr>
        <w:t>18</w:t>
      </w:r>
      <w:r w:rsidR="00C30E8D" w:rsidRPr="00615658">
        <w:rPr>
          <w:noProof/>
          <w:sz w:val="32"/>
        </w:rPr>
        <w:fldChar w:fldCharType="end"/>
      </w:r>
    </w:p>
    <w:p w:rsidR="004B7A67" w:rsidRPr="00615658" w:rsidRDefault="004B7A67" w:rsidP="00615658">
      <w:pPr>
        <w:spacing w:line="360" w:lineRule="auto"/>
        <w:rPr>
          <w:rFonts w:eastAsiaTheme="minorEastAsia"/>
          <w:noProof/>
          <w:sz w:val="32"/>
        </w:rPr>
      </w:pPr>
      <w:r w:rsidRPr="00615658">
        <w:rPr>
          <w:rFonts w:eastAsiaTheme="minorEastAsia"/>
          <w:noProof/>
          <w:sz w:val="32"/>
        </w:rPr>
        <w:t>Annex A  HPIS indicators</w:t>
      </w:r>
      <w:r w:rsidR="00DE503A" w:rsidRPr="00615658">
        <w:rPr>
          <w:rFonts w:eastAsiaTheme="minorEastAsia"/>
          <w:noProof/>
          <w:sz w:val="32"/>
        </w:rPr>
        <w:tab/>
      </w:r>
      <w:r w:rsidR="003C73BD" w:rsidRPr="00615658">
        <w:rPr>
          <w:rFonts w:eastAsiaTheme="minorEastAsia"/>
          <w:noProof/>
          <w:sz w:val="32"/>
        </w:rPr>
        <w:t xml:space="preserve">  </w:t>
      </w:r>
      <w:r w:rsidR="009E7B33" w:rsidRPr="00615658">
        <w:rPr>
          <w:rFonts w:eastAsiaTheme="minorEastAsia"/>
          <w:noProof/>
          <w:sz w:val="32"/>
        </w:rPr>
        <w:t xml:space="preserve">                                                        </w:t>
      </w:r>
      <w:r w:rsidR="00615658">
        <w:rPr>
          <w:rFonts w:eastAsiaTheme="minorEastAsia"/>
          <w:noProof/>
          <w:sz w:val="32"/>
        </w:rPr>
        <w:t xml:space="preserve"> </w:t>
      </w:r>
      <w:r w:rsidR="009E7B33" w:rsidRPr="00615658">
        <w:rPr>
          <w:rFonts w:eastAsiaTheme="minorEastAsia"/>
          <w:noProof/>
          <w:sz w:val="32"/>
        </w:rPr>
        <w:t xml:space="preserve">   </w:t>
      </w:r>
      <w:r w:rsidR="00B771B3" w:rsidRPr="00615658">
        <w:rPr>
          <w:rFonts w:eastAsiaTheme="minorEastAsia"/>
          <w:noProof/>
          <w:sz w:val="32"/>
        </w:rPr>
        <w:t xml:space="preserve">    </w:t>
      </w:r>
      <w:r w:rsidR="009E7B33" w:rsidRPr="00615658">
        <w:rPr>
          <w:rFonts w:eastAsiaTheme="minorEastAsia"/>
          <w:noProof/>
          <w:sz w:val="32"/>
        </w:rPr>
        <w:t xml:space="preserve"> 21</w:t>
      </w:r>
    </w:p>
    <w:p w:rsidR="00C30E8D" w:rsidRPr="00615658" w:rsidRDefault="00C30E8D" w:rsidP="00615658">
      <w:pPr>
        <w:pStyle w:val="TOC1"/>
        <w:spacing w:line="360" w:lineRule="auto"/>
        <w:rPr>
          <w:rFonts w:asciiTheme="minorHAnsi" w:eastAsiaTheme="minorEastAsia" w:hAnsiTheme="minorHAnsi" w:cstheme="minorBidi"/>
          <w:noProof/>
          <w:sz w:val="28"/>
          <w:szCs w:val="22"/>
          <w:lang w:eastAsia="en-GB"/>
        </w:rPr>
      </w:pPr>
      <w:r w:rsidRPr="00615658">
        <w:rPr>
          <w:noProof/>
          <w:sz w:val="32"/>
        </w:rPr>
        <w:t>Annex B</w:t>
      </w:r>
      <w:r w:rsidR="004B7A67" w:rsidRPr="00615658">
        <w:rPr>
          <w:noProof/>
          <w:sz w:val="32"/>
        </w:rPr>
        <w:t xml:space="preserve"> </w:t>
      </w:r>
      <w:r w:rsidR="00016231" w:rsidRPr="00615658">
        <w:rPr>
          <w:noProof/>
          <w:sz w:val="32"/>
        </w:rPr>
        <w:t xml:space="preserve">Core allocations </w:t>
      </w:r>
      <w:r w:rsidR="004B7A67" w:rsidRPr="00615658">
        <w:rPr>
          <w:noProof/>
          <w:sz w:val="32"/>
        </w:rPr>
        <w:t>201</w:t>
      </w:r>
      <w:r w:rsidR="00DE503A" w:rsidRPr="00615658">
        <w:rPr>
          <w:noProof/>
          <w:sz w:val="32"/>
        </w:rPr>
        <w:t>5</w:t>
      </w:r>
      <w:r w:rsidR="004B7A67" w:rsidRPr="00615658">
        <w:rPr>
          <w:noProof/>
          <w:sz w:val="32"/>
        </w:rPr>
        <w:t>/1</w:t>
      </w:r>
      <w:r w:rsidR="00DE503A" w:rsidRPr="00615658">
        <w:rPr>
          <w:noProof/>
          <w:sz w:val="32"/>
        </w:rPr>
        <w:t>6</w:t>
      </w:r>
      <w:r w:rsidR="00016231" w:rsidRPr="00615658">
        <w:rPr>
          <w:noProof/>
          <w:sz w:val="32"/>
        </w:rPr>
        <w:t xml:space="preserve"> </w:t>
      </w:r>
      <w:r w:rsidR="004B7A67" w:rsidRPr="00615658">
        <w:rPr>
          <w:noProof/>
          <w:sz w:val="32"/>
        </w:rPr>
        <w:t xml:space="preserve"> </w:t>
      </w:r>
      <w:r w:rsidRPr="00615658">
        <w:rPr>
          <w:noProof/>
          <w:sz w:val="32"/>
        </w:rPr>
        <w:tab/>
      </w:r>
      <w:r w:rsidRPr="00615658">
        <w:rPr>
          <w:noProof/>
          <w:sz w:val="32"/>
        </w:rPr>
        <w:fldChar w:fldCharType="begin"/>
      </w:r>
      <w:r w:rsidRPr="00615658">
        <w:rPr>
          <w:noProof/>
          <w:sz w:val="32"/>
        </w:rPr>
        <w:instrText xml:space="preserve"> PAGEREF _Toc396307872 \h </w:instrText>
      </w:r>
      <w:r w:rsidRPr="00615658">
        <w:rPr>
          <w:noProof/>
          <w:sz w:val="32"/>
        </w:rPr>
      </w:r>
      <w:r w:rsidRPr="00615658">
        <w:rPr>
          <w:noProof/>
          <w:sz w:val="32"/>
        </w:rPr>
        <w:fldChar w:fldCharType="separate"/>
      </w:r>
      <w:r w:rsidR="00D8560A">
        <w:rPr>
          <w:noProof/>
          <w:sz w:val="32"/>
        </w:rPr>
        <w:t>24</w:t>
      </w:r>
      <w:r w:rsidRPr="00615658">
        <w:rPr>
          <w:noProof/>
          <w:sz w:val="32"/>
        </w:rPr>
        <w:fldChar w:fldCharType="end"/>
      </w:r>
    </w:p>
    <w:p w:rsidR="00E92CB1" w:rsidRPr="009A27BF" w:rsidRDefault="00A3396D" w:rsidP="00615658">
      <w:pPr>
        <w:pStyle w:val="Paragraphtext"/>
        <w:tabs>
          <w:tab w:val="left" w:pos="1276"/>
          <w:tab w:val="left" w:pos="8931"/>
          <w:tab w:val="left" w:pos="9781"/>
        </w:tabs>
        <w:spacing w:line="360" w:lineRule="auto"/>
        <w:ind w:left="720"/>
        <w:rPr>
          <w:rFonts w:cs="Arial"/>
          <w:szCs w:val="24"/>
        </w:rPr>
      </w:pPr>
      <w:r w:rsidRPr="00615658">
        <w:rPr>
          <w:rFonts w:cs="Arial"/>
          <w:sz w:val="32"/>
          <w:szCs w:val="24"/>
        </w:rPr>
        <w:fldChar w:fldCharType="end"/>
      </w:r>
    </w:p>
    <w:p w:rsidR="00E92CB1" w:rsidRPr="009A27BF" w:rsidRDefault="00E92CB1" w:rsidP="00E92CB1">
      <w:pPr>
        <w:pStyle w:val="Paragraphtext"/>
        <w:tabs>
          <w:tab w:val="left" w:pos="9781"/>
        </w:tabs>
        <w:rPr>
          <w:rFonts w:cs="Arial"/>
          <w:szCs w:val="24"/>
        </w:rPr>
      </w:pPr>
    </w:p>
    <w:p w:rsidR="00A3396D" w:rsidRPr="009A27BF" w:rsidRDefault="00A3396D">
      <w:pPr>
        <w:pStyle w:val="Paragraphtext"/>
        <w:rPr>
          <w:rFonts w:cs="Arial"/>
          <w:szCs w:val="24"/>
        </w:rPr>
      </w:pPr>
    </w:p>
    <w:p w:rsidR="00D912D5" w:rsidRPr="009A27BF" w:rsidRDefault="00D912D5">
      <w:pPr>
        <w:pStyle w:val="ChapterHead"/>
        <w:rPr>
          <w:rFonts w:cs="Arial"/>
          <w:sz w:val="24"/>
          <w:szCs w:val="24"/>
        </w:rPr>
        <w:sectPr w:rsidR="00D912D5" w:rsidRPr="009A27BF" w:rsidSect="00E3272D">
          <w:headerReference w:type="first" r:id="rId21"/>
          <w:pgSz w:w="11906" w:h="16838" w:code="9"/>
          <w:pgMar w:top="1418" w:right="851" w:bottom="907" w:left="851" w:header="624" w:footer="624" w:gutter="0"/>
          <w:cols w:space="720"/>
          <w:formProt w:val="0"/>
          <w:titlePg/>
        </w:sectPr>
      </w:pPr>
      <w:bookmarkStart w:id="13" w:name="_Toc287863055"/>
    </w:p>
    <w:p w:rsidR="00D912D5" w:rsidRPr="00CC29F0" w:rsidRDefault="00DC06B1" w:rsidP="00000EA3">
      <w:pPr>
        <w:pStyle w:val="ChapterHead"/>
        <w:numPr>
          <w:ilvl w:val="0"/>
          <w:numId w:val="9"/>
        </w:numPr>
        <w:rPr>
          <w:b/>
        </w:rPr>
      </w:pPr>
      <w:bookmarkStart w:id="14" w:name="_Toc396307851"/>
      <w:bookmarkEnd w:id="3"/>
      <w:bookmarkEnd w:id="13"/>
      <w:r w:rsidRPr="00CC29F0">
        <w:rPr>
          <w:b/>
        </w:rPr>
        <w:lastRenderedPageBreak/>
        <w:t>Overview</w:t>
      </w:r>
      <w:bookmarkEnd w:id="14"/>
    </w:p>
    <w:p w:rsidR="00D3040A" w:rsidRPr="009A27BF" w:rsidRDefault="00D3040A" w:rsidP="003B7176">
      <w:pPr>
        <w:pStyle w:val="Introduction"/>
        <w:ind w:left="1080"/>
        <w:rPr>
          <w:rFonts w:eastAsiaTheme="minorHAnsi" w:cs="Arial"/>
          <w:i/>
          <w:sz w:val="24"/>
          <w:szCs w:val="24"/>
        </w:rPr>
      </w:pPr>
      <w:r w:rsidRPr="009A27BF">
        <w:rPr>
          <w:rFonts w:eastAsiaTheme="minorHAnsi" w:cs="Arial"/>
          <w:i/>
          <w:sz w:val="24"/>
          <w:szCs w:val="24"/>
        </w:rPr>
        <w:t xml:space="preserve">The coalition agreement committed to </w:t>
      </w:r>
      <w:r w:rsidR="00BA2C85">
        <w:rPr>
          <w:rFonts w:eastAsiaTheme="minorHAnsi" w:cs="Arial"/>
          <w:i/>
          <w:sz w:val="24"/>
          <w:szCs w:val="24"/>
        </w:rPr>
        <w:t>…</w:t>
      </w:r>
      <w:r w:rsidRPr="009A27BF">
        <w:rPr>
          <w:rFonts w:eastAsiaTheme="minorHAnsi" w:cs="Arial"/>
          <w:i/>
          <w:sz w:val="24"/>
          <w:szCs w:val="24"/>
        </w:rPr>
        <w:t xml:space="preserve">“give local communities greater control over public health budgets with payment by the outcomes they achieve in improving the health of local residents.” </w:t>
      </w:r>
    </w:p>
    <w:p w:rsidR="00DC06B1" w:rsidRPr="009A27BF" w:rsidRDefault="00DC06B1" w:rsidP="003B7176">
      <w:pPr>
        <w:pStyle w:val="Introduction"/>
        <w:ind w:left="1080"/>
        <w:rPr>
          <w:rFonts w:eastAsiaTheme="minorHAnsi" w:cs="Arial"/>
          <w:sz w:val="24"/>
          <w:szCs w:val="24"/>
        </w:rPr>
      </w:pPr>
      <w:r w:rsidRPr="009A27BF">
        <w:rPr>
          <w:rFonts w:eastAsiaTheme="minorHAnsi" w:cs="Arial"/>
          <w:i/>
          <w:sz w:val="24"/>
          <w:szCs w:val="24"/>
        </w:rPr>
        <w:t>In 2010 Healthy lives, healthy people: our strategy for public health in England</w:t>
      </w:r>
      <w:r w:rsidR="00A06921" w:rsidRPr="009A27BF">
        <w:rPr>
          <w:rFonts w:eastAsiaTheme="minorHAnsi" w:cs="Arial"/>
          <w:i/>
          <w:sz w:val="24"/>
          <w:szCs w:val="24"/>
        </w:rPr>
        <w:t>,</w:t>
      </w:r>
      <w:r w:rsidRPr="009A27BF">
        <w:rPr>
          <w:rFonts w:eastAsiaTheme="minorHAnsi" w:cs="Arial"/>
          <w:sz w:val="24"/>
          <w:szCs w:val="24"/>
        </w:rPr>
        <w:t xml:space="preserve"> committed to introducing a health premium that would incentivise local authorities to take action to </w:t>
      </w:r>
      <w:r w:rsidR="00B457AF" w:rsidRPr="009A27BF">
        <w:rPr>
          <w:rFonts w:eastAsiaTheme="minorHAnsi" w:cs="Arial"/>
          <w:sz w:val="24"/>
          <w:szCs w:val="24"/>
        </w:rPr>
        <w:t xml:space="preserve">improve the health of their populations and </w:t>
      </w:r>
      <w:r w:rsidRPr="009A27BF">
        <w:rPr>
          <w:rFonts w:eastAsiaTheme="minorHAnsi" w:cs="Arial"/>
          <w:sz w:val="24"/>
          <w:szCs w:val="24"/>
        </w:rPr>
        <w:t>reduce health inequalities.</w:t>
      </w:r>
    </w:p>
    <w:p w:rsidR="00DC06B1" w:rsidRPr="009A27BF" w:rsidRDefault="00DC06B1" w:rsidP="00DC06B1">
      <w:pPr>
        <w:pStyle w:val="Paragraphtext"/>
        <w:rPr>
          <w:rFonts w:eastAsiaTheme="minorHAnsi" w:cs="Arial"/>
          <w:szCs w:val="24"/>
        </w:rPr>
      </w:pPr>
    </w:p>
    <w:p w:rsidR="00B457AF" w:rsidRPr="009A27BF" w:rsidRDefault="001251CA" w:rsidP="00000EA3">
      <w:pPr>
        <w:pStyle w:val="ListParagraph"/>
        <w:numPr>
          <w:ilvl w:val="1"/>
          <w:numId w:val="8"/>
        </w:numPr>
        <w:ind w:left="993" w:hanging="567"/>
        <w:rPr>
          <w:rFonts w:ascii="Arial" w:eastAsiaTheme="minorHAnsi" w:hAnsi="Arial" w:cs="Arial"/>
        </w:rPr>
      </w:pPr>
      <w:r w:rsidRPr="009A27BF">
        <w:rPr>
          <w:rFonts w:ascii="Arial" w:eastAsiaTheme="minorHAnsi" w:hAnsi="Arial" w:cs="Arial"/>
        </w:rPr>
        <w:t>Local authorities are already responsible for improving the health of their local population and are supported</w:t>
      </w:r>
      <w:r w:rsidR="00BD3596" w:rsidRPr="009A27BF">
        <w:rPr>
          <w:rFonts w:ascii="Arial" w:eastAsiaTheme="minorHAnsi" w:hAnsi="Arial" w:cs="Arial"/>
        </w:rPr>
        <w:t xml:space="preserve"> in</w:t>
      </w:r>
      <w:r w:rsidRPr="009A27BF">
        <w:rPr>
          <w:rFonts w:ascii="Arial" w:eastAsiaTheme="minorHAnsi" w:hAnsi="Arial" w:cs="Arial"/>
        </w:rPr>
        <w:t xml:space="preserve"> doing so </w:t>
      </w:r>
      <w:r w:rsidR="00643596" w:rsidRPr="009A27BF">
        <w:rPr>
          <w:rFonts w:ascii="Arial" w:eastAsiaTheme="minorHAnsi" w:hAnsi="Arial" w:cs="Arial"/>
        </w:rPr>
        <w:t>by</w:t>
      </w:r>
      <w:r w:rsidRPr="009A27BF">
        <w:rPr>
          <w:rFonts w:ascii="Arial" w:eastAsiaTheme="minorHAnsi" w:hAnsi="Arial" w:cs="Arial"/>
        </w:rPr>
        <w:t xml:space="preserve"> the ring fenced public health budget. </w:t>
      </w:r>
      <w:r w:rsidR="00B457AF" w:rsidRPr="009A27BF">
        <w:rPr>
          <w:rFonts w:ascii="Arial" w:eastAsiaTheme="minorHAnsi" w:hAnsi="Arial" w:cs="Arial"/>
        </w:rPr>
        <w:t>This budget is informed by an estimate of the local need for the relevant public health services (the “target allocation”), although the actual grant is moderated by the historic levels of investment.</w:t>
      </w:r>
    </w:p>
    <w:p w:rsidR="009A27BF" w:rsidRPr="009A27BF" w:rsidRDefault="009A27BF" w:rsidP="009A27BF">
      <w:pPr>
        <w:pStyle w:val="ListParagraph"/>
        <w:rPr>
          <w:rFonts w:ascii="Arial" w:eastAsiaTheme="minorHAnsi" w:hAnsi="Arial" w:cs="Arial"/>
        </w:rPr>
      </w:pPr>
    </w:p>
    <w:p w:rsidR="009A27BF" w:rsidRPr="009A27BF" w:rsidRDefault="001251CA" w:rsidP="00000EA3">
      <w:pPr>
        <w:pStyle w:val="ListParagraph"/>
        <w:numPr>
          <w:ilvl w:val="1"/>
          <w:numId w:val="8"/>
        </w:numPr>
        <w:ind w:left="993" w:hanging="567"/>
        <w:rPr>
          <w:rFonts w:ascii="Arial" w:eastAsiaTheme="minorHAnsi" w:hAnsi="Arial" w:cs="Arial"/>
        </w:rPr>
      </w:pPr>
      <w:r w:rsidRPr="009A27BF">
        <w:rPr>
          <w:rFonts w:ascii="Arial" w:eastAsiaTheme="minorHAnsi" w:hAnsi="Arial" w:cs="Arial"/>
        </w:rPr>
        <w:t xml:space="preserve">The health premium incentive scheme </w:t>
      </w:r>
      <w:r w:rsidR="00BD3596" w:rsidRPr="009A27BF">
        <w:rPr>
          <w:rFonts w:ascii="Arial" w:eastAsiaTheme="minorHAnsi" w:hAnsi="Arial" w:cs="Arial"/>
        </w:rPr>
        <w:t>aim</w:t>
      </w:r>
      <w:r w:rsidR="00B457AF" w:rsidRPr="009A27BF">
        <w:rPr>
          <w:rFonts w:ascii="Arial" w:eastAsiaTheme="minorHAnsi" w:hAnsi="Arial" w:cs="Arial"/>
        </w:rPr>
        <w:t>s</w:t>
      </w:r>
      <w:r w:rsidRPr="009A27BF">
        <w:rPr>
          <w:rFonts w:ascii="Arial" w:eastAsiaTheme="minorHAnsi" w:hAnsi="Arial" w:cs="Arial"/>
        </w:rPr>
        <w:t xml:space="preserve"> to build on this </w:t>
      </w:r>
      <w:r w:rsidR="00B457AF" w:rsidRPr="009A27BF">
        <w:rPr>
          <w:rFonts w:ascii="Arial" w:eastAsiaTheme="minorHAnsi" w:hAnsi="Arial" w:cs="Arial"/>
        </w:rPr>
        <w:t xml:space="preserve">by </w:t>
      </w:r>
      <w:r w:rsidRPr="009A27BF">
        <w:rPr>
          <w:rFonts w:ascii="Arial" w:eastAsiaTheme="minorHAnsi" w:hAnsi="Arial" w:cs="Arial"/>
        </w:rPr>
        <w:t>offer</w:t>
      </w:r>
      <w:r w:rsidR="00B457AF" w:rsidRPr="009A27BF">
        <w:rPr>
          <w:rFonts w:ascii="Arial" w:eastAsiaTheme="minorHAnsi" w:hAnsi="Arial" w:cs="Arial"/>
        </w:rPr>
        <w:t>ing</w:t>
      </w:r>
      <w:r w:rsidRPr="009A27BF">
        <w:rPr>
          <w:rFonts w:ascii="Arial" w:eastAsiaTheme="minorHAnsi" w:hAnsi="Arial" w:cs="Arial"/>
        </w:rPr>
        <w:t xml:space="preserve"> a</w:t>
      </w:r>
      <w:r w:rsidR="00B457AF" w:rsidRPr="009A27BF">
        <w:rPr>
          <w:rFonts w:ascii="Arial" w:eastAsiaTheme="minorHAnsi" w:hAnsi="Arial" w:cs="Arial"/>
        </w:rPr>
        <w:t xml:space="preserve"> financial </w:t>
      </w:r>
      <w:r w:rsidR="00C21F5B" w:rsidRPr="009A27BF">
        <w:rPr>
          <w:rFonts w:ascii="Arial" w:eastAsiaTheme="minorHAnsi" w:hAnsi="Arial" w:cs="Arial"/>
        </w:rPr>
        <w:t>incentive</w:t>
      </w:r>
      <w:r w:rsidRPr="009A27BF">
        <w:rPr>
          <w:rFonts w:ascii="Arial" w:eastAsiaTheme="minorHAnsi" w:hAnsi="Arial" w:cs="Arial"/>
        </w:rPr>
        <w:t xml:space="preserve"> </w:t>
      </w:r>
      <w:r w:rsidR="00B457AF" w:rsidRPr="009A27BF">
        <w:rPr>
          <w:rFonts w:ascii="Arial" w:eastAsiaTheme="minorHAnsi" w:hAnsi="Arial" w:cs="Arial"/>
        </w:rPr>
        <w:t xml:space="preserve">to </w:t>
      </w:r>
      <w:r w:rsidRPr="009A27BF">
        <w:rPr>
          <w:rFonts w:ascii="Arial" w:eastAsiaTheme="minorHAnsi" w:hAnsi="Arial" w:cs="Arial"/>
        </w:rPr>
        <w:t>local authorit</w:t>
      </w:r>
      <w:r w:rsidR="00B457AF" w:rsidRPr="009A27BF">
        <w:rPr>
          <w:rFonts w:ascii="Arial" w:eastAsiaTheme="minorHAnsi" w:hAnsi="Arial" w:cs="Arial"/>
        </w:rPr>
        <w:t xml:space="preserve">ies, paid when progress is made in improving the health of </w:t>
      </w:r>
      <w:r w:rsidR="005847B9">
        <w:rPr>
          <w:rFonts w:ascii="Arial" w:eastAsiaTheme="minorHAnsi" w:hAnsi="Arial" w:cs="Arial"/>
        </w:rPr>
        <w:t xml:space="preserve">the </w:t>
      </w:r>
      <w:r w:rsidR="00BA2C85">
        <w:rPr>
          <w:rFonts w:ascii="Arial" w:eastAsiaTheme="minorHAnsi" w:hAnsi="Arial" w:cs="Arial"/>
        </w:rPr>
        <w:t xml:space="preserve">local </w:t>
      </w:r>
      <w:r w:rsidR="00B457AF" w:rsidRPr="009A27BF">
        <w:rPr>
          <w:rFonts w:ascii="Arial" w:eastAsiaTheme="minorHAnsi" w:hAnsi="Arial" w:cs="Arial"/>
        </w:rPr>
        <w:t xml:space="preserve">populations and </w:t>
      </w:r>
      <w:r w:rsidR="00BD3596" w:rsidRPr="009A27BF">
        <w:rPr>
          <w:rFonts w:ascii="Arial" w:eastAsiaTheme="minorHAnsi" w:hAnsi="Arial" w:cs="Arial"/>
        </w:rPr>
        <w:t>tackling health inequalities.</w:t>
      </w:r>
    </w:p>
    <w:p w:rsidR="009A27BF" w:rsidRPr="009A27BF" w:rsidRDefault="009A27BF" w:rsidP="009A27BF">
      <w:pPr>
        <w:pStyle w:val="ListParagraph"/>
        <w:rPr>
          <w:rFonts w:ascii="Arial" w:eastAsiaTheme="minorHAnsi" w:hAnsi="Arial" w:cs="Arial"/>
        </w:rPr>
      </w:pPr>
    </w:p>
    <w:p w:rsidR="00B457AF" w:rsidRPr="00564211" w:rsidRDefault="00D3040A" w:rsidP="00000EA3">
      <w:pPr>
        <w:pStyle w:val="ListParagraph"/>
        <w:numPr>
          <w:ilvl w:val="1"/>
          <w:numId w:val="8"/>
        </w:numPr>
        <w:ind w:left="993" w:hanging="567"/>
        <w:rPr>
          <w:rFonts w:ascii="Arial" w:eastAsiaTheme="minorHAnsi" w:hAnsi="Arial" w:cs="Arial"/>
        </w:rPr>
      </w:pPr>
      <w:r w:rsidRPr="00564211">
        <w:rPr>
          <w:rFonts w:ascii="Arial" w:eastAsiaTheme="minorHAnsi" w:hAnsi="Arial" w:cs="Arial"/>
        </w:rPr>
        <w:t xml:space="preserve">The </w:t>
      </w:r>
      <w:r w:rsidR="00B457AF" w:rsidRPr="00564211">
        <w:rPr>
          <w:rFonts w:ascii="Arial" w:eastAsiaTheme="minorHAnsi" w:hAnsi="Arial" w:cs="Arial"/>
          <w:i/>
        </w:rPr>
        <w:t>Health</w:t>
      </w:r>
      <w:r w:rsidR="009A27BF" w:rsidRPr="00564211">
        <w:rPr>
          <w:rFonts w:ascii="Arial" w:eastAsiaTheme="minorHAnsi" w:hAnsi="Arial" w:cs="Arial"/>
          <w:i/>
        </w:rPr>
        <w:t>y</w:t>
      </w:r>
      <w:r w:rsidR="00B457AF" w:rsidRPr="00564211">
        <w:rPr>
          <w:rFonts w:ascii="Arial" w:eastAsiaTheme="minorHAnsi" w:hAnsi="Arial" w:cs="Arial"/>
          <w:i/>
        </w:rPr>
        <w:t xml:space="preserve"> lives, healthy people: public health funding update</w:t>
      </w:r>
      <w:r w:rsidR="00292963" w:rsidRPr="00564211">
        <w:rPr>
          <w:rFonts w:ascii="Arial" w:eastAsiaTheme="minorHAnsi" w:hAnsi="Arial" w:cs="Arial"/>
          <w:i/>
        </w:rPr>
        <w:t>, published in June 201</w:t>
      </w:r>
      <w:r w:rsidR="00FF2E39">
        <w:rPr>
          <w:rFonts w:ascii="Arial" w:eastAsiaTheme="minorHAnsi" w:hAnsi="Arial" w:cs="Arial"/>
          <w:i/>
        </w:rPr>
        <w:t>2</w:t>
      </w:r>
      <w:r w:rsidR="00292963" w:rsidRPr="00564211">
        <w:rPr>
          <w:rStyle w:val="FootnoteReference"/>
          <w:rFonts w:ascii="Arial" w:eastAsiaTheme="minorHAnsi" w:hAnsi="Arial" w:cs="Arial"/>
          <w:i/>
        </w:rPr>
        <w:footnoteReference w:id="2"/>
      </w:r>
      <w:r w:rsidR="00B457AF" w:rsidRPr="00564211">
        <w:rPr>
          <w:rFonts w:ascii="Arial" w:eastAsiaTheme="minorHAnsi" w:hAnsi="Arial" w:cs="Arial"/>
          <w:i/>
        </w:rPr>
        <w:t xml:space="preserve"> </w:t>
      </w:r>
      <w:r w:rsidR="00B457AF" w:rsidRPr="00564211">
        <w:rPr>
          <w:rFonts w:ascii="Arial" w:eastAsiaTheme="minorHAnsi" w:hAnsi="Arial" w:cs="Arial"/>
        </w:rPr>
        <w:t>set out the key principles for the incentive.  These included</w:t>
      </w:r>
      <w:r w:rsidR="00BB5F6F" w:rsidRPr="00564211">
        <w:rPr>
          <w:rFonts w:ascii="Arial" w:eastAsiaTheme="minorHAnsi" w:hAnsi="Arial" w:cs="Arial"/>
        </w:rPr>
        <w:t>:</w:t>
      </w:r>
    </w:p>
    <w:p w:rsidR="00BF7248" w:rsidRPr="00BF7248" w:rsidRDefault="00BF7248" w:rsidP="00BF7248">
      <w:pPr>
        <w:pStyle w:val="Paragraphtext"/>
        <w:spacing w:line="240" w:lineRule="auto"/>
        <w:ind w:left="1440"/>
        <w:rPr>
          <w:rFonts w:eastAsiaTheme="minorHAnsi" w:cs="Arial"/>
          <w:i/>
          <w:sz w:val="4"/>
          <w:szCs w:val="24"/>
        </w:rPr>
      </w:pPr>
    </w:p>
    <w:p w:rsidR="00292963" w:rsidRPr="00130C87" w:rsidRDefault="00292963" w:rsidP="00000EA3">
      <w:pPr>
        <w:pStyle w:val="Paragraphtext"/>
        <w:numPr>
          <w:ilvl w:val="3"/>
          <w:numId w:val="10"/>
        </w:numPr>
        <w:spacing w:line="240" w:lineRule="auto"/>
        <w:ind w:hanging="447"/>
        <w:rPr>
          <w:rFonts w:eastAsiaTheme="minorHAnsi" w:cs="Arial"/>
          <w:i/>
          <w:szCs w:val="24"/>
        </w:rPr>
      </w:pPr>
      <w:r w:rsidRPr="00130C87">
        <w:rPr>
          <w:rFonts w:eastAsiaTheme="minorHAnsi" w:cs="Arial"/>
          <w:i/>
          <w:szCs w:val="24"/>
        </w:rPr>
        <w:t>Assess</w:t>
      </w:r>
      <w:r w:rsidR="004156F4" w:rsidRPr="00130C87">
        <w:rPr>
          <w:rFonts w:eastAsiaTheme="minorHAnsi" w:cs="Arial"/>
          <w:i/>
          <w:szCs w:val="24"/>
        </w:rPr>
        <w:t xml:space="preserve">ment of </w:t>
      </w:r>
      <w:r w:rsidRPr="00130C87">
        <w:rPr>
          <w:rFonts w:eastAsiaTheme="minorHAnsi" w:cs="Arial"/>
          <w:i/>
          <w:szCs w:val="24"/>
        </w:rPr>
        <w:t>the indicators in the Public Health Outcomes Framework for their suitability as an incentive measure</w:t>
      </w:r>
      <w:r w:rsidR="00E10168">
        <w:rPr>
          <w:rFonts w:eastAsiaTheme="minorHAnsi" w:cs="Arial"/>
          <w:i/>
          <w:szCs w:val="24"/>
        </w:rPr>
        <w:t>;</w:t>
      </w:r>
    </w:p>
    <w:p w:rsidR="00BF7248" w:rsidRPr="00BF7248" w:rsidRDefault="00BF7248" w:rsidP="00BF7248">
      <w:pPr>
        <w:pStyle w:val="Paragraphtext"/>
        <w:spacing w:line="240" w:lineRule="auto"/>
        <w:ind w:left="1440"/>
        <w:rPr>
          <w:rFonts w:eastAsiaTheme="minorHAnsi" w:cs="Arial"/>
          <w:sz w:val="4"/>
          <w:szCs w:val="24"/>
        </w:rPr>
      </w:pPr>
    </w:p>
    <w:p w:rsidR="00292963" w:rsidRPr="00130C87" w:rsidRDefault="00292963" w:rsidP="00000EA3">
      <w:pPr>
        <w:pStyle w:val="Paragraphtext"/>
        <w:numPr>
          <w:ilvl w:val="3"/>
          <w:numId w:val="10"/>
        </w:numPr>
        <w:spacing w:line="240" w:lineRule="auto"/>
        <w:ind w:hanging="447"/>
        <w:rPr>
          <w:rFonts w:eastAsiaTheme="minorHAnsi" w:cs="Arial"/>
          <w:szCs w:val="24"/>
        </w:rPr>
      </w:pPr>
      <w:r w:rsidRPr="00130C87">
        <w:rPr>
          <w:rFonts w:eastAsiaTheme="minorHAnsi" w:cs="Arial"/>
          <w:szCs w:val="24"/>
        </w:rPr>
        <w:t xml:space="preserve">The </w:t>
      </w:r>
      <w:r w:rsidRPr="00130C87">
        <w:rPr>
          <w:rFonts w:eastAsiaTheme="minorHAnsi" w:cs="Arial"/>
          <w:i/>
          <w:szCs w:val="24"/>
        </w:rPr>
        <w:t>incentive is dependent upon the local authority making progress against certain public health indicators</w:t>
      </w:r>
      <w:r w:rsidRPr="00130C87">
        <w:rPr>
          <w:rFonts w:eastAsiaTheme="minorHAnsi" w:cs="Arial"/>
          <w:szCs w:val="24"/>
        </w:rPr>
        <w:t>, not the achievement of an arbitrary target</w:t>
      </w:r>
      <w:r w:rsidR="00E10168">
        <w:rPr>
          <w:rFonts w:eastAsiaTheme="minorHAnsi" w:cs="Arial"/>
          <w:szCs w:val="24"/>
        </w:rPr>
        <w:t>;</w:t>
      </w:r>
    </w:p>
    <w:p w:rsidR="00BF7248" w:rsidRPr="00BF7248" w:rsidRDefault="00BF7248" w:rsidP="00BF7248">
      <w:pPr>
        <w:pStyle w:val="Paragraphtext"/>
        <w:spacing w:line="240" w:lineRule="auto"/>
        <w:ind w:left="1440"/>
        <w:rPr>
          <w:rFonts w:eastAsiaTheme="minorHAnsi" w:cs="Arial"/>
          <w:sz w:val="4"/>
          <w:szCs w:val="24"/>
        </w:rPr>
      </w:pPr>
    </w:p>
    <w:p w:rsidR="00292963" w:rsidRPr="00130C87" w:rsidRDefault="00292963" w:rsidP="00000EA3">
      <w:pPr>
        <w:pStyle w:val="Paragraphtext"/>
        <w:numPr>
          <w:ilvl w:val="3"/>
          <w:numId w:val="10"/>
        </w:numPr>
        <w:spacing w:line="240" w:lineRule="auto"/>
        <w:ind w:hanging="447"/>
        <w:rPr>
          <w:rFonts w:eastAsiaTheme="minorHAnsi" w:cs="Arial"/>
          <w:szCs w:val="24"/>
        </w:rPr>
      </w:pPr>
      <w:r w:rsidRPr="00130C87">
        <w:rPr>
          <w:rFonts w:eastAsiaTheme="minorHAnsi" w:cs="Arial"/>
          <w:szCs w:val="24"/>
        </w:rPr>
        <w:t xml:space="preserve">The </w:t>
      </w:r>
      <w:r w:rsidR="00C50763" w:rsidRPr="00130C87">
        <w:rPr>
          <w:rFonts w:eastAsiaTheme="minorHAnsi" w:cs="Arial"/>
          <w:szCs w:val="24"/>
        </w:rPr>
        <w:t>scheme will</w:t>
      </w:r>
      <w:r w:rsidRPr="00130C87">
        <w:rPr>
          <w:rFonts w:eastAsiaTheme="minorHAnsi" w:cs="Arial"/>
          <w:szCs w:val="24"/>
        </w:rPr>
        <w:t xml:space="preserve"> </w:t>
      </w:r>
      <w:r w:rsidR="00B32061" w:rsidRPr="00130C87">
        <w:rPr>
          <w:rFonts w:eastAsiaTheme="minorHAnsi" w:cs="Arial"/>
          <w:szCs w:val="24"/>
        </w:rPr>
        <w:t xml:space="preserve">be </w:t>
      </w:r>
      <w:r w:rsidRPr="00130C87">
        <w:rPr>
          <w:rFonts w:eastAsiaTheme="minorHAnsi" w:cs="Arial"/>
          <w:i/>
          <w:szCs w:val="24"/>
        </w:rPr>
        <w:t>a formula driven model to keep bureaucracy to a minimum and maximise transpa</w:t>
      </w:r>
      <w:r w:rsidRPr="00130C87">
        <w:rPr>
          <w:rFonts w:eastAsiaTheme="minorHAnsi" w:cs="Arial"/>
          <w:szCs w:val="24"/>
        </w:rPr>
        <w:t>rency</w:t>
      </w:r>
      <w:r w:rsidR="00E10168">
        <w:rPr>
          <w:rFonts w:eastAsiaTheme="minorHAnsi" w:cs="Arial"/>
          <w:szCs w:val="24"/>
        </w:rPr>
        <w:t>; and</w:t>
      </w:r>
    </w:p>
    <w:p w:rsidR="00BF7248" w:rsidRPr="00BF7248" w:rsidRDefault="00BF7248" w:rsidP="00BF7248">
      <w:pPr>
        <w:pStyle w:val="Paragraphtext"/>
        <w:spacing w:line="240" w:lineRule="auto"/>
        <w:ind w:left="1440"/>
        <w:rPr>
          <w:rFonts w:eastAsiaTheme="minorHAnsi" w:cs="Arial"/>
          <w:i/>
          <w:sz w:val="4"/>
          <w:szCs w:val="24"/>
        </w:rPr>
      </w:pPr>
    </w:p>
    <w:p w:rsidR="00BB5F6F" w:rsidRPr="00130C87" w:rsidRDefault="00C50763" w:rsidP="00000EA3">
      <w:pPr>
        <w:pStyle w:val="Paragraphtext"/>
        <w:numPr>
          <w:ilvl w:val="3"/>
          <w:numId w:val="10"/>
        </w:numPr>
        <w:spacing w:line="240" w:lineRule="auto"/>
        <w:ind w:hanging="447"/>
        <w:rPr>
          <w:rFonts w:eastAsiaTheme="minorHAnsi" w:cs="Arial"/>
          <w:i/>
          <w:szCs w:val="24"/>
        </w:rPr>
      </w:pPr>
      <w:r w:rsidRPr="00130C87">
        <w:rPr>
          <w:rFonts w:eastAsiaTheme="minorHAnsi" w:cs="Arial"/>
          <w:szCs w:val="24"/>
        </w:rPr>
        <w:t xml:space="preserve">The scheme will </w:t>
      </w:r>
      <w:r w:rsidRPr="00130C87">
        <w:rPr>
          <w:rFonts w:eastAsiaTheme="minorHAnsi" w:cs="Arial"/>
          <w:i/>
          <w:szCs w:val="24"/>
        </w:rPr>
        <w:t xml:space="preserve">be designed to reward communities for </w:t>
      </w:r>
      <w:r w:rsidR="00B32061" w:rsidRPr="00130C87">
        <w:rPr>
          <w:rFonts w:eastAsiaTheme="minorHAnsi" w:cs="Arial"/>
          <w:i/>
          <w:szCs w:val="24"/>
        </w:rPr>
        <w:t xml:space="preserve">health </w:t>
      </w:r>
      <w:r w:rsidR="00F278ED" w:rsidRPr="00130C87">
        <w:rPr>
          <w:rFonts w:eastAsiaTheme="minorHAnsi" w:cs="Arial"/>
          <w:i/>
          <w:szCs w:val="24"/>
        </w:rPr>
        <w:t>improvements or</w:t>
      </w:r>
      <w:r w:rsidRPr="00130C87">
        <w:rPr>
          <w:rFonts w:eastAsiaTheme="minorHAnsi" w:cs="Arial"/>
          <w:i/>
          <w:szCs w:val="24"/>
        </w:rPr>
        <w:t xml:space="preserve"> reducing inequality</w:t>
      </w:r>
    </w:p>
    <w:p w:rsidR="00B457AF" w:rsidRPr="009A27BF" w:rsidRDefault="00B457AF" w:rsidP="00BF7248">
      <w:pPr>
        <w:pStyle w:val="Paragraphtext"/>
        <w:spacing w:line="240" w:lineRule="auto"/>
        <w:rPr>
          <w:rFonts w:eastAsiaTheme="minorHAnsi" w:cs="Arial"/>
          <w:szCs w:val="24"/>
        </w:rPr>
      </w:pPr>
    </w:p>
    <w:p w:rsidR="009A27BF" w:rsidRPr="004A3A2B" w:rsidRDefault="009A27BF" w:rsidP="00000EA3">
      <w:pPr>
        <w:pStyle w:val="Paragraphtext"/>
        <w:numPr>
          <w:ilvl w:val="1"/>
          <w:numId w:val="8"/>
        </w:numPr>
        <w:spacing w:after="0"/>
        <w:ind w:left="993" w:hanging="567"/>
        <w:rPr>
          <w:rFonts w:eastAsiaTheme="minorHAnsi" w:cs="Arial"/>
          <w:szCs w:val="24"/>
        </w:rPr>
      </w:pPr>
      <w:r w:rsidRPr="004A3A2B">
        <w:rPr>
          <w:rFonts w:eastAsiaTheme="minorHAnsi" w:cs="Arial"/>
          <w:szCs w:val="24"/>
        </w:rPr>
        <w:t>To establish a credible formula-</w:t>
      </w:r>
      <w:r w:rsidR="00BB5F6F" w:rsidRPr="004A3A2B">
        <w:rPr>
          <w:rFonts w:eastAsiaTheme="minorHAnsi" w:cs="Arial"/>
          <w:szCs w:val="24"/>
        </w:rPr>
        <w:t>drive</w:t>
      </w:r>
      <w:r w:rsidRPr="004A3A2B">
        <w:rPr>
          <w:rFonts w:eastAsiaTheme="minorHAnsi" w:cs="Arial"/>
          <w:szCs w:val="24"/>
        </w:rPr>
        <w:t>n</w:t>
      </w:r>
      <w:r w:rsidR="00BB5F6F" w:rsidRPr="004A3A2B">
        <w:rPr>
          <w:rFonts w:eastAsiaTheme="minorHAnsi" w:cs="Arial"/>
          <w:szCs w:val="24"/>
        </w:rPr>
        <w:t xml:space="preserve"> scheme it is critical that the </w:t>
      </w:r>
      <w:r w:rsidR="009570C6" w:rsidRPr="004A3A2B">
        <w:rPr>
          <w:rFonts w:eastAsiaTheme="minorHAnsi" w:cs="Arial"/>
          <w:szCs w:val="24"/>
        </w:rPr>
        <w:t xml:space="preserve">design of that scheme </w:t>
      </w:r>
      <w:r w:rsidR="00BB5F6F" w:rsidRPr="004A3A2B">
        <w:rPr>
          <w:rFonts w:eastAsiaTheme="minorHAnsi" w:cs="Arial"/>
          <w:szCs w:val="24"/>
        </w:rPr>
        <w:t>is established in an independent way.  We therefore asked</w:t>
      </w:r>
      <w:r w:rsidR="004156F4" w:rsidRPr="004A3A2B">
        <w:rPr>
          <w:rFonts w:eastAsiaTheme="minorHAnsi" w:cs="Arial"/>
          <w:szCs w:val="24"/>
        </w:rPr>
        <w:t xml:space="preserve"> the</w:t>
      </w:r>
      <w:r w:rsidR="00BB5F6F" w:rsidRPr="004A3A2B">
        <w:rPr>
          <w:rFonts w:eastAsiaTheme="minorHAnsi" w:cs="Arial"/>
          <w:szCs w:val="24"/>
        </w:rPr>
        <w:t xml:space="preserve"> </w:t>
      </w:r>
      <w:r w:rsidR="00951633" w:rsidRPr="004A3A2B">
        <w:rPr>
          <w:rFonts w:cs="Arial"/>
          <w:szCs w:val="24"/>
        </w:rPr>
        <w:t>Advisory Committee on Resource Allocation (</w:t>
      </w:r>
      <w:r w:rsidR="009C6C29" w:rsidRPr="004A3A2B">
        <w:rPr>
          <w:rFonts w:eastAsiaTheme="minorHAnsi" w:cs="Arial"/>
          <w:szCs w:val="24"/>
        </w:rPr>
        <w:t>ACRA</w:t>
      </w:r>
      <w:r w:rsidR="00951633" w:rsidRPr="004A3A2B">
        <w:rPr>
          <w:rFonts w:eastAsiaTheme="minorHAnsi" w:cs="Arial"/>
          <w:szCs w:val="24"/>
        </w:rPr>
        <w:t>)</w:t>
      </w:r>
      <w:r w:rsidR="00BB5F6F" w:rsidRPr="004A3A2B">
        <w:rPr>
          <w:rFonts w:eastAsiaTheme="minorHAnsi" w:cs="Arial"/>
          <w:szCs w:val="24"/>
        </w:rPr>
        <w:t xml:space="preserve"> to establish the key principles</w:t>
      </w:r>
      <w:r w:rsidRPr="004A3A2B">
        <w:rPr>
          <w:rFonts w:eastAsiaTheme="minorHAnsi" w:cs="Arial"/>
          <w:szCs w:val="24"/>
        </w:rPr>
        <w:t xml:space="preserve"> for an incentive scheme</w:t>
      </w:r>
      <w:r w:rsidR="00BB5F6F" w:rsidRPr="004A3A2B">
        <w:rPr>
          <w:rFonts w:eastAsiaTheme="minorHAnsi" w:cs="Arial"/>
          <w:szCs w:val="24"/>
        </w:rPr>
        <w:t>, such as criteria for assessing whether or not a particular measure was suitable for inclusion</w:t>
      </w:r>
      <w:r w:rsidR="00C17B7C" w:rsidRPr="004A3A2B">
        <w:rPr>
          <w:rFonts w:eastAsiaTheme="minorHAnsi" w:cs="Arial"/>
          <w:szCs w:val="24"/>
        </w:rPr>
        <w:t>.  A sub-group of ACRA, the Health Premium Incentive Advisory Group, was established to report to ACRA, and their report</w:t>
      </w:r>
      <w:r w:rsidR="004A3A2B">
        <w:rPr>
          <w:rStyle w:val="FootnoteReference"/>
          <w:rFonts w:eastAsiaTheme="minorHAnsi" w:cs="Arial"/>
          <w:szCs w:val="24"/>
        </w:rPr>
        <w:footnoteReference w:id="3"/>
      </w:r>
      <w:r w:rsidR="00C17B7C" w:rsidRPr="004A3A2B">
        <w:rPr>
          <w:rFonts w:eastAsiaTheme="minorHAnsi" w:cs="Arial"/>
          <w:szCs w:val="24"/>
        </w:rPr>
        <w:t>, adopted by ACRA</w:t>
      </w:r>
      <w:r w:rsidR="00676EF5">
        <w:rPr>
          <w:rFonts w:eastAsiaTheme="minorHAnsi" w:cs="Arial"/>
          <w:szCs w:val="24"/>
        </w:rPr>
        <w:t>.</w:t>
      </w:r>
      <w:r w:rsidR="00C17B7C" w:rsidRPr="004A3A2B">
        <w:rPr>
          <w:rFonts w:eastAsiaTheme="minorHAnsi" w:cs="Arial"/>
          <w:szCs w:val="24"/>
        </w:rPr>
        <w:t xml:space="preserve"> </w:t>
      </w:r>
    </w:p>
    <w:p w:rsidR="009A27BF" w:rsidRPr="009A27BF" w:rsidRDefault="00C17B7C" w:rsidP="00000EA3">
      <w:pPr>
        <w:pStyle w:val="Paragraphtext"/>
        <w:numPr>
          <w:ilvl w:val="1"/>
          <w:numId w:val="8"/>
        </w:numPr>
        <w:spacing w:after="0"/>
        <w:ind w:left="993" w:hanging="567"/>
        <w:rPr>
          <w:rFonts w:eastAsiaTheme="minorHAnsi" w:cs="Arial"/>
          <w:szCs w:val="24"/>
        </w:rPr>
      </w:pPr>
      <w:r w:rsidRPr="009A27BF">
        <w:rPr>
          <w:rFonts w:eastAsiaTheme="minorHAnsi" w:cs="Arial"/>
          <w:szCs w:val="24"/>
        </w:rPr>
        <w:lastRenderedPageBreak/>
        <w:t>Some parts of the design</w:t>
      </w:r>
      <w:r w:rsidR="004D77F9">
        <w:rPr>
          <w:rFonts w:eastAsiaTheme="minorHAnsi" w:cs="Arial"/>
          <w:szCs w:val="24"/>
        </w:rPr>
        <w:t xml:space="preserve"> were outside of ACRA’s remit. </w:t>
      </w:r>
      <w:r w:rsidR="00E10168">
        <w:rPr>
          <w:rFonts w:eastAsiaTheme="minorHAnsi" w:cs="Arial"/>
          <w:szCs w:val="24"/>
        </w:rPr>
        <w:t xml:space="preserve"> </w:t>
      </w:r>
      <w:r w:rsidRPr="009A27BF">
        <w:rPr>
          <w:rFonts w:eastAsiaTheme="minorHAnsi" w:cs="Arial"/>
          <w:szCs w:val="24"/>
        </w:rPr>
        <w:t xml:space="preserve">In particular decisions related to </w:t>
      </w:r>
      <w:r w:rsidR="006132B0" w:rsidRPr="009A27BF">
        <w:rPr>
          <w:rFonts w:eastAsiaTheme="minorHAnsi" w:cs="Arial"/>
          <w:szCs w:val="24"/>
        </w:rPr>
        <w:t xml:space="preserve">the size of the incentive, how </w:t>
      </w:r>
      <w:r w:rsidR="00B94A9B" w:rsidRPr="009A27BF">
        <w:rPr>
          <w:rFonts w:eastAsiaTheme="minorHAnsi" w:cs="Arial"/>
          <w:szCs w:val="24"/>
        </w:rPr>
        <w:t xml:space="preserve">budgetary </w:t>
      </w:r>
      <w:r w:rsidR="006132B0" w:rsidRPr="009A27BF">
        <w:rPr>
          <w:rFonts w:eastAsiaTheme="minorHAnsi" w:cs="Arial"/>
          <w:szCs w:val="24"/>
        </w:rPr>
        <w:t xml:space="preserve">control over the total amount earned </w:t>
      </w:r>
      <w:r w:rsidR="00B94A9B" w:rsidRPr="009A27BF">
        <w:rPr>
          <w:rFonts w:eastAsiaTheme="minorHAnsi" w:cs="Arial"/>
          <w:szCs w:val="24"/>
        </w:rPr>
        <w:t xml:space="preserve">is </w:t>
      </w:r>
      <w:r w:rsidR="009A27BF" w:rsidRPr="009A27BF">
        <w:rPr>
          <w:rFonts w:eastAsiaTheme="minorHAnsi" w:cs="Arial"/>
          <w:szCs w:val="24"/>
        </w:rPr>
        <w:t xml:space="preserve">to be </w:t>
      </w:r>
      <w:r w:rsidR="00B94A9B" w:rsidRPr="009A27BF">
        <w:rPr>
          <w:rFonts w:eastAsiaTheme="minorHAnsi" w:cs="Arial"/>
          <w:szCs w:val="24"/>
        </w:rPr>
        <w:t>maintained</w:t>
      </w:r>
      <w:r w:rsidR="009570C6">
        <w:rPr>
          <w:rFonts w:eastAsiaTheme="minorHAnsi" w:cs="Arial"/>
          <w:szCs w:val="24"/>
        </w:rPr>
        <w:t>,</w:t>
      </w:r>
      <w:r w:rsidR="00B94A9B" w:rsidRPr="009A27BF">
        <w:rPr>
          <w:rFonts w:eastAsiaTheme="minorHAnsi" w:cs="Arial"/>
          <w:szCs w:val="24"/>
        </w:rPr>
        <w:t xml:space="preserve"> </w:t>
      </w:r>
      <w:r w:rsidR="006132B0" w:rsidRPr="009A27BF">
        <w:rPr>
          <w:rFonts w:eastAsiaTheme="minorHAnsi" w:cs="Arial"/>
          <w:szCs w:val="24"/>
        </w:rPr>
        <w:t xml:space="preserve">or the specific </w:t>
      </w:r>
      <w:r w:rsidR="009E7B33" w:rsidRPr="009A27BF">
        <w:rPr>
          <w:rFonts w:eastAsiaTheme="minorHAnsi" w:cs="Arial"/>
          <w:szCs w:val="24"/>
        </w:rPr>
        <w:t>choice of indicators was</w:t>
      </w:r>
      <w:r w:rsidR="00B94A9B" w:rsidRPr="009A27BF">
        <w:rPr>
          <w:rFonts w:eastAsiaTheme="minorHAnsi" w:cs="Arial"/>
          <w:szCs w:val="24"/>
        </w:rPr>
        <w:t xml:space="preserve"> not considered.</w:t>
      </w:r>
    </w:p>
    <w:p w:rsidR="009A27BF" w:rsidRPr="00BA6883" w:rsidRDefault="009A27BF" w:rsidP="00615658">
      <w:pPr>
        <w:ind w:left="993" w:hanging="567"/>
        <w:rPr>
          <w:rFonts w:eastAsiaTheme="minorHAnsi"/>
        </w:rPr>
      </w:pPr>
    </w:p>
    <w:p w:rsidR="009A27BF" w:rsidRPr="009A27BF" w:rsidRDefault="00B94A9B" w:rsidP="00000EA3">
      <w:pPr>
        <w:pStyle w:val="Paragraphtext"/>
        <w:numPr>
          <w:ilvl w:val="1"/>
          <w:numId w:val="8"/>
        </w:numPr>
        <w:spacing w:after="0"/>
        <w:ind w:left="993" w:hanging="567"/>
        <w:rPr>
          <w:rFonts w:eastAsiaTheme="minorHAnsi" w:cs="Arial"/>
          <w:szCs w:val="24"/>
        </w:rPr>
      </w:pPr>
      <w:r w:rsidRPr="009A27BF">
        <w:rPr>
          <w:rFonts w:eastAsiaTheme="minorHAnsi" w:cs="Arial"/>
          <w:szCs w:val="24"/>
        </w:rPr>
        <w:t xml:space="preserve">The Health Premium Incentive Scheme is an innovative scheme and we are </w:t>
      </w:r>
      <w:r w:rsidR="009A27BF" w:rsidRPr="009A27BF">
        <w:rPr>
          <w:rFonts w:eastAsiaTheme="minorHAnsi" w:cs="Arial"/>
          <w:szCs w:val="24"/>
        </w:rPr>
        <w:t xml:space="preserve">keen to </w:t>
      </w:r>
      <w:r w:rsidRPr="009A27BF">
        <w:rPr>
          <w:rFonts w:eastAsiaTheme="minorHAnsi" w:cs="Arial"/>
          <w:szCs w:val="24"/>
        </w:rPr>
        <w:t>ensure that the incentive is effective in supp</w:t>
      </w:r>
      <w:r w:rsidR="004D77F9">
        <w:rPr>
          <w:rFonts w:eastAsiaTheme="minorHAnsi" w:cs="Arial"/>
          <w:szCs w:val="24"/>
        </w:rPr>
        <w:t xml:space="preserve">orting improvements in health. </w:t>
      </w:r>
      <w:r w:rsidR="00E10168">
        <w:rPr>
          <w:rFonts w:eastAsiaTheme="minorHAnsi" w:cs="Arial"/>
          <w:szCs w:val="24"/>
        </w:rPr>
        <w:t xml:space="preserve"> </w:t>
      </w:r>
      <w:r w:rsidRPr="009A27BF">
        <w:rPr>
          <w:rFonts w:eastAsiaTheme="minorHAnsi" w:cs="Arial"/>
          <w:szCs w:val="24"/>
        </w:rPr>
        <w:t>We are</w:t>
      </w:r>
      <w:r w:rsidR="009A27BF" w:rsidRPr="009A27BF">
        <w:rPr>
          <w:rFonts w:eastAsiaTheme="minorHAnsi" w:cs="Arial"/>
          <w:szCs w:val="24"/>
        </w:rPr>
        <w:t xml:space="preserve"> </w:t>
      </w:r>
      <w:r w:rsidRPr="009A27BF">
        <w:rPr>
          <w:rFonts w:eastAsiaTheme="minorHAnsi" w:cs="Arial"/>
          <w:szCs w:val="24"/>
        </w:rPr>
        <w:t xml:space="preserve">therefore proposing a phased introduction in 2015-16, supported by this </w:t>
      </w:r>
      <w:r w:rsidR="00312E6F" w:rsidRPr="009A27BF">
        <w:rPr>
          <w:rFonts w:eastAsiaTheme="minorHAnsi" w:cs="Arial"/>
          <w:szCs w:val="24"/>
        </w:rPr>
        <w:t xml:space="preserve">technical </w:t>
      </w:r>
      <w:r w:rsidRPr="009A27BF">
        <w:rPr>
          <w:rFonts w:eastAsiaTheme="minorHAnsi" w:cs="Arial"/>
          <w:szCs w:val="24"/>
        </w:rPr>
        <w:t>consultation</w:t>
      </w:r>
      <w:r w:rsidR="004D77F9">
        <w:rPr>
          <w:rFonts w:eastAsiaTheme="minorHAnsi" w:cs="Arial"/>
          <w:szCs w:val="24"/>
        </w:rPr>
        <w:t xml:space="preserve">. </w:t>
      </w:r>
      <w:r w:rsidR="00E10168">
        <w:rPr>
          <w:rFonts w:eastAsiaTheme="minorHAnsi" w:cs="Arial"/>
          <w:szCs w:val="24"/>
        </w:rPr>
        <w:t xml:space="preserve"> </w:t>
      </w:r>
      <w:r w:rsidR="00B0174F" w:rsidRPr="009A27BF">
        <w:rPr>
          <w:rFonts w:eastAsiaTheme="minorHAnsi" w:cs="Arial"/>
          <w:szCs w:val="24"/>
        </w:rPr>
        <w:t xml:space="preserve">Our aim is to </w:t>
      </w:r>
      <w:r w:rsidR="00DA138F" w:rsidRPr="009A27BF">
        <w:rPr>
          <w:rFonts w:eastAsiaTheme="minorHAnsi" w:cs="Arial"/>
          <w:szCs w:val="24"/>
        </w:rPr>
        <w:t xml:space="preserve">shape this scheme in partnership </w:t>
      </w:r>
      <w:r w:rsidR="00DD7AD6" w:rsidRPr="009A27BF">
        <w:rPr>
          <w:rFonts w:eastAsiaTheme="minorHAnsi" w:cs="Arial"/>
          <w:szCs w:val="24"/>
        </w:rPr>
        <w:t xml:space="preserve">through </w:t>
      </w:r>
      <w:r w:rsidR="00DA138F" w:rsidRPr="009A27BF">
        <w:rPr>
          <w:rFonts w:eastAsiaTheme="minorHAnsi" w:cs="Arial"/>
          <w:szCs w:val="24"/>
        </w:rPr>
        <w:t>t</w:t>
      </w:r>
      <w:r w:rsidR="00BE1AD8" w:rsidRPr="009A27BF">
        <w:rPr>
          <w:rFonts w:eastAsiaTheme="minorHAnsi" w:cs="Arial"/>
          <w:szCs w:val="24"/>
        </w:rPr>
        <w:t>h</w:t>
      </w:r>
      <w:r w:rsidR="00F60E2A" w:rsidRPr="009A27BF">
        <w:rPr>
          <w:rFonts w:eastAsiaTheme="minorHAnsi" w:cs="Arial"/>
          <w:szCs w:val="24"/>
        </w:rPr>
        <w:t>is</w:t>
      </w:r>
      <w:r w:rsidR="00BE1AD8" w:rsidRPr="009A27BF">
        <w:rPr>
          <w:rFonts w:eastAsiaTheme="minorHAnsi" w:cs="Arial"/>
          <w:szCs w:val="24"/>
        </w:rPr>
        <w:t xml:space="preserve"> consultation w</w:t>
      </w:r>
      <w:r w:rsidR="001251CA" w:rsidRPr="009A27BF">
        <w:rPr>
          <w:rFonts w:eastAsiaTheme="minorHAnsi" w:cs="Arial"/>
          <w:szCs w:val="24"/>
        </w:rPr>
        <w:t>i</w:t>
      </w:r>
      <w:r w:rsidR="00B0174F" w:rsidRPr="009A27BF">
        <w:rPr>
          <w:rFonts w:eastAsiaTheme="minorHAnsi" w:cs="Arial"/>
          <w:szCs w:val="24"/>
        </w:rPr>
        <w:t xml:space="preserve">th local authorities and </w:t>
      </w:r>
      <w:r w:rsidR="009A27BF" w:rsidRPr="009A27BF">
        <w:rPr>
          <w:rFonts w:eastAsiaTheme="minorHAnsi" w:cs="Arial"/>
          <w:szCs w:val="24"/>
        </w:rPr>
        <w:t>public health stakeholders.</w:t>
      </w:r>
    </w:p>
    <w:p w:rsidR="009A27BF" w:rsidRPr="009A27BF" w:rsidRDefault="009A27BF" w:rsidP="009A27BF">
      <w:pPr>
        <w:pStyle w:val="Paragraphtext"/>
        <w:spacing w:after="0"/>
        <w:rPr>
          <w:rFonts w:eastAsiaTheme="minorHAnsi" w:cs="Arial"/>
          <w:szCs w:val="24"/>
        </w:rPr>
      </w:pPr>
    </w:p>
    <w:p w:rsidR="00E96407" w:rsidRDefault="00615658" w:rsidP="00615658">
      <w:pPr>
        <w:pStyle w:val="Paragraphtext"/>
        <w:numPr>
          <w:ilvl w:val="1"/>
          <w:numId w:val="0"/>
        </w:numPr>
        <w:spacing w:after="0"/>
        <w:ind w:left="993" w:hanging="567"/>
        <w:rPr>
          <w:rFonts w:eastAsiaTheme="minorHAnsi" w:cs="Arial"/>
          <w:szCs w:val="24"/>
        </w:rPr>
      </w:pPr>
      <w:r>
        <w:rPr>
          <w:rFonts w:eastAsiaTheme="minorHAnsi" w:cs="Arial"/>
          <w:szCs w:val="24"/>
        </w:rPr>
        <w:t>1.7</w:t>
      </w:r>
      <w:r>
        <w:rPr>
          <w:rFonts w:eastAsiaTheme="minorHAnsi" w:cs="Arial"/>
          <w:szCs w:val="24"/>
        </w:rPr>
        <w:tab/>
      </w:r>
      <w:r w:rsidR="00B43660" w:rsidRPr="009A27BF">
        <w:rPr>
          <w:rFonts w:eastAsiaTheme="minorHAnsi" w:cs="Arial"/>
          <w:szCs w:val="24"/>
        </w:rPr>
        <w:t xml:space="preserve">This </w:t>
      </w:r>
      <w:r w:rsidR="00DD7AD6" w:rsidRPr="009A27BF">
        <w:rPr>
          <w:rFonts w:eastAsiaTheme="minorHAnsi" w:cs="Arial"/>
          <w:szCs w:val="24"/>
        </w:rPr>
        <w:t xml:space="preserve">technical </w:t>
      </w:r>
      <w:r w:rsidR="00B43660" w:rsidRPr="009A27BF">
        <w:rPr>
          <w:rFonts w:eastAsiaTheme="minorHAnsi" w:cs="Arial"/>
          <w:szCs w:val="24"/>
        </w:rPr>
        <w:t>consu</w:t>
      </w:r>
      <w:r w:rsidR="00BF4A58" w:rsidRPr="009A27BF">
        <w:rPr>
          <w:rFonts w:eastAsiaTheme="minorHAnsi" w:cs="Arial"/>
          <w:szCs w:val="24"/>
        </w:rPr>
        <w:t>ltation</w:t>
      </w:r>
      <w:r w:rsidR="00B0174F" w:rsidRPr="009A27BF">
        <w:rPr>
          <w:rFonts w:eastAsiaTheme="minorHAnsi" w:cs="Arial"/>
          <w:szCs w:val="24"/>
        </w:rPr>
        <w:t>:</w:t>
      </w:r>
    </w:p>
    <w:p w:rsidR="00625A7C" w:rsidRPr="009A27BF" w:rsidRDefault="00625A7C" w:rsidP="003C05C1">
      <w:pPr>
        <w:pStyle w:val="Paragraphtext"/>
        <w:spacing w:after="0" w:line="240" w:lineRule="auto"/>
        <w:rPr>
          <w:rFonts w:eastAsiaTheme="minorHAnsi" w:cs="Arial"/>
          <w:szCs w:val="24"/>
        </w:rPr>
      </w:pPr>
    </w:p>
    <w:p w:rsidR="00E96407" w:rsidRDefault="00625A7C" w:rsidP="00000EA3">
      <w:pPr>
        <w:pStyle w:val="ListParagraph"/>
        <w:numPr>
          <w:ilvl w:val="0"/>
          <w:numId w:val="11"/>
        </w:numPr>
        <w:ind w:left="1353"/>
        <w:rPr>
          <w:rFonts w:ascii="Arial" w:eastAsiaTheme="minorHAnsi" w:hAnsi="Arial" w:cs="Arial"/>
        </w:rPr>
      </w:pPr>
      <w:r>
        <w:rPr>
          <w:rFonts w:ascii="Arial" w:eastAsiaTheme="minorHAnsi" w:hAnsi="Arial" w:cs="Arial"/>
        </w:rPr>
        <w:t>G</w:t>
      </w:r>
      <w:r w:rsidR="00825885" w:rsidRPr="00625A7C">
        <w:rPr>
          <w:rFonts w:ascii="Arial" w:eastAsiaTheme="minorHAnsi" w:hAnsi="Arial" w:cs="Arial"/>
        </w:rPr>
        <w:t>ive</w:t>
      </w:r>
      <w:r w:rsidR="00B0174F" w:rsidRPr="00625A7C">
        <w:rPr>
          <w:rFonts w:ascii="Arial" w:eastAsiaTheme="minorHAnsi" w:hAnsi="Arial" w:cs="Arial"/>
        </w:rPr>
        <w:t>s</w:t>
      </w:r>
      <w:r w:rsidR="00825885" w:rsidRPr="00625A7C">
        <w:rPr>
          <w:rFonts w:ascii="Arial" w:eastAsiaTheme="minorHAnsi" w:hAnsi="Arial" w:cs="Arial"/>
        </w:rPr>
        <w:t xml:space="preserve"> </w:t>
      </w:r>
      <w:r w:rsidR="00BF4A58" w:rsidRPr="00625A7C">
        <w:rPr>
          <w:rFonts w:ascii="Arial" w:eastAsiaTheme="minorHAnsi" w:hAnsi="Arial" w:cs="Arial"/>
        </w:rPr>
        <w:t>an overview of the proposed plans</w:t>
      </w:r>
      <w:r w:rsidR="00E10168">
        <w:rPr>
          <w:rFonts w:ascii="Arial" w:eastAsiaTheme="minorHAnsi" w:hAnsi="Arial" w:cs="Arial"/>
        </w:rPr>
        <w:t>;</w:t>
      </w:r>
      <w:r w:rsidR="00A06921" w:rsidRPr="00625A7C">
        <w:rPr>
          <w:rFonts w:ascii="Arial" w:eastAsiaTheme="minorHAnsi" w:hAnsi="Arial" w:cs="Arial"/>
        </w:rPr>
        <w:t xml:space="preserve"> </w:t>
      </w:r>
    </w:p>
    <w:p w:rsidR="003C05C1" w:rsidRPr="00625A7C" w:rsidRDefault="003C05C1" w:rsidP="00615658">
      <w:pPr>
        <w:pStyle w:val="ListParagraph"/>
        <w:ind w:left="633"/>
        <w:rPr>
          <w:rFonts w:ascii="Arial" w:eastAsiaTheme="minorHAnsi" w:hAnsi="Arial" w:cs="Arial"/>
        </w:rPr>
      </w:pPr>
    </w:p>
    <w:p w:rsidR="00E96407" w:rsidRDefault="00625A7C" w:rsidP="00000EA3">
      <w:pPr>
        <w:pStyle w:val="ListParagraph"/>
        <w:numPr>
          <w:ilvl w:val="0"/>
          <w:numId w:val="11"/>
        </w:numPr>
        <w:ind w:left="1353"/>
        <w:rPr>
          <w:rFonts w:ascii="Arial" w:eastAsiaTheme="minorHAnsi" w:hAnsi="Arial" w:cs="Arial"/>
        </w:rPr>
      </w:pPr>
      <w:r>
        <w:rPr>
          <w:rFonts w:ascii="Arial" w:eastAsiaTheme="minorHAnsi" w:hAnsi="Arial" w:cs="Arial"/>
        </w:rPr>
        <w:t>S</w:t>
      </w:r>
      <w:r w:rsidR="00DE201C" w:rsidRPr="00625A7C">
        <w:rPr>
          <w:rFonts w:ascii="Arial" w:eastAsiaTheme="minorHAnsi" w:hAnsi="Arial" w:cs="Arial"/>
        </w:rPr>
        <w:t>et</w:t>
      </w:r>
      <w:r w:rsidR="00B0174F" w:rsidRPr="00625A7C">
        <w:rPr>
          <w:rFonts w:ascii="Arial" w:eastAsiaTheme="minorHAnsi" w:hAnsi="Arial" w:cs="Arial"/>
        </w:rPr>
        <w:t>s</w:t>
      </w:r>
      <w:r w:rsidR="00DE201C" w:rsidRPr="00625A7C">
        <w:rPr>
          <w:rFonts w:ascii="Arial" w:eastAsiaTheme="minorHAnsi" w:hAnsi="Arial" w:cs="Arial"/>
        </w:rPr>
        <w:t xml:space="preserve"> out the recommendations made by ACRA</w:t>
      </w:r>
      <w:r w:rsidR="00E10168">
        <w:rPr>
          <w:rFonts w:ascii="Arial" w:eastAsiaTheme="minorHAnsi" w:hAnsi="Arial" w:cs="Arial"/>
        </w:rPr>
        <w:t>;</w:t>
      </w:r>
      <w:r w:rsidR="009570C6" w:rsidRPr="00625A7C">
        <w:rPr>
          <w:rFonts w:ascii="Arial" w:eastAsiaTheme="minorHAnsi" w:hAnsi="Arial" w:cs="Arial"/>
        </w:rPr>
        <w:t xml:space="preserve"> </w:t>
      </w:r>
    </w:p>
    <w:p w:rsidR="003C05C1" w:rsidRPr="00625A7C" w:rsidRDefault="003C05C1" w:rsidP="00615658">
      <w:pPr>
        <w:pStyle w:val="ListParagraph"/>
        <w:ind w:left="633"/>
        <w:rPr>
          <w:rFonts w:ascii="Arial" w:eastAsiaTheme="minorHAnsi" w:hAnsi="Arial" w:cs="Arial"/>
        </w:rPr>
      </w:pPr>
    </w:p>
    <w:p w:rsidR="00E96407" w:rsidRDefault="00625A7C" w:rsidP="00000EA3">
      <w:pPr>
        <w:pStyle w:val="ListParagraph"/>
        <w:numPr>
          <w:ilvl w:val="0"/>
          <w:numId w:val="11"/>
        </w:numPr>
        <w:ind w:left="1353"/>
        <w:rPr>
          <w:rFonts w:ascii="Arial" w:eastAsiaTheme="minorHAnsi" w:hAnsi="Arial" w:cs="Arial"/>
        </w:rPr>
      </w:pPr>
      <w:r>
        <w:rPr>
          <w:rFonts w:ascii="Arial" w:eastAsiaTheme="minorHAnsi" w:hAnsi="Arial" w:cs="Arial"/>
        </w:rPr>
        <w:t>A</w:t>
      </w:r>
      <w:r w:rsidR="008930B0" w:rsidRPr="00625A7C">
        <w:rPr>
          <w:rFonts w:ascii="Arial" w:eastAsiaTheme="minorHAnsi" w:hAnsi="Arial" w:cs="Arial"/>
        </w:rPr>
        <w:t>sk</w:t>
      </w:r>
      <w:r w:rsidR="00B0174F" w:rsidRPr="00625A7C">
        <w:rPr>
          <w:rFonts w:ascii="Arial" w:eastAsiaTheme="minorHAnsi" w:hAnsi="Arial" w:cs="Arial"/>
        </w:rPr>
        <w:t>s</w:t>
      </w:r>
      <w:r w:rsidR="00621B8E" w:rsidRPr="00625A7C">
        <w:rPr>
          <w:rFonts w:ascii="Arial" w:eastAsiaTheme="minorHAnsi" w:hAnsi="Arial" w:cs="Arial"/>
        </w:rPr>
        <w:t xml:space="preserve"> </w:t>
      </w:r>
      <w:r w:rsidR="009A27BF" w:rsidRPr="00625A7C">
        <w:rPr>
          <w:rFonts w:ascii="Arial" w:eastAsiaTheme="minorHAnsi" w:hAnsi="Arial" w:cs="Arial"/>
        </w:rPr>
        <w:t>your views on a number of technical issues</w:t>
      </w:r>
      <w:r w:rsidR="00E10168">
        <w:rPr>
          <w:rFonts w:ascii="Arial" w:eastAsiaTheme="minorHAnsi" w:hAnsi="Arial" w:cs="Arial"/>
        </w:rPr>
        <w:t>;</w:t>
      </w:r>
      <w:r w:rsidR="009A27BF" w:rsidRPr="00625A7C">
        <w:rPr>
          <w:rFonts w:ascii="Arial" w:eastAsiaTheme="minorHAnsi" w:hAnsi="Arial" w:cs="Arial"/>
        </w:rPr>
        <w:t xml:space="preserve"> </w:t>
      </w:r>
    </w:p>
    <w:p w:rsidR="003C05C1" w:rsidRPr="00625A7C" w:rsidRDefault="003C05C1" w:rsidP="00615658">
      <w:pPr>
        <w:pStyle w:val="ListParagraph"/>
        <w:ind w:left="633"/>
        <w:rPr>
          <w:rFonts w:ascii="Arial" w:eastAsiaTheme="minorHAnsi" w:hAnsi="Arial" w:cs="Arial"/>
        </w:rPr>
      </w:pPr>
    </w:p>
    <w:p w:rsidR="00AC1F95" w:rsidRPr="00DE503A" w:rsidRDefault="00625A7C" w:rsidP="00000EA3">
      <w:pPr>
        <w:pStyle w:val="ListParagraph"/>
        <w:numPr>
          <w:ilvl w:val="0"/>
          <w:numId w:val="11"/>
        </w:numPr>
        <w:ind w:left="1353"/>
        <w:rPr>
          <w:rFonts w:ascii="Arial" w:eastAsiaTheme="minorHAnsi" w:hAnsi="Arial" w:cs="Arial"/>
        </w:rPr>
      </w:pPr>
      <w:r w:rsidRPr="00DE503A">
        <w:rPr>
          <w:rFonts w:ascii="Arial" w:eastAsiaTheme="minorHAnsi" w:hAnsi="Arial" w:cs="Arial"/>
        </w:rPr>
        <w:t>A</w:t>
      </w:r>
      <w:r w:rsidR="008930B0" w:rsidRPr="00DE503A">
        <w:rPr>
          <w:rFonts w:ascii="Arial" w:eastAsiaTheme="minorHAnsi" w:hAnsi="Arial" w:cs="Arial"/>
        </w:rPr>
        <w:t>sk</w:t>
      </w:r>
      <w:r w:rsidR="00B0174F" w:rsidRPr="00DE503A">
        <w:rPr>
          <w:rFonts w:ascii="Arial" w:eastAsiaTheme="minorHAnsi" w:hAnsi="Arial" w:cs="Arial"/>
        </w:rPr>
        <w:t>s</w:t>
      </w:r>
      <w:r w:rsidR="00B43660" w:rsidRPr="00DE503A">
        <w:rPr>
          <w:rFonts w:ascii="Arial" w:eastAsiaTheme="minorHAnsi" w:hAnsi="Arial" w:cs="Arial"/>
        </w:rPr>
        <w:t xml:space="preserve"> </w:t>
      </w:r>
      <w:r w:rsidR="009A27BF" w:rsidRPr="00DE503A">
        <w:rPr>
          <w:rFonts w:ascii="Arial" w:eastAsiaTheme="minorHAnsi" w:hAnsi="Arial" w:cs="Arial"/>
        </w:rPr>
        <w:t xml:space="preserve">local authorities </w:t>
      </w:r>
      <w:r w:rsidR="00D64D99" w:rsidRPr="00DE503A">
        <w:rPr>
          <w:rFonts w:ascii="Arial" w:eastAsiaTheme="minorHAnsi" w:hAnsi="Arial" w:cs="Arial"/>
        </w:rPr>
        <w:t xml:space="preserve">to indicate </w:t>
      </w:r>
      <w:r w:rsidR="003B3EB3" w:rsidRPr="00DE503A">
        <w:rPr>
          <w:rFonts w:ascii="Arial" w:eastAsiaTheme="minorHAnsi" w:hAnsi="Arial" w:cs="Arial"/>
        </w:rPr>
        <w:t>which</w:t>
      </w:r>
      <w:r w:rsidR="00B43660" w:rsidRPr="00DE503A">
        <w:rPr>
          <w:rFonts w:ascii="Arial" w:eastAsiaTheme="minorHAnsi" w:hAnsi="Arial" w:cs="Arial"/>
        </w:rPr>
        <w:t xml:space="preserve"> p</w:t>
      </w:r>
      <w:r w:rsidR="009A27BF" w:rsidRPr="00DE503A">
        <w:rPr>
          <w:rFonts w:ascii="Arial" w:eastAsiaTheme="minorHAnsi" w:hAnsi="Arial" w:cs="Arial"/>
        </w:rPr>
        <w:t>ublic health outcomes indicator</w:t>
      </w:r>
      <w:r w:rsidR="00D64D99" w:rsidRPr="00DE503A">
        <w:rPr>
          <w:rFonts w:ascii="Arial" w:eastAsiaTheme="minorHAnsi" w:hAnsi="Arial" w:cs="Arial"/>
        </w:rPr>
        <w:t xml:space="preserve"> from the approved list </w:t>
      </w:r>
      <w:r w:rsidR="00B43660" w:rsidRPr="00DE503A">
        <w:rPr>
          <w:rFonts w:ascii="Arial" w:eastAsiaTheme="minorHAnsi" w:hAnsi="Arial" w:cs="Arial"/>
        </w:rPr>
        <w:t xml:space="preserve"> </w:t>
      </w:r>
      <w:r w:rsidR="009A27BF" w:rsidRPr="00DE503A">
        <w:rPr>
          <w:rFonts w:ascii="Arial" w:eastAsiaTheme="minorHAnsi" w:hAnsi="Arial" w:cs="Arial"/>
        </w:rPr>
        <w:t>they would choose as a local indicator</w:t>
      </w:r>
      <w:r w:rsidR="00AC1F95" w:rsidRPr="00DE503A">
        <w:rPr>
          <w:rFonts w:ascii="Arial" w:eastAsiaTheme="minorHAnsi" w:hAnsi="Arial" w:cs="Arial"/>
        </w:rPr>
        <w:t xml:space="preserve"> for 201</w:t>
      </w:r>
      <w:r w:rsidR="00732E33" w:rsidRPr="00DE503A">
        <w:rPr>
          <w:rFonts w:ascii="Arial" w:eastAsiaTheme="minorHAnsi" w:hAnsi="Arial" w:cs="Arial"/>
        </w:rPr>
        <w:t>4</w:t>
      </w:r>
      <w:r w:rsidR="00AC1F95" w:rsidRPr="00DE503A">
        <w:rPr>
          <w:rFonts w:ascii="Arial" w:eastAsiaTheme="minorHAnsi" w:hAnsi="Arial" w:cs="Arial"/>
        </w:rPr>
        <w:t>/1</w:t>
      </w:r>
      <w:r w:rsidR="00732E33" w:rsidRPr="00DE503A">
        <w:rPr>
          <w:rFonts w:ascii="Arial" w:eastAsiaTheme="minorHAnsi" w:hAnsi="Arial" w:cs="Arial"/>
        </w:rPr>
        <w:t>5</w:t>
      </w:r>
      <w:r w:rsidR="00AC1F95" w:rsidRPr="00DE503A">
        <w:rPr>
          <w:rFonts w:ascii="Arial" w:eastAsiaTheme="minorHAnsi" w:hAnsi="Arial" w:cs="Arial"/>
        </w:rPr>
        <w:t xml:space="preserve">  </w:t>
      </w:r>
      <w:r w:rsidR="00D64D99" w:rsidRPr="00DE503A">
        <w:rPr>
          <w:rFonts w:ascii="Arial" w:eastAsiaTheme="minorHAnsi" w:hAnsi="Arial" w:cs="Arial"/>
        </w:rPr>
        <w:t>when the scheme is formally rolled out</w:t>
      </w:r>
      <w:r w:rsidR="00E10168" w:rsidRPr="00DE503A">
        <w:rPr>
          <w:rFonts w:ascii="Arial" w:eastAsiaTheme="minorHAnsi" w:hAnsi="Arial" w:cs="Arial"/>
        </w:rPr>
        <w:t>; and</w:t>
      </w:r>
      <w:r w:rsidR="00D64D99" w:rsidRPr="00DE503A">
        <w:rPr>
          <w:rFonts w:ascii="Arial" w:eastAsiaTheme="minorHAnsi" w:hAnsi="Arial" w:cs="Arial"/>
        </w:rPr>
        <w:t xml:space="preserve"> </w:t>
      </w:r>
    </w:p>
    <w:p w:rsidR="003C05C1" w:rsidRPr="00625A7C" w:rsidRDefault="003C05C1" w:rsidP="00615658">
      <w:pPr>
        <w:pStyle w:val="ListParagraph"/>
        <w:ind w:left="633"/>
        <w:rPr>
          <w:rFonts w:ascii="Arial" w:eastAsiaTheme="minorHAnsi" w:hAnsi="Arial" w:cs="Arial"/>
        </w:rPr>
      </w:pPr>
    </w:p>
    <w:p w:rsidR="004156F4" w:rsidRPr="00825304" w:rsidRDefault="00625A7C" w:rsidP="00000EA3">
      <w:pPr>
        <w:pStyle w:val="ListParagraph"/>
        <w:numPr>
          <w:ilvl w:val="0"/>
          <w:numId w:val="11"/>
        </w:numPr>
        <w:ind w:left="1353"/>
        <w:rPr>
          <w:rFonts w:ascii="Arial" w:eastAsiaTheme="minorHAnsi" w:hAnsi="Arial" w:cs="Arial"/>
        </w:rPr>
      </w:pPr>
      <w:r w:rsidRPr="00825304">
        <w:rPr>
          <w:rFonts w:ascii="Arial" w:eastAsiaTheme="minorHAnsi" w:hAnsi="Arial" w:cs="Arial"/>
        </w:rPr>
        <w:t>S</w:t>
      </w:r>
      <w:r w:rsidR="004156F4" w:rsidRPr="00825304">
        <w:rPr>
          <w:rFonts w:ascii="Arial" w:eastAsiaTheme="minorHAnsi" w:hAnsi="Arial" w:cs="Arial"/>
        </w:rPr>
        <w:t>et</w:t>
      </w:r>
      <w:r w:rsidR="00AB1FF5" w:rsidRPr="00825304">
        <w:rPr>
          <w:rFonts w:ascii="Arial" w:eastAsiaTheme="minorHAnsi" w:hAnsi="Arial" w:cs="Arial"/>
        </w:rPr>
        <w:t>s</w:t>
      </w:r>
      <w:r w:rsidR="004156F4" w:rsidRPr="00825304">
        <w:rPr>
          <w:rFonts w:ascii="Arial" w:eastAsiaTheme="minorHAnsi" w:hAnsi="Arial" w:cs="Arial"/>
        </w:rPr>
        <w:t xml:space="preserve"> out public health allocations for 2015/16</w:t>
      </w:r>
      <w:r w:rsidR="00E10168" w:rsidRPr="00825304">
        <w:rPr>
          <w:rFonts w:ascii="Arial" w:eastAsiaTheme="minorHAnsi" w:hAnsi="Arial" w:cs="Arial"/>
        </w:rPr>
        <w:t>.</w:t>
      </w:r>
    </w:p>
    <w:p w:rsidR="00110636" w:rsidRPr="009A27BF" w:rsidRDefault="00110636" w:rsidP="003C05C1">
      <w:pPr>
        <w:spacing w:line="240" w:lineRule="auto"/>
        <w:rPr>
          <w:rFonts w:eastAsiaTheme="minorHAnsi"/>
          <w:szCs w:val="24"/>
        </w:rPr>
      </w:pPr>
    </w:p>
    <w:p w:rsidR="00D87AFF" w:rsidRPr="00EF2700" w:rsidRDefault="00615658" w:rsidP="00615658">
      <w:pPr>
        <w:pStyle w:val="ListParagraph"/>
        <w:numPr>
          <w:ilvl w:val="1"/>
          <w:numId w:val="0"/>
        </w:numPr>
        <w:ind w:left="993" w:hanging="567"/>
        <w:rPr>
          <w:rFonts w:ascii="Arial" w:eastAsiaTheme="minorHAnsi" w:hAnsi="Arial" w:cs="Arial"/>
        </w:rPr>
      </w:pPr>
      <w:r>
        <w:rPr>
          <w:rFonts w:ascii="Arial" w:eastAsiaTheme="minorHAnsi" w:hAnsi="Arial" w:cs="Arial"/>
        </w:rPr>
        <w:t>1.8</w:t>
      </w:r>
      <w:r>
        <w:rPr>
          <w:rFonts w:ascii="Arial" w:eastAsiaTheme="minorHAnsi" w:hAnsi="Arial" w:cs="Arial"/>
        </w:rPr>
        <w:tab/>
      </w:r>
      <w:r w:rsidR="00EF2700">
        <w:rPr>
          <w:rFonts w:ascii="Arial" w:eastAsiaTheme="minorHAnsi" w:hAnsi="Arial" w:cs="Arial"/>
        </w:rPr>
        <w:t>T</w:t>
      </w:r>
      <w:r w:rsidR="00A7420A" w:rsidRPr="00EF2700">
        <w:rPr>
          <w:rFonts w:ascii="Arial" w:eastAsiaTheme="minorHAnsi" w:hAnsi="Arial" w:cs="Arial"/>
        </w:rPr>
        <w:t xml:space="preserve">he </w:t>
      </w:r>
      <w:r w:rsidR="00B0174F" w:rsidRPr="00EF2700">
        <w:rPr>
          <w:rFonts w:ascii="Arial" w:eastAsiaTheme="minorHAnsi" w:hAnsi="Arial" w:cs="Arial"/>
        </w:rPr>
        <w:t>scheme we are proposing for payment in 2015-16 is based on only two indicators, supported by a modest available incentive budget of £5 million.</w:t>
      </w:r>
      <w:r w:rsidR="00D87AFF" w:rsidRPr="00EF2700">
        <w:rPr>
          <w:rFonts w:ascii="Arial" w:eastAsiaTheme="minorHAnsi" w:hAnsi="Arial" w:cs="Arial"/>
        </w:rPr>
        <w:t xml:space="preserve"> </w:t>
      </w:r>
      <w:r w:rsidR="00E10168">
        <w:rPr>
          <w:rFonts w:ascii="Arial" w:eastAsiaTheme="minorHAnsi" w:hAnsi="Arial" w:cs="Arial"/>
        </w:rPr>
        <w:t xml:space="preserve"> </w:t>
      </w:r>
      <w:r w:rsidR="00E90D8A">
        <w:rPr>
          <w:rFonts w:ascii="Arial" w:eastAsiaTheme="minorHAnsi" w:hAnsi="Arial" w:cs="Arial"/>
        </w:rPr>
        <w:t>T</w:t>
      </w:r>
      <w:r w:rsidR="00D87AFF" w:rsidRPr="00EF2700">
        <w:rPr>
          <w:rFonts w:ascii="Arial" w:eastAsiaTheme="minorHAnsi" w:hAnsi="Arial" w:cs="Arial"/>
        </w:rPr>
        <w:t>his careful roll</w:t>
      </w:r>
      <w:r w:rsidR="004D77F9" w:rsidRPr="00EF2700">
        <w:rPr>
          <w:rFonts w:ascii="Arial" w:eastAsiaTheme="minorHAnsi" w:hAnsi="Arial" w:cs="Arial"/>
        </w:rPr>
        <w:t>-</w:t>
      </w:r>
      <w:r w:rsidR="00D87AFF" w:rsidRPr="00EF2700">
        <w:rPr>
          <w:rFonts w:ascii="Arial" w:eastAsiaTheme="minorHAnsi" w:hAnsi="Arial" w:cs="Arial"/>
        </w:rPr>
        <w:t xml:space="preserve">out will give us practical experience </w:t>
      </w:r>
      <w:r w:rsidR="009570C6" w:rsidRPr="00EF2700">
        <w:rPr>
          <w:rFonts w:ascii="Arial" w:eastAsiaTheme="minorHAnsi" w:hAnsi="Arial" w:cs="Arial"/>
        </w:rPr>
        <w:t xml:space="preserve">and </w:t>
      </w:r>
      <w:r w:rsidR="00D87AFF" w:rsidRPr="00EF2700">
        <w:rPr>
          <w:rFonts w:ascii="Arial" w:eastAsiaTheme="minorHAnsi" w:hAnsi="Arial" w:cs="Arial"/>
        </w:rPr>
        <w:t>the opportunity to gather early feedback from local authorities about the operation of the scheme and its potential impact.</w:t>
      </w:r>
    </w:p>
    <w:p w:rsidR="00D912D5" w:rsidRPr="00A7420A" w:rsidRDefault="00D912D5" w:rsidP="00A7420A">
      <w:pPr>
        <w:spacing w:before="0" w:after="0" w:line="240" w:lineRule="auto"/>
        <w:rPr>
          <w:rFonts w:eastAsiaTheme="minorHAnsi"/>
          <w:color w:val="FF0000"/>
        </w:rPr>
        <w:sectPr w:rsidR="00D912D5" w:rsidRPr="00A7420A" w:rsidSect="00E3272D">
          <w:pgSz w:w="11906" w:h="16838" w:code="9"/>
          <w:pgMar w:top="1418" w:right="851" w:bottom="907" w:left="851" w:header="624" w:footer="624" w:gutter="0"/>
          <w:cols w:space="720"/>
          <w:formProt w:val="0"/>
          <w:titlePg/>
        </w:sectPr>
      </w:pPr>
      <w:bookmarkStart w:id="15" w:name="_Toc287863056"/>
    </w:p>
    <w:tbl>
      <w:tblPr>
        <w:tblpPr w:leftFromText="180" w:rightFromText="180" w:horzAnchor="margin" w:tblpY="1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4"/>
        <w:gridCol w:w="8305"/>
      </w:tblGrid>
      <w:tr w:rsidR="00E16E91" w:rsidTr="00AC6BE5">
        <w:trPr>
          <w:trHeight w:val="646"/>
        </w:trPr>
        <w:tc>
          <w:tcPr>
            <w:tcW w:w="1586" w:type="dxa"/>
            <w:shd w:val="pct10" w:color="auto" w:fill="auto"/>
          </w:tcPr>
          <w:p w:rsidR="00E16E91" w:rsidRPr="003F16D1" w:rsidRDefault="00E16E91" w:rsidP="00E16E91">
            <w:pPr>
              <w:pStyle w:val="Introduction"/>
              <w:rPr>
                <w:b/>
                <w:sz w:val="28"/>
                <w:szCs w:val="28"/>
              </w:rPr>
            </w:pPr>
            <w:bookmarkStart w:id="16" w:name="_Toc386700302"/>
            <w:bookmarkStart w:id="17" w:name="_Toc222299828"/>
            <w:bookmarkStart w:id="18" w:name="_Toc222534406"/>
            <w:bookmarkEnd w:id="15"/>
            <w:r w:rsidRPr="003F16D1">
              <w:rPr>
                <w:b/>
                <w:sz w:val="28"/>
                <w:szCs w:val="28"/>
              </w:rPr>
              <w:lastRenderedPageBreak/>
              <w:t>To:</w:t>
            </w:r>
          </w:p>
        </w:tc>
        <w:tc>
          <w:tcPr>
            <w:tcW w:w="8834" w:type="dxa"/>
          </w:tcPr>
          <w:p w:rsidR="00E16E91" w:rsidRPr="005C6274" w:rsidRDefault="00E16E91" w:rsidP="00FE6082">
            <w:pPr>
              <w:pStyle w:val="Introduction"/>
              <w:rPr>
                <w:sz w:val="24"/>
                <w:szCs w:val="24"/>
              </w:rPr>
            </w:pPr>
            <w:r w:rsidRPr="005C6274">
              <w:rPr>
                <w:color w:val="auto"/>
                <w:sz w:val="24"/>
                <w:szCs w:val="24"/>
              </w:rPr>
              <w:t>Local authorities</w:t>
            </w:r>
            <w:r w:rsidR="00FE6082">
              <w:rPr>
                <w:color w:val="auto"/>
                <w:sz w:val="24"/>
                <w:szCs w:val="24"/>
              </w:rPr>
              <w:t>, local commissioners, directors of Public Health and Finance</w:t>
            </w:r>
            <w:r w:rsidRPr="005C6274">
              <w:rPr>
                <w:color w:val="auto"/>
                <w:sz w:val="24"/>
                <w:szCs w:val="24"/>
              </w:rPr>
              <w:t xml:space="preserve"> and representative bodies </w:t>
            </w:r>
          </w:p>
        </w:tc>
      </w:tr>
      <w:tr w:rsidR="00E16E91" w:rsidTr="00AC6BE5">
        <w:trPr>
          <w:trHeight w:val="600"/>
        </w:trPr>
        <w:tc>
          <w:tcPr>
            <w:tcW w:w="1586" w:type="dxa"/>
            <w:shd w:val="pct10" w:color="auto" w:fill="auto"/>
          </w:tcPr>
          <w:p w:rsidR="00E16E91" w:rsidRPr="003F16D1" w:rsidRDefault="00E16E91" w:rsidP="00E16E91">
            <w:pPr>
              <w:pStyle w:val="Introduction"/>
              <w:rPr>
                <w:b/>
                <w:sz w:val="28"/>
                <w:szCs w:val="28"/>
              </w:rPr>
            </w:pPr>
            <w:r w:rsidRPr="003F16D1">
              <w:rPr>
                <w:b/>
                <w:sz w:val="28"/>
                <w:szCs w:val="28"/>
              </w:rPr>
              <w:t>Duration:</w:t>
            </w:r>
          </w:p>
        </w:tc>
        <w:tc>
          <w:tcPr>
            <w:tcW w:w="8834" w:type="dxa"/>
          </w:tcPr>
          <w:p w:rsidR="00E16E91" w:rsidRPr="005C6274" w:rsidRDefault="00F3106F" w:rsidP="00F3106F">
            <w:pPr>
              <w:pStyle w:val="Introduction"/>
              <w:rPr>
                <w:sz w:val="24"/>
                <w:szCs w:val="24"/>
              </w:rPr>
            </w:pPr>
            <w:r w:rsidRPr="001866D3">
              <w:rPr>
                <w:color w:val="auto"/>
                <w:sz w:val="24"/>
                <w:szCs w:val="24"/>
              </w:rPr>
              <w:t>09</w:t>
            </w:r>
            <w:r w:rsidR="00BF7248" w:rsidRPr="001866D3">
              <w:rPr>
                <w:color w:val="auto"/>
                <w:sz w:val="24"/>
                <w:szCs w:val="24"/>
              </w:rPr>
              <w:t xml:space="preserve"> </w:t>
            </w:r>
            <w:r w:rsidR="00DE503A" w:rsidRPr="001866D3">
              <w:rPr>
                <w:color w:val="auto"/>
                <w:sz w:val="24"/>
                <w:szCs w:val="24"/>
              </w:rPr>
              <w:t xml:space="preserve">September </w:t>
            </w:r>
            <w:r w:rsidR="00E16E91" w:rsidRPr="001866D3">
              <w:rPr>
                <w:color w:val="auto"/>
                <w:sz w:val="24"/>
                <w:szCs w:val="24"/>
              </w:rPr>
              <w:t xml:space="preserve">2014 to </w:t>
            </w:r>
            <w:r w:rsidR="00DE503A" w:rsidRPr="001866D3">
              <w:rPr>
                <w:color w:val="auto"/>
                <w:sz w:val="24"/>
                <w:szCs w:val="24"/>
              </w:rPr>
              <w:t>23 October</w:t>
            </w:r>
            <w:r w:rsidR="00E16E91" w:rsidRPr="001866D3">
              <w:rPr>
                <w:color w:val="auto"/>
                <w:sz w:val="24"/>
                <w:szCs w:val="24"/>
              </w:rPr>
              <w:t xml:space="preserve"> 2014</w:t>
            </w:r>
          </w:p>
        </w:tc>
      </w:tr>
      <w:tr w:rsidR="00E16E91" w:rsidTr="00AC6BE5">
        <w:tc>
          <w:tcPr>
            <w:tcW w:w="1586" w:type="dxa"/>
            <w:shd w:val="pct10" w:color="auto" w:fill="auto"/>
          </w:tcPr>
          <w:p w:rsidR="00E16E91" w:rsidRPr="003F16D1" w:rsidRDefault="00E16E91" w:rsidP="00E16E91">
            <w:pPr>
              <w:pStyle w:val="Introduction"/>
              <w:rPr>
                <w:b/>
                <w:sz w:val="28"/>
                <w:szCs w:val="28"/>
              </w:rPr>
            </w:pPr>
            <w:r w:rsidRPr="003F16D1">
              <w:rPr>
                <w:b/>
                <w:sz w:val="28"/>
                <w:szCs w:val="28"/>
              </w:rPr>
              <w:t xml:space="preserve">Enquires and responses: </w:t>
            </w:r>
          </w:p>
        </w:tc>
        <w:tc>
          <w:tcPr>
            <w:tcW w:w="8834" w:type="dxa"/>
          </w:tcPr>
          <w:p w:rsidR="00E16E91" w:rsidRDefault="00E16E91" w:rsidP="00E16E91">
            <w:pPr>
              <w:pStyle w:val="Introduction"/>
              <w:rPr>
                <w:color w:val="auto"/>
                <w:sz w:val="24"/>
                <w:szCs w:val="24"/>
              </w:rPr>
            </w:pPr>
            <w:r w:rsidRPr="002776AD">
              <w:rPr>
                <w:color w:val="auto"/>
                <w:sz w:val="24"/>
                <w:szCs w:val="24"/>
              </w:rPr>
              <w:t xml:space="preserve">You can respond to the questionnaire by completing the </w:t>
            </w:r>
            <w:r w:rsidR="00E90D8A">
              <w:rPr>
                <w:color w:val="auto"/>
                <w:sz w:val="24"/>
                <w:szCs w:val="24"/>
              </w:rPr>
              <w:t xml:space="preserve">electronic </w:t>
            </w:r>
            <w:r w:rsidRPr="002776AD">
              <w:rPr>
                <w:color w:val="auto"/>
                <w:sz w:val="24"/>
                <w:szCs w:val="24"/>
              </w:rPr>
              <w:t xml:space="preserve">form </w:t>
            </w:r>
            <w:r w:rsidR="00E90D8A">
              <w:rPr>
                <w:color w:val="auto"/>
                <w:sz w:val="24"/>
                <w:szCs w:val="24"/>
              </w:rPr>
              <w:t xml:space="preserve">and sending it to the email below </w:t>
            </w:r>
            <w:r w:rsidRPr="002776AD">
              <w:rPr>
                <w:color w:val="auto"/>
                <w:sz w:val="24"/>
                <w:szCs w:val="24"/>
              </w:rPr>
              <w:t xml:space="preserve">or </w:t>
            </w:r>
            <w:r>
              <w:rPr>
                <w:color w:val="auto"/>
                <w:sz w:val="24"/>
                <w:szCs w:val="24"/>
              </w:rPr>
              <w:t>by</w:t>
            </w:r>
            <w:r w:rsidRPr="002776AD">
              <w:rPr>
                <w:color w:val="auto"/>
                <w:sz w:val="24"/>
                <w:szCs w:val="24"/>
              </w:rPr>
              <w:t xml:space="preserve"> send</w:t>
            </w:r>
            <w:r>
              <w:rPr>
                <w:color w:val="auto"/>
                <w:sz w:val="24"/>
                <w:szCs w:val="24"/>
              </w:rPr>
              <w:t>ing</w:t>
            </w:r>
            <w:r w:rsidRPr="002776AD">
              <w:rPr>
                <w:color w:val="auto"/>
                <w:sz w:val="24"/>
                <w:szCs w:val="24"/>
              </w:rPr>
              <w:t xml:space="preserve"> a hard copy to</w:t>
            </w:r>
            <w:r w:rsidR="005D4590">
              <w:rPr>
                <w:color w:val="auto"/>
                <w:sz w:val="24"/>
                <w:szCs w:val="24"/>
              </w:rPr>
              <w:t>,</w:t>
            </w:r>
            <w:r w:rsidRPr="002776AD">
              <w:rPr>
                <w:color w:val="auto"/>
                <w:sz w:val="24"/>
                <w:szCs w:val="24"/>
              </w:rPr>
              <w:t xml:space="preserve"> </w:t>
            </w:r>
          </w:p>
          <w:p w:rsidR="00E16E91" w:rsidRPr="005D4590" w:rsidRDefault="00E16E91" w:rsidP="005D4590">
            <w:pPr>
              <w:pStyle w:val="Introduction"/>
              <w:spacing w:before="120" w:line="280" w:lineRule="exact"/>
              <w:rPr>
                <w:b/>
                <w:color w:val="auto"/>
                <w:sz w:val="24"/>
                <w:szCs w:val="24"/>
              </w:rPr>
            </w:pPr>
            <w:r w:rsidRPr="005D4590">
              <w:rPr>
                <w:b/>
                <w:color w:val="auto"/>
                <w:sz w:val="24"/>
                <w:szCs w:val="24"/>
              </w:rPr>
              <w:t>Public Health Policy Support Unit</w:t>
            </w:r>
            <w:r w:rsidR="005D4590">
              <w:rPr>
                <w:b/>
                <w:color w:val="auto"/>
                <w:sz w:val="24"/>
                <w:szCs w:val="24"/>
              </w:rPr>
              <w:t>,</w:t>
            </w:r>
            <w:r w:rsidRPr="005D4590">
              <w:rPr>
                <w:b/>
                <w:color w:val="auto"/>
                <w:sz w:val="24"/>
                <w:szCs w:val="24"/>
              </w:rPr>
              <w:t xml:space="preserve"> </w:t>
            </w:r>
          </w:p>
          <w:p w:rsidR="00E16E91" w:rsidRDefault="00E16E91" w:rsidP="005D4590">
            <w:pPr>
              <w:pStyle w:val="Paragraphtext"/>
              <w:rPr>
                <w:b/>
                <w:szCs w:val="24"/>
              </w:rPr>
            </w:pPr>
            <w:r w:rsidRPr="005D4590">
              <w:rPr>
                <w:b/>
                <w:szCs w:val="24"/>
              </w:rPr>
              <w:t xml:space="preserve">Department of </w:t>
            </w:r>
            <w:r w:rsidR="005D4590">
              <w:rPr>
                <w:b/>
                <w:szCs w:val="24"/>
              </w:rPr>
              <w:t>H</w:t>
            </w:r>
            <w:r w:rsidRPr="005D4590">
              <w:rPr>
                <w:b/>
                <w:szCs w:val="24"/>
              </w:rPr>
              <w:t>ealth</w:t>
            </w:r>
            <w:r w:rsidR="005D4590">
              <w:rPr>
                <w:b/>
                <w:szCs w:val="24"/>
              </w:rPr>
              <w:t>,</w:t>
            </w:r>
          </w:p>
          <w:p w:rsidR="00165169" w:rsidRDefault="00165169" w:rsidP="005D4590">
            <w:pPr>
              <w:pStyle w:val="Paragraphtext"/>
              <w:rPr>
                <w:b/>
                <w:szCs w:val="24"/>
              </w:rPr>
            </w:pPr>
            <w:r>
              <w:rPr>
                <w:b/>
                <w:szCs w:val="24"/>
              </w:rPr>
              <w:t>165 Richmond House</w:t>
            </w:r>
            <w:r w:rsidR="00AB1FF5">
              <w:rPr>
                <w:b/>
                <w:szCs w:val="24"/>
              </w:rPr>
              <w:t>,</w:t>
            </w:r>
          </w:p>
          <w:p w:rsidR="00165169" w:rsidRDefault="00165169" w:rsidP="005D4590">
            <w:pPr>
              <w:pStyle w:val="Paragraphtext"/>
              <w:rPr>
                <w:b/>
                <w:szCs w:val="24"/>
              </w:rPr>
            </w:pPr>
            <w:r>
              <w:rPr>
                <w:b/>
                <w:szCs w:val="24"/>
              </w:rPr>
              <w:t>79 Whitehall</w:t>
            </w:r>
            <w:r w:rsidR="00AB1FF5">
              <w:rPr>
                <w:b/>
                <w:szCs w:val="24"/>
              </w:rPr>
              <w:t>,</w:t>
            </w:r>
          </w:p>
          <w:p w:rsidR="00165169" w:rsidRDefault="00165169" w:rsidP="005D4590">
            <w:pPr>
              <w:pStyle w:val="Paragraphtext"/>
              <w:rPr>
                <w:b/>
                <w:szCs w:val="24"/>
              </w:rPr>
            </w:pPr>
            <w:r>
              <w:rPr>
                <w:b/>
                <w:szCs w:val="24"/>
              </w:rPr>
              <w:t>London</w:t>
            </w:r>
            <w:r w:rsidR="00AB1FF5">
              <w:rPr>
                <w:b/>
                <w:szCs w:val="24"/>
              </w:rPr>
              <w:t>,</w:t>
            </w:r>
            <w:r>
              <w:rPr>
                <w:b/>
                <w:szCs w:val="24"/>
              </w:rPr>
              <w:t xml:space="preserve"> </w:t>
            </w:r>
          </w:p>
          <w:p w:rsidR="00E16E91" w:rsidRPr="005D4590" w:rsidRDefault="00165169" w:rsidP="00AB1FF5">
            <w:pPr>
              <w:pStyle w:val="Paragraphtext"/>
            </w:pPr>
            <w:r>
              <w:rPr>
                <w:b/>
                <w:szCs w:val="24"/>
              </w:rPr>
              <w:t>SW1A 2NS</w:t>
            </w:r>
            <w:r w:rsidR="00AB1FF5">
              <w:rPr>
                <w:b/>
                <w:szCs w:val="24"/>
              </w:rPr>
              <w:t>.</w:t>
            </w:r>
          </w:p>
          <w:p w:rsidR="00E16E91" w:rsidRPr="002776AD" w:rsidRDefault="00E16E91" w:rsidP="008D59BE">
            <w:pPr>
              <w:rPr>
                <w:szCs w:val="24"/>
              </w:rPr>
            </w:pPr>
            <w:r>
              <w:rPr>
                <w:szCs w:val="24"/>
              </w:rPr>
              <w:t>General e</w:t>
            </w:r>
            <w:r w:rsidRPr="002776AD">
              <w:rPr>
                <w:szCs w:val="24"/>
              </w:rPr>
              <w:t>nquiries or requests for Braille, large font or audio format should be addressed to the</w:t>
            </w:r>
            <w:r>
              <w:rPr>
                <w:szCs w:val="24"/>
              </w:rPr>
              <w:t xml:space="preserve"> </w:t>
            </w:r>
            <w:r w:rsidRPr="002776AD">
              <w:rPr>
                <w:szCs w:val="24"/>
              </w:rPr>
              <w:t xml:space="preserve">contact details above or email </w:t>
            </w:r>
            <w:hyperlink r:id="rId22" w:history="1">
              <w:r w:rsidR="008D59BE" w:rsidRPr="00FE6082">
                <w:rPr>
                  <w:rStyle w:val="Hyperlink"/>
                  <w:rFonts w:ascii="Arial" w:hAnsi="Arial"/>
                  <w:szCs w:val="24"/>
                </w:rPr>
                <w:t>Healthpremiumincentivescheme@dh.gsi.gov.uk</w:t>
              </w:r>
            </w:hyperlink>
          </w:p>
        </w:tc>
      </w:tr>
      <w:tr w:rsidR="00E16E91" w:rsidTr="00AC6BE5">
        <w:tc>
          <w:tcPr>
            <w:tcW w:w="1586" w:type="dxa"/>
            <w:shd w:val="pct10" w:color="auto" w:fill="auto"/>
          </w:tcPr>
          <w:p w:rsidR="00E16E91" w:rsidRPr="003F16D1" w:rsidRDefault="00E16E91" w:rsidP="00E16E91">
            <w:pPr>
              <w:pStyle w:val="Introduction"/>
              <w:rPr>
                <w:b/>
                <w:sz w:val="28"/>
                <w:szCs w:val="28"/>
              </w:rPr>
            </w:pPr>
            <w:r w:rsidRPr="003F16D1">
              <w:rPr>
                <w:b/>
                <w:sz w:val="28"/>
                <w:szCs w:val="28"/>
              </w:rPr>
              <w:t>The consultation:</w:t>
            </w:r>
          </w:p>
        </w:tc>
        <w:tc>
          <w:tcPr>
            <w:tcW w:w="8834" w:type="dxa"/>
          </w:tcPr>
          <w:p w:rsidR="00E16E91" w:rsidRPr="008063A4" w:rsidRDefault="00E16E91" w:rsidP="00D05324">
            <w:pPr>
              <w:pStyle w:val="Paragraphtext"/>
            </w:pPr>
            <w:r w:rsidRPr="00EB01E5">
              <w:t xml:space="preserve">There are </w:t>
            </w:r>
            <w:r w:rsidR="00C56298" w:rsidRPr="00D05324">
              <w:t xml:space="preserve">six </w:t>
            </w:r>
            <w:r w:rsidR="00D87AFF" w:rsidRPr="00825304">
              <w:t>specific</w:t>
            </w:r>
            <w:r w:rsidRPr="00825304">
              <w:t xml:space="preserve"> questions </w:t>
            </w:r>
            <w:r w:rsidR="00FE6082" w:rsidRPr="00825304">
              <w:t xml:space="preserve">regarding </w:t>
            </w:r>
            <w:r w:rsidRPr="00825304">
              <w:t>the Health Premium Incentive Scheme</w:t>
            </w:r>
            <w:r w:rsidR="003F16D1" w:rsidRPr="00825304">
              <w:t xml:space="preserve"> (HPIS)</w:t>
            </w:r>
            <w:r w:rsidR="00D05324">
              <w:t xml:space="preserve"> </w:t>
            </w:r>
            <w:r w:rsidRPr="00825304">
              <w:t>followed</w:t>
            </w:r>
            <w:r>
              <w:t xml:space="preserve"> by </w:t>
            </w:r>
            <w:r w:rsidRPr="00D25167">
              <w:t>optional questions</w:t>
            </w:r>
            <w:r>
              <w:t xml:space="preserve"> about you. </w:t>
            </w:r>
            <w:r w:rsidR="00E10168">
              <w:t xml:space="preserve"> </w:t>
            </w:r>
            <w:r>
              <w:t xml:space="preserve">The </w:t>
            </w:r>
            <w:r w:rsidR="00951633">
              <w:t>consultation</w:t>
            </w:r>
            <w:r>
              <w:t xml:space="preserve"> should take </w:t>
            </w:r>
            <w:r w:rsidRPr="00D25167">
              <w:t xml:space="preserve">approximately </w:t>
            </w:r>
            <w:r w:rsidR="00951633">
              <w:t>an hour</w:t>
            </w:r>
            <w:r>
              <w:t xml:space="preserve"> to complete. </w:t>
            </w:r>
            <w:r w:rsidR="00E10168">
              <w:t xml:space="preserve"> </w:t>
            </w:r>
            <w:r>
              <w:t>There is no need to answer every question if you do not wish to</w:t>
            </w:r>
            <w:r w:rsidR="00D87AFF">
              <w:t xml:space="preserve"> and we would welcome other wider comments that may not be specifically motivated by the questions.</w:t>
            </w:r>
          </w:p>
        </w:tc>
      </w:tr>
      <w:tr w:rsidR="00E16E91" w:rsidTr="00AC6BE5">
        <w:tc>
          <w:tcPr>
            <w:tcW w:w="1586" w:type="dxa"/>
            <w:shd w:val="pct10" w:color="auto" w:fill="auto"/>
          </w:tcPr>
          <w:p w:rsidR="00E16E91" w:rsidRPr="003F16D1" w:rsidRDefault="00E16E91" w:rsidP="00E16E91">
            <w:pPr>
              <w:pStyle w:val="Introduction"/>
              <w:rPr>
                <w:b/>
                <w:sz w:val="28"/>
                <w:szCs w:val="28"/>
              </w:rPr>
            </w:pPr>
            <w:r w:rsidRPr="003F16D1">
              <w:rPr>
                <w:b/>
                <w:sz w:val="28"/>
                <w:szCs w:val="28"/>
              </w:rPr>
              <w:t>After the consultation:</w:t>
            </w:r>
          </w:p>
        </w:tc>
        <w:tc>
          <w:tcPr>
            <w:tcW w:w="8834" w:type="dxa"/>
          </w:tcPr>
          <w:p w:rsidR="00E16E91" w:rsidRDefault="00E16E91" w:rsidP="00E16E91">
            <w:pPr>
              <w:pStyle w:val="Introduction"/>
              <w:spacing w:before="120" w:line="280" w:lineRule="exact"/>
              <w:rPr>
                <w:color w:val="auto"/>
                <w:sz w:val="24"/>
                <w:szCs w:val="24"/>
              </w:rPr>
            </w:pPr>
            <w:r w:rsidRPr="001B0C86">
              <w:rPr>
                <w:color w:val="auto"/>
                <w:sz w:val="24"/>
                <w:szCs w:val="24"/>
              </w:rPr>
              <w:t xml:space="preserve">Following the close of the consultation we will analyse the </w:t>
            </w:r>
            <w:r w:rsidR="003F16D1" w:rsidRPr="001B0C86">
              <w:rPr>
                <w:color w:val="auto"/>
                <w:sz w:val="24"/>
                <w:szCs w:val="24"/>
              </w:rPr>
              <w:t xml:space="preserve">responses </w:t>
            </w:r>
            <w:r w:rsidRPr="001B0C86">
              <w:rPr>
                <w:color w:val="auto"/>
                <w:sz w:val="24"/>
                <w:szCs w:val="24"/>
              </w:rPr>
              <w:t xml:space="preserve">and publish </w:t>
            </w:r>
            <w:r w:rsidR="00FE6082" w:rsidRPr="001B0C86">
              <w:rPr>
                <w:color w:val="auto"/>
                <w:sz w:val="24"/>
                <w:szCs w:val="24"/>
              </w:rPr>
              <w:t>a summary report</w:t>
            </w:r>
            <w:r w:rsidR="003F16D1" w:rsidRPr="001B0C86">
              <w:rPr>
                <w:color w:val="auto"/>
                <w:sz w:val="24"/>
                <w:szCs w:val="24"/>
              </w:rPr>
              <w:t xml:space="preserve"> </w:t>
            </w:r>
            <w:r w:rsidR="001B0C86" w:rsidRPr="001B0C86">
              <w:rPr>
                <w:color w:val="auto"/>
                <w:sz w:val="24"/>
                <w:szCs w:val="24"/>
              </w:rPr>
              <w:t>on gov.uk</w:t>
            </w:r>
            <w:r w:rsidRPr="001B0C86">
              <w:rPr>
                <w:color w:val="auto"/>
                <w:sz w:val="24"/>
                <w:szCs w:val="24"/>
              </w:rPr>
              <w:t>.</w:t>
            </w:r>
            <w:r w:rsidRPr="002776AD">
              <w:rPr>
                <w:color w:val="auto"/>
                <w:sz w:val="24"/>
                <w:szCs w:val="24"/>
              </w:rPr>
              <w:t xml:space="preserve"> </w:t>
            </w:r>
            <w:r w:rsidR="00E10168">
              <w:rPr>
                <w:color w:val="auto"/>
                <w:sz w:val="24"/>
                <w:szCs w:val="24"/>
              </w:rPr>
              <w:t xml:space="preserve"> </w:t>
            </w:r>
            <w:r w:rsidRPr="002776AD">
              <w:rPr>
                <w:color w:val="auto"/>
                <w:sz w:val="24"/>
                <w:szCs w:val="24"/>
              </w:rPr>
              <w:t>If you would like to receive notification of the published re</w:t>
            </w:r>
            <w:r>
              <w:rPr>
                <w:color w:val="auto"/>
                <w:sz w:val="24"/>
                <w:szCs w:val="24"/>
              </w:rPr>
              <w:t>s</w:t>
            </w:r>
            <w:r w:rsidRPr="002776AD">
              <w:rPr>
                <w:color w:val="auto"/>
                <w:sz w:val="24"/>
                <w:szCs w:val="24"/>
              </w:rPr>
              <w:t>ponse</w:t>
            </w:r>
            <w:r>
              <w:rPr>
                <w:color w:val="auto"/>
                <w:sz w:val="24"/>
                <w:szCs w:val="24"/>
              </w:rPr>
              <w:t>,</w:t>
            </w:r>
            <w:r w:rsidRPr="002776AD">
              <w:rPr>
                <w:color w:val="auto"/>
                <w:sz w:val="24"/>
                <w:szCs w:val="24"/>
              </w:rPr>
              <w:t xml:space="preserve"> </w:t>
            </w:r>
            <w:r>
              <w:rPr>
                <w:color w:val="auto"/>
                <w:sz w:val="24"/>
                <w:szCs w:val="24"/>
              </w:rPr>
              <w:t>please indicate this in the relevant section of the form.</w:t>
            </w:r>
          </w:p>
          <w:p w:rsidR="00E16E91" w:rsidRPr="008063A4" w:rsidRDefault="00E16E91" w:rsidP="0020686E">
            <w:pPr>
              <w:pStyle w:val="Paragraphtext"/>
            </w:pPr>
            <w:r>
              <w:t xml:space="preserve">Responses will be stored on a secure Government IT system for a maximum of one year from the end date of this survey and then securely destroyed in accordance with the Data Protection Act 1998. </w:t>
            </w:r>
            <w:r w:rsidR="00E10168">
              <w:t xml:space="preserve"> </w:t>
            </w:r>
            <w:r>
              <w:t xml:space="preserve">All responses to </w:t>
            </w:r>
            <w:r w:rsidR="00362F5B">
              <w:t>this consultation</w:t>
            </w:r>
            <w:r>
              <w:t xml:space="preserve"> will be shared between the Department of Health and Public Health England</w:t>
            </w:r>
            <w:r w:rsidR="00D87AFF">
              <w:t xml:space="preserve"> and may be published</w:t>
            </w:r>
            <w:r>
              <w:t xml:space="preserve">. </w:t>
            </w:r>
            <w:r w:rsidR="00E10168">
              <w:t xml:space="preserve"> </w:t>
            </w:r>
            <w:r>
              <w:t xml:space="preserve">Your personal data will not be shared with any third parties </w:t>
            </w:r>
            <w:r w:rsidR="003F16D1">
              <w:t xml:space="preserve">without </w:t>
            </w:r>
            <w:r>
              <w:t>you</w:t>
            </w:r>
            <w:r w:rsidR="003F16D1">
              <w:t>r</w:t>
            </w:r>
            <w:r>
              <w:t xml:space="preserve"> consent. </w:t>
            </w:r>
            <w:r w:rsidR="00E10168">
              <w:t xml:space="preserve"> </w:t>
            </w:r>
            <w:r>
              <w:t xml:space="preserve">Any individual responses which are used in the final report will be anonymous. </w:t>
            </w:r>
            <w:r w:rsidR="00E10168">
              <w:t xml:space="preserve"> </w:t>
            </w:r>
            <w:r>
              <w:t xml:space="preserve">If you are responding on behalf of a local </w:t>
            </w:r>
            <w:r w:rsidRPr="00190E80">
              <w:t>authority</w:t>
            </w:r>
            <w:r w:rsidR="004A3A2B" w:rsidRPr="00190E80">
              <w:t xml:space="preserve"> or other public body</w:t>
            </w:r>
            <w:r w:rsidRPr="00190E80">
              <w:t xml:space="preserve">, </w:t>
            </w:r>
            <w:r>
              <w:t>the local authority will be identified if quoted in the final response document.</w:t>
            </w:r>
          </w:p>
        </w:tc>
      </w:tr>
    </w:tbl>
    <w:p w:rsidR="00E16E91" w:rsidRPr="00CC29F0" w:rsidRDefault="00E16E91" w:rsidP="00000EA3">
      <w:pPr>
        <w:pStyle w:val="ChapterHead"/>
        <w:numPr>
          <w:ilvl w:val="0"/>
          <w:numId w:val="8"/>
        </w:numPr>
        <w:rPr>
          <w:b/>
        </w:rPr>
      </w:pPr>
      <w:bookmarkStart w:id="19" w:name="_Toc396307852"/>
      <w:bookmarkEnd w:id="16"/>
      <w:r w:rsidRPr="00CC29F0">
        <w:rPr>
          <w:b/>
        </w:rPr>
        <w:t>Consultation information</w:t>
      </w:r>
      <w:bookmarkEnd w:id="19"/>
    </w:p>
    <w:p w:rsidR="00E16E91" w:rsidRPr="00E16E91" w:rsidRDefault="00E16E91" w:rsidP="00E16E91">
      <w:pPr>
        <w:spacing w:before="0" w:after="0" w:line="240" w:lineRule="auto"/>
        <w:rPr>
          <w:rFonts w:cs="Times New Roman"/>
          <w:color w:val="00D1AE"/>
          <w:sz w:val="50"/>
        </w:rPr>
      </w:pPr>
      <w:r>
        <w:br w:type="page"/>
      </w:r>
    </w:p>
    <w:p w:rsidR="00E16E91" w:rsidRPr="00CC29F0" w:rsidRDefault="00615658" w:rsidP="000605A1">
      <w:pPr>
        <w:pStyle w:val="ChapterHead"/>
        <w:rPr>
          <w:b/>
        </w:rPr>
      </w:pPr>
      <w:bookmarkStart w:id="20" w:name="_Toc396307853"/>
      <w:r>
        <w:rPr>
          <w:b/>
        </w:rPr>
        <w:lastRenderedPageBreak/>
        <w:t>3.</w:t>
      </w:r>
      <w:r>
        <w:rPr>
          <w:b/>
        </w:rPr>
        <w:tab/>
      </w:r>
      <w:r w:rsidR="00E16E91" w:rsidRPr="00CC29F0">
        <w:rPr>
          <w:b/>
        </w:rPr>
        <w:t>Background</w:t>
      </w:r>
      <w:bookmarkEnd w:id="20"/>
    </w:p>
    <w:p w:rsidR="00FC52F5" w:rsidRDefault="00615658" w:rsidP="00615658">
      <w:pPr>
        <w:pStyle w:val="Introduction"/>
        <w:numPr>
          <w:ilvl w:val="1"/>
          <w:numId w:val="0"/>
        </w:numPr>
        <w:spacing w:before="120" w:line="280" w:lineRule="exact"/>
        <w:ind w:left="709" w:hanging="709"/>
        <w:rPr>
          <w:rFonts w:eastAsiaTheme="minorHAnsi" w:cs="Arial"/>
          <w:color w:val="auto"/>
          <w:sz w:val="24"/>
          <w:szCs w:val="24"/>
        </w:rPr>
      </w:pPr>
      <w:r>
        <w:rPr>
          <w:rFonts w:eastAsiaTheme="minorHAnsi" w:cs="Arial"/>
          <w:color w:val="auto"/>
          <w:sz w:val="24"/>
          <w:szCs w:val="24"/>
        </w:rPr>
        <w:t>3.1</w:t>
      </w:r>
      <w:r>
        <w:rPr>
          <w:rFonts w:eastAsiaTheme="minorHAnsi" w:cs="Arial"/>
          <w:color w:val="auto"/>
          <w:sz w:val="24"/>
          <w:szCs w:val="24"/>
        </w:rPr>
        <w:tab/>
      </w:r>
      <w:r w:rsidR="00D2163B" w:rsidRPr="00E57B48">
        <w:rPr>
          <w:rFonts w:eastAsiaTheme="minorHAnsi" w:cs="Arial"/>
          <w:color w:val="auto"/>
          <w:sz w:val="24"/>
          <w:szCs w:val="24"/>
        </w:rPr>
        <w:t xml:space="preserve">The White Paper, </w:t>
      </w:r>
      <w:r w:rsidR="00D2163B" w:rsidRPr="00E57B48">
        <w:rPr>
          <w:rFonts w:eastAsiaTheme="minorHAnsi" w:cs="Arial"/>
          <w:i/>
          <w:color w:val="auto"/>
          <w:sz w:val="24"/>
          <w:szCs w:val="24"/>
        </w:rPr>
        <w:t>Equity and Excellence: liberating the NHS</w:t>
      </w:r>
      <w:r w:rsidR="00D2163B" w:rsidRPr="00E57B48">
        <w:rPr>
          <w:rFonts w:eastAsiaTheme="minorHAnsi" w:cs="Arial"/>
          <w:color w:val="auto"/>
          <w:sz w:val="24"/>
          <w:szCs w:val="24"/>
        </w:rPr>
        <w:t xml:space="preserve"> in July 2010</w:t>
      </w:r>
      <w:r w:rsidR="00A13AE6">
        <w:rPr>
          <w:rStyle w:val="FootnoteReference"/>
          <w:rFonts w:eastAsiaTheme="minorHAnsi" w:cs="Arial"/>
          <w:color w:val="auto"/>
          <w:sz w:val="24"/>
          <w:szCs w:val="24"/>
        </w:rPr>
        <w:footnoteReference w:id="4"/>
      </w:r>
      <w:r w:rsidR="00D2163B" w:rsidRPr="00E57B48">
        <w:rPr>
          <w:rFonts w:eastAsiaTheme="minorHAnsi" w:cs="Arial"/>
          <w:color w:val="auto"/>
          <w:sz w:val="24"/>
          <w:szCs w:val="24"/>
        </w:rPr>
        <w:t xml:space="preserve"> stat</w:t>
      </w:r>
      <w:r w:rsidR="009570C6">
        <w:rPr>
          <w:rFonts w:eastAsiaTheme="minorHAnsi" w:cs="Arial"/>
          <w:color w:val="auto"/>
          <w:sz w:val="24"/>
          <w:szCs w:val="24"/>
        </w:rPr>
        <w:t>ed</w:t>
      </w:r>
      <w:r w:rsidR="00D2163B" w:rsidRPr="00E57B48">
        <w:rPr>
          <w:rFonts w:eastAsiaTheme="minorHAnsi" w:cs="Arial"/>
          <w:color w:val="auto"/>
          <w:sz w:val="24"/>
          <w:szCs w:val="24"/>
        </w:rPr>
        <w:t xml:space="preserve"> that ‘…</w:t>
      </w:r>
      <w:r w:rsidR="00D2163B" w:rsidRPr="00A13AE6">
        <w:rPr>
          <w:rFonts w:eastAsiaTheme="minorHAnsi" w:cs="Arial"/>
          <w:i/>
          <w:color w:val="auto"/>
          <w:sz w:val="24"/>
          <w:szCs w:val="24"/>
        </w:rPr>
        <w:t>a new “health premium” designed to promote action to improve population-wide health and reduce health inequalities’</w:t>
      </w:r>
      <w:r w:rsidR="003B3EB3">
        <w:rPr>
          <w:rFonts w:eastAsiaTheme="minorHAnsi" w:cs="Arial"/>
          <w:color w:val="auto"/>
          <w:sz w:val="24"/>
          <w:szCs w:val="24"/>
        </w:rPr>
        <w:t xml:space="preserve"> would be introduced.</w:t>
      </w:r>
    </w:p>
    <w:p w:rsidR="00B70697" w:rsidRPr="00B70697" w:rsidRDefault="00B70697" w:rsidP="00AB00D4">
      <w:pPr>
        <w:pStyle w:val="Paragraphtext"/>
        <w:rPr>
          <w:rFonts w:eastAsiaTheme="minorHAnsi"/>
        </w:rPr>
      </w:pPr>
    </w:p>
    <w:p w:rsidR="00362F5B" w:rsidRPr="00FC52F5" w:rsidRDefault="00615658" w:rsidP="00000EA3">
      <w:pPr>
        <w:pStyle w:val="Paragraphtext"/>
        <w:numPr>
          <w:ilvl w:val="1"/>
          <w:numId w:val="12"/>
        </w:numPr>
        <w:ind w:left="709" w:hanging="709"/>
        <w:rPr>
          <w:rFonts w:eastAsiaTheme="minorHAnsi"/>
        </w:rPr>
      </w:pPr>
      <w:r>
        <w:rPr>
          <w:rFonts w:eastAsiaTheme="minorHAnsi" w:cs="Arial"/>
          <w:szCs w:val="24"/>
        </w:rPr>
        <w:tab/>
      </w:r>
      <w:r w:rsidR="00362F5B" w:rsidRPr="00E57B48">
        <w:rPr>
          <w:rFonts w:eastAsiaTheme="minorHAnsi" w:cs="Arial"/>
          <w:szCs w:val="24"/>
        </w:rPr>
        <w:t xml:space="preserve">In </w:t>
      </w:r>
      <w:r w:rsidR="00D2163B" w:rsidRPr="00E57B48">
        <w:rPr>
          <w:rFonts w:eastAsiaTheme="minorHAnsi" w:cs="Arial"/>
          <w:szCs w:val="24"/>
        </w:rPr>
        <w:t xml:space="preserve">November </w:t>
      </w:r>
      <w:r w:rsidR="00362F5B" w:rsidRPr="00E57B48">
        <w:rPr>
          <w:rFonts w:eastAsiaTheme="minorHAnsi" w:cs="Arial"/>
          <w:szCs w:val="24"/>
        </w:rPr>
        <w:t>2010</w:t>
      </w:r>
      <w:r w:rsidR="00362F5B" w:rsidRPr="00E57B48">
        <w:rPr>
          <w:rFonts w:eastAsiaTheme="minorHAnsi" w:cs="Arial"/>
          <w:i/>
          <w:szCs w:val="24"/>
        </w:rPr>
        <w:t xml:space="preserve"> Healthy lives, healthy people: our strategy for public health in England</w:t>
      </w:r>
      <w:r w:rsidR="009A0D44">
        <w:rPr>
          <w:rStyle w:val="FootnoteReference"/>
          <w:rFonts w:eastAsiaTheme="minorHAnsi" w:cs="Arial"/>
          <w:i/>
          <w:szCs w:val="24"/>
        </w:rPr>
        <w:footnoteReference w:id="5"/>
      </w:r>
      <w:r w:rsidR="00E57B48">
        <w:rPr>
          <w:rFonts w:eastAsiaTheme="minorHAnsi" w:cs="Arial"/>
          <w:i/>
          <w:szCs w:val="24"/>
        </w:rPr>
        <w:t xml:space="preserve"> </w:t>
      </w:r>
      <w:r w:rsidR="0081375B" w:rsidRPr="0081375B">
        <w:rPr>
          <w:rFonts w:eastAsiaTheme="minorHAnsi" w:cs="Arial"/>
          <w:szCs w:val="24"/>
        </w:rPr>
        <w:t>expanded on this by committing</w:t>
      </w:r>
      <w:r w:rsidR="0081375B">
        <w:rPr>
          <w:rFonts w:eastAsiaTheme="minorHAnsi" w:cs="Arial"/>
          <w:szCs w:val="24"/>
        </w:rPr>
        <w:t xml:space="preserve"> to introduce ‘... a new</w:t>
      </w:r>
      <w:r w:rsidR="00362F5B" w:rsidRPr="00E57B48">
        <w:rPr>
          <w:rFonts w:eastAsiaTheme="minorHAnsi" w:cs="Arial"/>
          <w:szCs w:val="24"/>
        </w:rPr>
        <w:t xml:space="preserve"> health premium that would </w:t>
      </w:r>
      <w:r w:rsidR="0081375B">
        <w:rPr>
          <w:rFonts w:eastAsiaTheme="minorHAnsi" w:cs="Arial"/>
          <w:szCs w:val="24"/>
        </w:rPr>
        <w:t>reward progress made against elements of the proposed public health outcomes framework, taking into account health inequalities.’</w:t>
      </w:r>
    </w:p>
    <w:p w:rsidR="00FC52F5" w:rsidRPr="00FC52F5" w:rsidRDefault="00FC52F5" w:rsidP="00FC52F5">
      <w:pPr>
        <w:pStyle w:val="Paragraphtext"/>
        <w:rPr>
          <w:rFonts w:eastAsiaTheme="minorHAnsi"/>
        </w:rPr>
      </w:pPr>
    </w:p>
    <w:p w:rsidR="00DC06B1" w:rsidRPr="00FC52F5" w:rsidRDefault="00DC06B1" w:rsidP="00000EA3">
      <w:pPr>
        <w:pStyle w:val="Paragraphtext"/>
        <w:numPr>
          <w:ilvl w:val="1"/>
          <w:numId w:val="12"/>
        </w:numPr>
        <w:ind w:left="709" w:hanging="709"/>
        <w:rPr>
          <w:rFonts w:eastAsiaTheme="minorHAnsi"/>
        </w:rPr>
      </w:pPr>
      <w:r w:rsidRPr="00FC52F5">
        <w:rPr>
          <w:rFonts w:eastAsiaTheme="minorHAnsi"/>
        </w:rPr>
        <w:t xml:space="preserve">The public health finance update, </w:t>
      </w:r>
      <w:r w:rsidRPr="00FC52F5">
        <w:rPr>
          <w:rFonts w:eastAsiaTheme="minorHAnsi"/>
          <w:i/>
          <w:iCs/>
        </w:rPr>
        <w:t>Healthy Lives, Healthy People: Update on Public Health Funding</w:t>
      </w:r>
      <w:r w:rsidRPr="00FC52F5">
        <w:rPr>
          <w:rFonts w:eastAsiaTheme="minorHAnsi"/>
        </w:rPr>
        <w:t xml:space="preserve">, published </w:t>
      </w:r>
      <w:r w:rsidR="009A0D44">
        <w:rPr>
          <w:rFonts w:eastAsiaTheme="minorHAnsi"/>
        </w:rPr>
        <w:t xml:space="preserve">in </w:t>
      </w:r>
      <w:r w:rsidRPr="00FC52F5">
        <w:rPr>
          <w:rFonts w:eastAsiaTheme="minorHAnsi"/>
        </w:rPr>
        <w:t>June 2012</w:t>
      </w:r>
      <w:r w:rsidR="009A0D44">
        <w:rPr>
          <w:rStyle w:val="FootnoteReference"/>
          <w:rFonts w:eastAsiaTheme="minorHAnsi"/>
        </w:rPr>
        <w:footnoteReference w:id="6"/>
      </w:r>
      <w:r w:rsidR="009A0D44">
        <w:rPr>
          <w:rFonts w:eastAsiaTheme="minorHAnsi"/>
        </w:rPr>
        <w:t>,</w:t>
      </w:r>
      <w:r w:rsidRPr="00FC52F5">
        <w:rPr>
          <w:rFonts w:eastAsiaTheme="minorHAnsi"/>
        </w:rPr>
        <w:t xml:space="preserve"> included a high-level design summary of the health premium incentive.</w:t>
      </w:r>
      <w:r w:rsidR="00FC52F5">
        <w:rPr>
          <w:rFonts w:eastAsiaTheme="minorHAnsi"/>
        </w:rPr>
        <w:t xml:space="preserve"> </w:t>
      </w:r>
      <w:r w:rsidR="00E10168">
        <w:rPr>
          <w:rFonts w:eastAsiaTheme="minorHAnsi"/>
        </w:rPr>
        <w:t xml:space="preserve"> </w:t>
      </w:r>
      <w:r w:rsidR="00AB00D4">
        <w:rPr>
          <w:rFonts w:eastAsiaTheme="minorHAnsi"/>
        </w:rPr>
        <w:t>In summary t</w:t>
      </w:r>
      <w:r w:rsidR="00FC52F5">
        <w:rPr>
          <w:rFonts w:eastAsiaTheme="minorHAnsi"/>
        </w:rPr>
        <w:t>he premium would be</w:t>
      </w:r>
      <w:r w:rsidR="003B3EB3" w:rsidRPr="00FC52F5">
        <w:rPr>
          <w:rFonts w:eastAsiaTheme="minorHAnsi"/>
        </w:rPr>
        <w:t>:</w:t>
      </w:r>
    </w:p>
    <w:p w:rsidR="00DC06B1" w:rsidRDefault="00DC06B1" w:rsidP="00000EA3">
      <w:pPr>
        <w:pStyle w:val="ListParagraph"/>
        <w:numPr>
          <w:ilvl w:val="0"/>
          <w:numId w:val="13"/>
        </w:numPr>
        <w:spacing w:before="120" w:after="120" w:line="360" w:lineRule="auto"/>
        <w:rPr>
          <w:rFonts w:ascii="Arial" w:eastAsiaTheme="minorHAnsi" w:hAnsi="Arial" w:cs="Arial"/>
        </w:rPr>
      </w:pPr>
      <w:r>
        <w:rPr>
          <w:rFonts w:ascii="Arial" w:eastAsiaTheme="minorHAnsi" w:hAnsi="Arial" w:cs="Arial"/>
        </w:rPr>
        <w:t>innovative</w:t>
      </w:r>
      <w:r w:rsidR="0043577F">
        <w:rPr>
          <w:rFonts w:ascii="Arial" w:eastAsiaTheme="minorHAnsi" w:hAnsi="Arial" w:cs="Arial"/>
        </w:rPr>
        <w:t>;</w:t>
      </w:r>
    </w:p>
    <w:p w:rsidR="00DC06B1" w:rsidRPr="00CC7618" w:rsidRDefault="00DC06B1" w:rsidP="00000EA3">
      <w:pPr>
        <w:pStyle w:val="ListParagraph"/>
        <w:numPr>
          <w:ilvl w:val="0"/>
          <w:numId w:val="13"/>
        </w:numPr>
        <w:spacing w:before="120" w:after="120" w:line="360" w:lineRule="auto"/>
        <w:rPr>
          <w:rFonts w:ascii="Arial" w:eastAsiaTheme="minorHAnsi" w:hAnsi="Arial" w:cs="Arial"/>
        </w:rPr>
      </w:pPr>
      <w:r w:rsidRPr="00CC7618">
        <w:rPr>
          <w:rFonts w:ascii="Arial" w:eastAsiaTheme="minorHAnsi" w:hAnsi="Arial" w:cs="Arial"/>
        </w:rPr>
        <w:t xml:space="preserve">based on Public Health Outcomes Framework </w:t>
      </w:r>
      <w:r>
        <w:rPr>
          <w:rFonts w:ascii="Arial" w:eastAsiaTheme="minorHAnsi" w:hAnsi="Arial" w:cs="Arial"/>
        </w:rPr>
        <w:t xml:space="preserve">(PHOF) </w:t>
      </w:r>
      <w:r w:rsidR="0043577F">
        <w:rPr>
          <w:rFonts w:ascii="Arial" w:eastAsiaTheme="minorHAnsi" w:hAnsi="Arial" w:cs="Arial"/>
        </w:rPr>
        <w:t>i</w:t>
      </w:r>
      <w:r w:rsidRPr="00CC7618">
        <w:rPr>
          <w:rFonts w:ascii="Arial" w:eastAsiaTheme="minorHAnsi" w:hAnsi="Arial" w:cs="Arial"/>
        </w:rPr>
        <w:t>ndicators</w:t>
      </w:r>
      <w:r w:rsidR="0043577F">
        <w:rPr>
          <w:rFonts w:ascii="Arial" w:eastAsiaTheme="minorHAnsi" w:hAnsi="Arial" w:cs="Arial"/>
        </w:rPr>
        <w:t>;</w:t>
      </w:r>
    </w:p>
    <w:p w:rsidR="00DC06B1" w:rsidRPr="00CC7618" w:rsidRDefault="00DC06B1" w:rsidP="00000EA3">
      <w:pPr>
        <w:pStyle w:val="ListParagraph"/>
        <w:numPr>
          <w:ilvl w:val="0"/>
          <w:numId w:val="13"/>
        </w:numPr>
        <w:spacing w:before="120" w:after="120" w:line="360" w:lineRule="auto"/>
        <w:rPr>
          <w:rFonts w:ascii="Arial" w:eastAsiaTheme="minorHAnsi" w:hAnsi="Arial" w:cs="Arial"/>
        </w:rPr>
      </w:pPr>
      <w:r w:rsidRPr="00CC7618">
        <w:rPr>
          <w:rFonts w:ascii="Arial" w:eastAsiaTheme="minorHAnsi" w:hAnsi="Arial" w:cs="Arial"/>
        </w:rPr>
        <w:t>have national indicators set by the Government, supplemented by locally chosen indicators</w:t>
      </w:r>
      <w:r w:rsidR="0043577F">
        <w:rPr>
          <w:rFonts w:ascii="Arial" w:eastAsiaTheme="minorHAnsi" w:hAnsi="Arial" w:cs="Arial"/>
        </w:rPr>
        <w:t>;</w:t>
      </w:r>
    </w:p>
    <w:p w:rsidR="00DC06B1" w:rsidRPr="00CC7618" w:rsidRDefault="00DC06B1" w:rsidP="00000EA3">
      <w:pPr>
        <w:pStyle w:val="ListParagraph"/>
        <w:numPr>
          <w:ilvl w:val="0"/>
          <w:numId w:val="13"/>
        </w:numPr>
        <w:spacing w:before="120" w:after="120" w:line="360" w:lineRule="auto"/>
        <w:rPr>
          <w:rFonts w:ascii="Arial" w:eastAsiaTheme="minorHAnsi" w:hAnsi="Arial" w:cs="Arial"/>
        </w:rPr>
      </w:pPr>
      <w:r w:rsidRPr="00CC7618">
        <w:rPr>
          <w:rFonts w:ascii="Arial" w:eastAsiaTheme="minorHAnsi" w:hAnsi="Arial" w:cs="Arial"/>
        </w:rPr>
        <w:t>be weighted to areas facing the greatest challenges</w:t>
      </w:r>
      <w:r w:rsidR="0043577F">
        <w:rPr>
          <w:rFonts w:ascii="Arial" w:eastAsiaTheme="minorHAnsi" w:hAnsi="Arial" w:cs="Arial"/>
        </w:rPr>
        <w:t>;</w:t>
      </w:r>
    </w:p>
    <w:p w:rsidR="00DC06B1" w:rsidRPr="00CC7618" w:rsidRDefault="00DC06B1" w:rsidP="00000EA3">
      <w:pPr>
        <w:pStyle w:val="ListParagraph"/>
        <w:numPr>
          <w:ilvl w:val="0"/>
          <w:numId w:val="13"/>
        </w:numPr>
        <w:spacing w:before="120" w:after="120" w:line="360" w:lineRule="auto"/>
        <w:rPr>
          <w:rFonts w:ascii="Arial" w:eastAsiaTheme="minorHAnsi" w:hAnsi="Arial" w:cs="Arial"/>
        </w:rPr>
      </w:pPr>
      <w:r w:rsidRPr="00CC7618">
        <w:rPr>
          <w:rFonts w:ascii="Arial" w:eastAsiaTheme="minorHAnsi" w:hAnsi="Arial" w:cs="Arial"/>
        </w:rPr>
        <w:t>be formula driven to minimise bureaucracy and maximise transparency</w:t>
      </w:r>
      <w:r w:rsidR="0043577F">
        <w:rPr>
          <w:rFonts w:ascii="Arial" w:eastAsiaTheme="minorHAnsi" w:hAnsi="Arial" w:cs="Arial"/>
        </w:rPr>
        <w:t>;</w:t>
      </w:r>
      <w:r w:rsidR="00E10168">
        <w:rPr>
          <w:rFonts w:ascii="Arial" w:eastAsiaTheme="minorHAnsi" w:hAnsi="Arial" w:cs="Arial"/>
        </w:rPr>
        <w:t xml:space="preserve"> and</w:t>
      </w:r>
    </w:p>
    <w:p w:rsidR="00DC06B1" w:rsidRDefault="00DC06B1" w:rsidP="00000EA3">
      <w:pPr>
        <w:pStyle w:val="ListParagraph"/>
        <w:numPr>
          <w:ilvl w:val="0"/>
          <w:numId w:val="13"/>
        </w:numPr>
        <w:spacing w:before="120" w:after="120" w:line="360" w:lineRule="auto"/>
        <w:rPr>
          <w:rFonts w:ascii="Arial" w:eastAsiaTheme="minorHAnsi" w:hAnsi="Arial" w:cs="Arial"/>
        </w:rPr>
      </w:pPr>
      <w:proofErr w:type="gramStart"/>
      <w:r w:rsidRPr="00CC7618">
        <w:rPr>
          <w:rFonts w:ascii="Arial" w:eastAsiaTheme="minorHAnsi" w:hAnsi="Arial" w:cs="Arial"/>
        </w:rPr>
        <w:t>be</w:t>
      </w:r>
      <w:proofErr w:type="gramEnd"/>
      <w:r w:rsidRPr="00CC7618">
        <w:rPr>
          <w:rFonts w:ascii="Arial" w:eastAsiaTheme="minorHAnsi" w:hAnsi="Arial" w:cs="Arial"/>
        </w:rPr>
        <w:t xml:space="preserve"> </w:t>
      </w:r>
      <w:r w:rsidRPr="00382180">
        <w:rPr>
          <w:rFonts w:ascii="Arial" w:eastAsiaTheme="minorHAnsi" w:hAnsi="Arial" w:cs="Arial"/>
        </w:rPr>
        <w:t>introduced from 2014-15, with the first payments being made in 2015/16, reflecting improvements made</w:t>
      </w:r>
      <w:r w:rsidR="00AB00D4">
        <w:rPr>
          <w:rFonts w:ascii="Arial" w:eastAsiaTheme="minorHAnsi" w:hAnsi="Arial" w:cs="Arial"/>
        </w:rPr>
        <w:t xml:space="preserve"> in 2014/15</w:t>
      </w:r>
      <w:r w:rsidR="00E10168">
        <w:rPr>
          <w:rFonts w:ascii="Arial" w:eastAsiaTheme="minorHAnsi" w:hAnsi="Arial" w:cs="Arial"/>
        </w:rPr>
        <w:t>.</w:t>
      </w:r>
    </w:p>
    <w:p w:rsidR="00C06A12" w:rsidRPr="00382180" w:rsidRDefault="00C06A12" w:rsidP="00C06A12">
      <w:pPr>
        <w:pStyle w:val="ListParagraph"/>
        <w:spacing w:before="120" w:after="120" w:line="360" w:lineRule="auto"/>
        <w:ind w:left="0"/>
        <w:rPr>
          <w:rFonts w:ascii="Arial" w:eastAsiaTheme="minorHAnsi" w:hAnsi="Arial" w:cs="Arial"/>
        </w:rPr>
      </w:pPr>
    </w:p>
    <w:p w:rsidR="00AC1F95" w:rsidRPr="001B0C86" w:rsidRDefault="00AC1F95" w:rsidP="00000EA3">
      <w:pPr>
        <w:pStyle w:val="ListParagraph"/>
        <w:numPr>
          <w:ilvl w:val="1"/>
          <w:numId w:val="12"/>
        </w:numPr>
        <w:ind w:left="709" w:hanging="709"/>
        <w:rPr>
          <w:rFonts w:ascii="Arial" w:hAnsi="Arial" w:cs="Arial"/>
        </w:rPr>
      </w:pPr>
      <w:r w:rsidRPr="001B0C86">
        <w:rPr>
          <w:rFonts w:ascii="Arial" w:eastAsiaTheme="minorHAnsi" w:hAnsi="Arial" w:cs="Arial"/>
        </w:rPr>
        <w:t>It would be inappropriate to pay an incentive if there is clear evidence that</w:t>
      </w:r>
      <w:r w:rsidR="005165E2" w:rsidRPr="001B0C86">
        <w:rPr>
          <w:rFonts w:ascii="Arial" w:eastAsiaTheme="minorHAnsi" w:hAnsi="Arial" w:cs="Arial"/>
        </w:rPr>
        <w:t xml:space="preserve"> a</w:t>
      </w:r>
      <w:r w:rsidRPr="001B0C86">
        <w:rPr>
          <w:rFonts w:ascii="Arial" w:eastAsiaTheme="minorHAnsi" w:hAnsi="Arial" w:cs="Arial"/>
        </w:rPr>
        <w:t xml:space="preserve"> </w:t>
      </w:r>
      <w:r w:rsidR="00C06A12" w:rsidRPr="001B0C86">
        <w:rPr>
          <w:rFonts w:ascii="Arial" w:eastAsiaTheme="minorHAnsi" w:hAnsi="Arial" w:cs="Arial"/>
        </w:rPr>
        <w:t xml:space="preserve">local </w:t>
      </w:r>
      <w:r w:rsidR="00D25B8C" w:rsidRPr="001B0C86">
        <w:rPr>
          <w:rFonts w:ascii="Arial" w:eastAsiaTheme="minorHAnsi" w:hAnsi="Arial" w:cs="Arial"/>
        </w:rPr>
        <w:t>authority is</w:t>
      </w:r>
      <w:r w:rsidR="005165E2" w:rsidRPr="001B0C86">
        <w:rPr>
          <w:rFonts w:ascii="Arial" w:eastAsiaTheme="minorHAnsi" w:hAnsi="Arial" w:cs="Arial"/>
        </w:rPr>
        <w:t xml:space="preserve"> </w:t>
      </w:r>
      <w:r w:rsidR="00D64D99" w:rsidRPr="001B0C86">
        <w:rPr>
          <w:rFonts w:ascii="Arial" w:eastAsiaTheme="minorHAnsi" w:hAnsi="Arial" w:cs="Arial"/>
        </w:rPr>
        <w:t xml:space="preserve">not meeting </w:t>
      </w:r>
      <w:r w:rsidR="005165E2" w:rsidRPr="001B0C86">
        <w:rPr>
          <w:rFonts w:ascii="Arial" w:eastAsiaTheme="minorHAnsi" w:hAnsi="Arial" w:cs="Arial"/>
        </w:rPr>
        <w:t xml:space="preserve">the public health ring fenced grant conditions. </w:t>
      </w:r>
    </w:p>
    <w:p w:rsidR="00D25B8C" w:rsidRPr="00D25B8C" w:rsidRDefault="00D25B8C" w:rsidP="00D25B8C">
      <w:pPr>
        <w:pStyle w:val="ListParagraph"/>
        <w:ind w:left="0"/>
        <w:rPr>
          <w:rFonts w:ascii="Arial" w:hAnsi="Arial" w:cs="Arial"/>
        </w:rPr>
      </w:pPr>
    </w:p>
    <w:p w:rsidR="001755CB" w:rsidRPr="00382180" w:rsidRDefault="002866F0" w:rsidP="00000EA3">
      <w:pPr>
        <w:pStyle w:val="ListParagraph"/>
        <w:numPr>
          <w:ilvl w:val="1"/>
          <w:numId w:val="12"/>
        </w:numPr>
        <w:ind w:left="709" w:hanging="709"/>
        <w:rPr>
          <w:rFonts w:ascii="Arial" w:hAnsi="Arial" w:cs="Arial"/>
        </w:rPr>
      </w:pPr>
      <w:r w:rsidRPr="00382180">
        <w:rPr>
          <w:rFonts w:ascii="Arial" w:hAnsi="Arial" w:cs="Arial"/>
        </w:rPr>
        <w:t>ACRA was</w:t>
      </w:r>
      <w:r w:rsidR="0043577F" w:rsidRPr="00382180">
        <w:rPr>
          <w:rFonts w:ascii="Arial" w:hAnsi="Arial" w:cs="Arial"/>
        </w:rPr>
        <w:t xml:space="preserve"> commissioned </w:t>
      </w:r>
      <w:r w:rsidR="00D17327" w:rsidRPr="00382180">
        <w:rPr>
          <w:rFonts w:ascii="Arial" w:hAnsi="Arial" w:cs="Arial"/>
        </w:rPr>
        <w:t xml:space="preserve">to </w:t>
      </w:r>
      <w:r w:rsidRPr="00382180">
        <w:rPr>
          <w:rFonts w:ascii="Arial" w:hAnsi="Arial" w:cs="Arial"/>
        </w:rPr>
        <w:t xml:space="preserve">make detailed recommendations about how the </w:t>
      </w:r>
      <w:r w:rsidR="0020686E">
        <w:rPr>
          <w:rFonts w:ascii="Arial" w:hAnsi="Arial" w:cs="Arial"/>
        </w:rPr>
        <w:t xml:space="preserve">scheme should operate. </w:t>
      </w:r>
      <w:r w:rsidR="00E10168">
        <w:rPr>
          <w:rFonts w:ascii="Arial" w:hAnsi="Arial" w:cs="Arial"/>
        </w:rPr>
        <w:t xml:space="preserve"> </w:t>
      </w:r>
      <w:r w:rsidR="0046762D" w:rsidRPr="00382180">
        <w:rPr>
          <w:rFonts w:ascii="Arial" w:hAnsi="Arial" w:cs="Arial"/>
        </w:rPr>
        <w:t>We believe that independent advice of this kind is critical in providing the basis</w:t>
      </w:r>
      <w:r w:rsidR="0020686E">
        <w:rPr>
          <w:rFonts w:ascii="Arial" w:hAnsi="Arial" w:cs="Arial"/>
        </w:rPr>
        <w:t xml:space="preserve"> of a formula driven approach. </w:t>
      </w:r>
      <w:r w:rsidR="00E10168">
        <w:rPr>
          <w:rFonts w:ascii="Arial" w:hAnsi="Arial" w:cs="Arial"/>
        </w:rPr>
        <w:t xml:space="preserve"> </w:t>
      </w:r>
      <w:r w:rsidR="0046762D" w:rsidRPr="00382180">
        <w:rPr>
          <w:rFonts w:ascii="Arial" w:hAnsi="Arial" w:cs="Arial"/>
        </w:rPr>
        <w:t xml:space="preserve">ACRA established a </w:t>
      </w:r>
      <w:r w:rsidR="001755CB" w:rsidRPr="00382180">
        <w:rPr>
          <w:rFonts w:ascii="Arial" w:hAnsi="Arial" w:cs="Arial"/>
        </w:rPr>
        <w:t xml:space="preserve">technical </w:t>
      </w:r>
      <w:r w:rsidR="0046762D" w:rsidRPr="00382180">
        <w:rPr>
          <w:rFonts w:ascii="Arial" w:hAnsi="Arial" w:cs="Arial"/>
        </w:rPr>
        <w:t>sub group</w:t>
      </w:r>
      <w:r w:rsidR="00FC52F5" w:rsidRPr="00382180">
        <w:rPr>
          <w:rFonts w:ascii="Arial" w:hAnsi="Arial" w:cs="Arial"/>
        </w:rPr>
        <w:t xml:space="preserve"> </w:t>
      </w:r>
      <w:r w:rsidR="001755CB" w:rsidRPr="00382180">
        <w:rPr>
          <w:rFonts w:ascii="Arial" w:hAnsi="Arial" w:cs="Arial"/>
        </w:rPr>
        <w:t xml:space="preserve">with a broad range of public health and local authority finance </w:t>
      </w:r>
      <w:proofErr w:type="gramStart"/>
      <w:r w:rsidR="0020686E" w:rsidRPr="00382180">
        <w:rPr>
          <w:rFonts w:ascii="Arial" w:hAnsi="Arial" w:cs="Arial"/>
        </w:rPr>
        <w:t>expertise</w:t>
      </w:r>
      <w:r w:rsidR="009570C6">
        <w:rPr>
          <w:rFonts w:ascii="Arial" w:hAnsi="Arial" w:cs="Arial"/>
        </w:rPr>
        <w:t>,</w:t>
      </w:r>
      <w:proofErr w:type="gramEnd"/>
      <w:r w:rsidR="00FC52F5" w:rsidRPr="00382180">
        <w:rPr>
          <w:rFonts w:ascii="Arial" w:hAnsi="Arial" w:cs="Arial"/>
        </w:rPr>
        <w:t xml:space="preserve"> the Health Premium Independent Advisory group (HPIAG), </w:t>
      </w:r>
      <w:r w:rsidR="0046762D" w:rsidRPr="00382180">
        <w:rPr>
          <w:rFonts w:ascii="Arial" w:hAnsi="Arial" w:cs="Arial"/>
        </w:rPr>
        <w:t>to examine this specific question</w:t>
      </w:r>
      <w:r w:rsidR="001755CB" w:rsidRPr="00382180">
        <w:rPr>
          <w:rFonts w:ascii="Arial" w:hAnsi="Arial" w:cs="Arial"/>
        </w:rPr>
        <w:t xml:space="preserve"> and they ultimately adopted their report</w:t>
      </w:r>
      <w:r w:rsidR="004A3A2B">
        <w:rPr>
          <w:rStyle w:val="FootnoteReference"/>
          <w:rFonts w:ascii="Arial" w:hAnsi="Arial" w:cs="Arial"/>
        </w:rPr>
        <w:footnoteReference w:id="7"/>
      </w:r>
      <w:r w:rsidR="004A3A2B">
        <w:rPr>
          <w:rFonts w:ascii="Arial" w:hAnsi="Arial" w:cs="Arial"/>
        </w:rPr>
        <w:t>.</w:t>
      </w:r>
    </w:p>
    <w:p w:rsidR="00FC52F5" w:rsidRPr="00382180" w:rsidRDefault="00FC52F5" w:rsidP="00FC52F5">
      <w:pPr>
        <w:pStyle w:val="ListParagraph"/>
        <w:ind w:left="0"/>
        <w:rPr>
          <w:rFonts w:ascii="Arial" w:hAnsi="Arial" w:cs="Arial"/>
        </w:rPr>
      </w:pPr>
    </w:p>
    <w:p w:rsidR="009C7E8D" w:rsidRPr="005847B9" w:rsidRDefault="00615658" w:rsidP="00000EA3">
      <w:pPr>
        <w:pStyle w:val="ListParagraph"/>
        <w:numPr>
          <w:ilvl w:val="1"/>
          <w:numId w:val="12"/>
        </w:numPr>
        <w:spacing w:before="120" w:after="120"/>
        <w:contextualSpacing w:val="0"/>
        <w:rPr>
          <w:rFonts w:ascii="Arial" w:hAnsi="Arial" w:cs="Arial"/>
        </w:rPr>
      </w:pPr>
      <w:r>
        <w:rPr>
          <w:rFonts w:ascii="Arial" w:hAnsi="Arial" w:cs="Arial"/>
        </w:rPr>
        <w:lastRenderedPageBreak/>
        <w:tab/>
      </w:r>
      <w:r w:rsidR="00FC52F5" w:rsidRPr="005847B9">
        <w:rPr>
          <w:rFonts w:ascii="Arial" w:hAnsi="Arial" w:cs="Arial"/>
        </w:rPr>
        <w:t>In summary, HPIAG recommended that:</w:t>
      </w:r>
      <w:r w:rsidR="00BF74C4" w:rsidRPr="005847B9">
        <w:rPr>
          <w:rFonts w:ascii="Arial" w:hAnsi="Arial" w:cs="Arial"/>
        </w:rPr>
        <w:t xml:space="preserve"> </w:t>
      </w:r>
    </w:p>
    <w:p w:rsidR="00130C87" w:rsidRDefault="00130C87" w:rsidP="00130C87">
      <w:pPr>
        <w:pStyle w:val="ListParagraph"/>
        <w:ind w:left="0"/>
        <w:rPr>
          <w:rFonts w:ascii="Arial" w:hAnsi="Arial" w:cs="Arial"/>
        </w:rPr>
      </w:pPr>
    </w:p>
    <w:p w:rsidR="00FC52F5" w:rsidRPr="00130C87" w:rsidRDefault="006F7A11" w:rsidP="00000EA3">
      <w:pPr>
        <w:pStyle w:val="ListParagraph"/>
        <w:numPr>
          <w:ilvl w:val="0"/>
          <w:numId w:val="14"/>
        </w:numPr>
        <w:ind w:left="1080"/>
        <w:rPr>
          <w:rFonts w:ascii="Arial" w:hAnsi="Arial" w:cs="Arial"/>
        </w:rPr>
      </w:pPr>
      <w:r w:rsidRPr="00130C87">
        <w:rPr>
          <w:rFonts w:ascii="Arial" w:hAnsi="Arial" w:cs="Arial"/>
        </w:rPr>
        <w:t>Fifty-one</w:t>
      </w:r>
      <w:r w:rsidR="00FC52F5" w:rsidRPr="00130C87">
        <w:rPr>
          <w:rFonts w:ascii="Arial" w:hAnsi="Arial" w:cs="Arial"/>
        </w:rPr>
        <w:t xml:space="preserve"> PHOF indicators or sub-indicators </w:t>
      </w:r>
      <w:r w:rsidR="0064345A" w:rsidRPr="00130C87">
        <w:rPr>
          <w:rFonts w:ascii="Arial" w:hAnsi="Arial" w:cs="Arial"/>
        </w:rPr>
        <w:t>were</w:t>
      </w:r>
      <w:r w:rsidR="00FC52F5" w:rsidRPr="00130C87">
        <w:rPr>
          <w:rFonts w:ascii="Arial" w:hAnsi="Arial" w:cs="Arial"/>
        </w:rPr>
        <w:t xml:space="preserve"> deemed suitable for use as part of the incentive scheme, based on a set of criteria</w:t>
      </w:r>
      <w:r w:rsidR="00E10168">
        <w:rPr>
          <w:rFonts w:ascii="Arial" w:hAnsi="Arial" w:cs="Arial"/>
        </w:rPr>
        <w:t>;</w:t>
      </w:r>
    </w:p>
    <w:p w:rsidR="00130C87" w:rsidRDefault="00130C87" w:rsidP="00615658">
      <w:pPr>
        <w:pStyle w:val="ListParagraph"/>
        <w:ind w:left="360"/>
        <w:rPr>
          <w:rFonts w:ascii="Arial" w:hAnsi="Arial" w:cs="Arial"/>
        </w:rPr>
      </w:pPr>
    </w:p>
    <w:p w:rsidR="00FC52F5" w:rsidRPr="00130C87" w:rsidRDefault="00FC52F5" w:rsidP="00000EA3">
      <w:pPr>
        <w:pStyle w:val="ListParagraph"/>
        <w:numPr>
          <w:ilvl w:val="0"/>
          <w:numId w:val="14"/>
        </w:numPr>
        <w:ind w:left="1080"/>
        <w:rPr>
          <w:rFonts w:ascii="Arial" w:hAnsi="Arial" w:cs="Arial"/>
        </w:rPr>
      </w:pPr>
      <w:r w:rsidRPr="00130C87">
        <w:rPr>
          <w:rFonts w:ascii="Arial" w:hAnsi="Arial" w:cs="Arial"/>
        </w:rPr>
        <w:t>Notwithstanding technical difficulties with measuring progress on smoking</w:t>
      </w:r>
      <w:r w:rsidR="009570C6" w:rsidRPr="00130C87">
        <w:rPr>
          <w:rFonts w:ascii="Arial" w:hAnsi="Arial" w:cs="Arial"/>
        </w:rPr>
        <w:t>, alcohol</w:t>
      </w:r>
      <w:r w:rsidRPr="00130C87">
        <w:rPr>
          <w:rFonts w:ascii="Arial" w:hAnsi="Arial" w:cs="Arial"/>
        </w:rPr>
        <w:t xml:space="preserve"> and substance misuse, any credible scheme should have the potential to include indicators relating to these areas</w:t>
      </w:r>
      <w:r w:rsidR="00E10168">
        <w:rPr>
          <w:rFonts w:ascii="Arial" w:hAnsi="Arial" w:cs="Arial"/>
        </w:rPr>
        <w:t>;</w:t>
      </w:r>
    </w:p>
    <w:p w:rsidR="00130C87" w:rsidRDefault="00130C87" w:rsidP="00615658">
      <w:pPr>
        <w:pStyle w:val="Default"/>
        <w:spacing w:before="120" w:after="120"/>
        <w:ind w:left="360"/>
        <w:rPr>
          <w:rFonts w:ascii="Arial" w:hAnsi="Arial" w:cs="Arial"/>
        </w:rPr>
      </w:pPr>
    </w:p>
    <w:p w:rsidR="00FC52F5" w:rsidRPr="00130C87" w:rsidRDefault="00FC52F5" w:rsidP="00000EA3">
      <w:pPr>
        <w:pStyle w:val="Default"/>
        <w:numPr>
          <w:ilvl w:val="0"/>
          <w:numId w:val="14"/>
        </w:numPr>
        <w:spacing w:before="120" w:after="120"/>
        <w:ind w:left="1080"/>
        <w:rPr>
          <w:rFonts w:ascii="Arial" w:hAnsi="Arial" w:cs="Arial"/>
        </w:rPr>
      </w:pPr>
      <w:r w:rsidRPr="00130C87">
        <w:rPr>
          <w:rFonts w:ascii="Arial" w:hAnsi="Arial" w:cs="Arial"/>
        </w:rPr>
        <w:t>Alongside nationally set indicators, local authorities should have the flexibility to select a small number of indicators from those meeting the criteria</w:t>
      </w:r>
      <w:r w:rsidR="009570C6" w:rsidRPr="00130C87">
        <w:rPr>
          <w:rFonts w:ascii="Arial" w:hAnsi="Arial" w:cs="Arial"/>
        </w:rPr>
        <w:t>,</w:t>
      </w:r>
      <w:r w:rsidRPr="00130C87">
        <w:rPr>
          <w:rFonts w:ascii="Arial" w:hAnsi="Arial" w:cs="Arial"/>
        </w:rPr>
        <w:t xml:space="preserve"> </w:t>
      </w:r>
      <w:r w:rsidR="0064345A" w:rsidRPr="00130C87">
        <w:rPr>
          <w:rFonts w:ascii="Arial" w:hAnsi="Arial" w:cs="Arial"/>
        </w:rPr>
        <w:t xml:space="preserve">different to that </w:t>
      </w:r>
      <w:r w:rsidR="00E10168">
        <w:rPr>
          <w:rFonts w:ascii="Arial" w:hAnsi="Arial" w:cs="Arial"/>
        </w:rPr>
        <w:t>selected nationally;</w:t>
      </w:r>
      <w:r w:rsidRPr="00130C87">
        <w:rPr>
          <w:rFonts w:ascii="Arial" w:hAnsi="Arial" w:cs="Arial"/>
        </w:rPr>
        <w:t xml:space="preserve"> </w:t>
      </w:r>
    </w:p>
    <w:p w:rsidR="00130C87" w:rsidRDefault="00130C87" w:rsidP="00615658">
      <w:pPr>
        <w:pStyle w:val="ListParagraph"/>
        <w:ind w:left="360"/>
        <w:rPr>
          <w:rFonts w:ascii="Arial" w:hAnsi="Arial" w:cs="Arial"/>
        </w:rPr>
      </w:pPr>
    </w:p>
    <w:p w:rsidR="00FC52F5" w:rsidRPr="00130C87" w:rsidRDefault="00FC52F5" w:rsidP="00000EA3">
      <w:pPr>
        <w:pStyle w:val="ListParagraph"/>
        <w:numPr>
          <w:ilvl w:val="0"/>
          <w:numId w:val="14"/>
        </w:numPr>
        <w:ind w:left="1080"/>
        <w:rPr>
          <w:rFonts w:ascii="Arial" w:hAnsi="Arial" w:cs="Arial"/>
        </w:rPr>
      </w:pPr>
      <w:r w:rsidRPr="00130C87">
        <w:rPr>
          <w:rFonts w:ascii="Arial" w:hAnsi="Arial" w:cs="Arial"/>
        </w:rPr>
        <w:t>Local authorities should have further local flexibility to select locally relevant indicators, provided they could demonstrate they were suitably robust</w:t>
      </w:r>
      <w:r w:rsidR="00E10168">
        <w:rPr>
          <w:rFonts w:ascii="Arial" w:hAnsi="Arial" w:cs="Arial"/>
        </w:rPr>
        <w:t>;</w:t>
      </w:r>
      <w:r w:rsidRPr="00130C87">
        <w:rPr>
          <w:rFonts w:ascii="Arial" w:hAnsi="Arial" w:cs="Arial"/>
        </w:rPr>
        <w:t xml:space="preserve"> </w:t>
      </w:r>
    </w:p>
    <w:p w:rsidR="00130C87" w:rsidRDefault="00130C87" w:rsidP="00615658">
      <w:pPr>
        <w:pStyle w:val="ListParagraph"/>
        <w:ind w:left="360"/>
        <w:rPr>
          <w:rFonts w:ascii="Arial" w:hAnsi="Arial" w:cs="Arial"/>
        </w:rPr>
      </w:pPr>
    </w:p>
    <w:p w:rsidR="00FC52F5" w:rsidRPr="00130C87" w:rsidRDefault="006F7A11" w:rsidP="00000EA3">
      <w:pPr>
        <w:pStyle w:val="ListParagraph"/>
        <w:numPr>
          <w:ilvl w:val="0"/>
          <w:numId w:val="14"/>
        </w:numPr>
        <w:ind w:left="1080"/>
        <w:rPr>
          <w:rFonts w:ascii="Arial" w:hAnsi="Arial" w:cs="Arial"/>
        </w:rPr>
      </w:pPr>
      <w:r w:rsidRPr="00130C87">
        <w:rPr>
          <w:rFonts w:ascii="Arial" w:hAnsi="Arial" w:cs="Arial"/>
        </w:rPr>
        <w:t>T</w:t>
      </w:r>
      <w:r w:rsidR="00FC52F5" w:rsidRPr="00130C87">
        <w:rPr>
          <w:rFonts w:ascii="Arial" w:hAnsi="Arial" w:cs="Arial"/>
        </w:rPr>
        <w:t>he health premium incentive was not the right mechanism for promoting innovation</w:t>
      </w:r>
      <w:r w:rsidR="00E10168">
        <w:rPr>
          <w:rFonts w:ascii="Arial" w:hAnsi="Arial" w:cs="Arial"/>
        </w:rPr>
        <w:t>;</w:t>
      </w:r>
    </w:p>
    <w:p w:rsidR="00130C87" w:rsidRDefault="00130C87" w:rsidP="00615658">
      <w:pPr>
        <w:pStyle w:val="ListParagraph"/>
        <w:ind w:left="360"/>
        <w:rPr>
          <w:rFonts w:ascii="Arial" w:hAnsi="Arial" w:cs="Arial"/>
        </w:rPr>
      </w:pPr>
    </w:p>
    <w:p w:rsidR="00382180" w:rsidRPr="00130C87" w:rsidRDefault="00382180" w:rsidP="00000EA3">
      <w:pPr>
        <w:pStyle w:val="ListParagraph"/>
        <w:numPr>
          <w:ilvl w:val="0"/>
          <w:numId w:val="14"/>
        </w:numPr>
        <w:ind w:left="1080"/>
        <w:rPr>
          <w:rFonts w:ascii="Arial" w:hAnsi="Arial" w:cs="Arial"/>
        </w:rPr>
      </w:pPr>
      <w:r w:rsidRPr="00130C87">
        <w:rPr>
          <w:rFonts w:ascii="Arial" w:hAnsi="Arial" w:cs="Arial"/>
        </w:rPr>
        <w:t xml:space="preserve">Progress should be considered to have been made if a threshold is </w:t>
      </w:r>
      <w:r w:rsidR="0064345A" w:rsidRPr="00130C87">
        <w:rPr>
          <w:rFonts w:ascii="Arial" w:hAnsi="Arial" w:cs="Arial"/>
        </w:rPr>
        <w:t>met</w:t>
      </w:r>
      <w:r w:rsidRPr="00130C87">
        <w:rPr>
          <w:rFonts w:ascii="Arial" w:hAnsi="Arial" w:cs="Arial"/>
        </w:rPr>
        <w:t>.</w:t>
      </w:r>
      <w:r w:rsidR="00E10168">
        <w:rPr>
          <w:rFonts w:ascii="Arial" w:hAnsi="Arial" w:cs="Arial"/>
        </w:rPr>
        <w:t xml:space="preserve"> </w:t>
      </w:r>
      <w:r w:rsidRPr="00130C87">
        <w:rPr>
          <w:rFonts w:ascii="Arial" w:hAnsi="Arial" w:cs="Arial"/>
        </w:rPr>
        <w:t xml:space="preserve"> Ideally this would be set at a statistically significant level, but this might not always be possible</w:t>
      </w:r>
      <w:r w:rsidR="00E10168">
        <w:rPr>
          <w:rFonts w:ascii="Arial" w:hAnsi="Arial" w:cs="Arial"/>
        </w:rPr>
        <w:t>;</w:t>
      </w:r>
    </w:p>
    <w:p w:rsidR="00130C87" w:rsidRDefault="00130C87" w:rsidP="00615658">
      <w:pPr>
        <w:pStyle w:val="ListParagraph"/>
        <w:ind w:left="360"/>
        <w:rPr>
          <w:rFonts w:ascii="Arial" w:hAnsi="Arial" w:cs="Arial"/>
        </w:rPr>
      </w:pPr>
    </w:p>
    <w:p w:rsidR="00FC52F5" w:rsidRPr="00130C87" w:rsidRDefault="00382180" w:rsidP="00000EA3">
      <w:pPr>
        <w:pStyle w:val="ListParagraph"/>
        <w:numPr>
          <w:ilvl w:val="0"/>
          <w:numId w:val="14"/>
        </w:numPr>
        <w:ind w:left="1080"/>
        <w:rPr>
          <w:rFonts w:ascii="Arial" w:hAnsi="Arial" w:cs="Arial"/>
        </w:rPr>
      </w:pPr>
      <w:r w:rsidRPr="00130C87">
        <w:rPr>
          <w:rFonts w:ascii="Arial" w:hAnsi="Arial" w:cs="Arial"/>
        </w:rPr>
        <w:t xml:space="preserve">Local authorities </w:t>
      </w:r>
      <w:r w:rsidR="00410E3C" w:rsidRPr="00130C87">
        <w:rPr>
          <w:rFonts w:ascii="Arial" w:hAnsi="Arial" w:cs="Arial"/>
        </w:rPr>
        <w:t xml:space="preserve">should seek </w:t>
      </w:r>
      <w:r w:rsidRPr="00130C87">
        <w:rPr>
          <w:rFonts w:ascii="Arial" w:hAnsi="Arial" w:cs="Arial"/>
        </w:rPr>
        <w:t>to incentivise the r</w:t>
      </w:r>
      <w:r w:rsidR="00E10168">
        <w:rPr>
          <w:rFonts w:ascii="Arial" w:hAnsi="Arial" w:cs="Arial"/>
        </w:rPr>
        <w:t>eduction in health inequalities;</w:t>
      </w:r>
    </w:p>
    <w:p w:rsidR="00130C87" w:rsidRDefault="00130C87" w:rsidP="00615658">
      <w:pPr>
        <w:pStyle w:val="ListParagraph"/>
        <w:ind w:left="360"/>
        <w:rPr>
          <w:rFonts w:ascii="Arial" w:hAnsi="Arial" w:cs="Arial"/>
        </w:rPr>
      </w:pPr>
    </w:p>
    <w:p w:rsidR="00382180" w:rsidRPr="00130C87" w:rsidRDefault="00662038" w:rsidP="00000EA3">
      <w:pPr>
        <w:pStyle w:val="ListParagraph"/>
        <w:numPr>
          <w:ilvl w:val="0"/>
          <w:numId w:val="14"/>
        </w:numPr>
        <w:ind w:left="1080"/>
        <w:rPr>
          <w:rFonts w:ascii="Arial" w:hAnsi="Arial" w:cs="Arial"/>
        </w:rPr>
      </w:pPr>
      <w:r w:rsidRPr="00130C87">
        <w:rPr>
          <w:rFonts w:ascii="Arial" w:hAnsi="Arial" w:cs="Arial"/>
        </w:rPr>
        <w:t>I</w:t>
      </w:r>
      <w:r w:rsidR="00382180" w:rsidRPr="00130C87">
        <w:rPr>
          <w:rFonts w:ascii="Arial" w:hAnsi="Arial" w:cs="Arial"/>
        </w:rPr>
        <w:t xml:space="preserve">ndicators </w:t>
      </w:r>
      <w:r w:rsidR="00410E3C" w:rsidRPr="00130C87">
        <w:rPr>
          <w:rFonts w:ascii="Arial" w:hAnsi="Arial" w:cs="Arial"/>
        </w:rPr>
        <w:t xml:space="preserve">chosen </w:t>
      </w:r>
      <w:r w:rsidR="00382180" w:rsidRPr="00130C87">
        <w:rPr>
          <w:rFonts w:ascii="Arial" w:hAnsi="Arial" w:cs="Arial"/>
        </w:rPr>
        <w:t>should cover the four PHOF domains</w:t>
      </w:r>
      <w:r w:rsidR="00E10168">
        <w:rPr>
          <w:rFonts w:ascii="Arial" w:hAnsi="Arial" w:cs="Arial"/>
        </w:rPr>
        <w:t>; and</w:t>
      </w:r>
    </w:p>
    <w:p w:rsidR="00130C87" w:rsidRDefault="00130C87" w:rsidP="00615658">
      <w:pPr>
        <w:pStyle w:val="ListParagraph"/>
        <w:ind w:left="360"/>
        <w:rPr>
          <w:rFonts w:ascii="Arial" w:hAnsi="Arial" w:cs="Arial"/>
        </w:rPr>
      </w:pPr>
    </w:p>
    <w:p w:rsidR="00382180" w:rsidRPr="00130C87" w:rsidRDefault="00382180" w:rsidP="00000EA3">
      <w:pPr>
        <w:pStyle w:val="ListParagraph"/>
        <w:numPr>
          <w:ilvl w:val="0"/>
          <w:numId w:val="14"/>
        </w:numPr>
        <w:ind w:left="1080"/>
        <w:rPr>
          <w:rFonts w:ascii="Arial" w:hAnsi="Arial" w:cs="Arial"/>
        </w:rPr>
      </w:pPr>
      <w:r w:rsidRPr="00130C87">
        <w:rPr>
          <w:rFonts w:ascii="Arial" w:hAnsi="Arial" w:cs="Arial"/>
        </w:rPr>
        <w:t xml:space="preserve">Benefits criteria </w:t>
      </w:r>
      <w:r w:rsidR="00410E3C" w:rsidRPr="00130C87">
        <w:rPr>
          <w:rFonts w:ascii="Arial" w:hAnsi="Arial" w:cs="Arial"/>
        </w:rPr>
        <w:t xml:space="preserve">and an </w:t>
      </w:r>
      <w:r w:rsidRPr="00130C87">
        <w:rPr>
          <w:rFonts w:ascii="Arial" w:hAnsi="Arial" w:cs="Arial"/>
        </w:rPr>
        <w:t>evaluation</w:t>
      </w:r>
      <w:r w:rsidR="00410E3C" w:rsidRPr="00130C87">
        <w:rPr>
          <w:rFonts w:ascii="Arial" w:hAnsi="Arial" w:cs="Arial"/>
        </w:rPr>
        <w:t xml:space="preserve"> methodology to be developed in conjunction with key stakeholders</w:t>
      </w:r>
      <w:r w:rsidRPr="00130C87">
        <w:rPr>
          <w:rFonts w:ascii="Arial" w:hAnsi="Arial" w:cs="Arial"/>
        </w:rPr>
        <w:t xml:space="preserve">. </w:t>
      </w:r>
    </w:p>
    <w:p w:rsidR="00382180" w:rsidRPr="00130C87" w:rsidRDefault="00382180" w:rsidP="00130C87">
      <w:pPr>
        <w:spacing w:before="0" w:after="0" w:line="240" w:lineRule="auto"/>
      </w:pPr>
    </w:p>
    <w:p w:rsidR="00FD0FA5" w:rsidRPr="00615658" w:rsidRDefault="000A4030" w:rsidP="00000EA3">
      <w:pPr>
        <w:pStyle w:val="ListParagraph"/>
        <w:numPr>
          <w:ilvl w:val="1"/>
          <w:numId w:val="12"/>
        </w:numPr>
        <w:ind w:left="709" w:hanging="709"/>
        <w:rPr>
          <w:rFonts w:ascii="Arial" w:hAnsi="Arial" w:cs="Arial"/>
        </w:rPr>
      </w:pPr>
      <w:r w:rsidRPr="00615658">
        <w:rPr>
          <w:rFonts w:ascii="Arial" w:hAnsi="Arial" w:cs="Arial"/>
        </w:rPr>
        <w:t xml:space="preserve">We have </w:t>
      </w:r>
      <w:r w:rsidR="006F7A11" w:rsidRPr="00615658">
        <w:rPr>
          <w:rFonts w:ascii="Arial" w:hAnsi="Arial" w:cs="Arial"/>
        </w:rPr>
        <w:t>ful</w:t>
      </w:r>
      <w:r w:rsidR="00382180" w:rsidRPr="00615658">
        <w:rPr>
          <w:rFonts w:ascii="Arial" w:hAnsi="Arial" w:cs="Arial"/>
        </w:rPr>
        <w:t xml:space="preserve">ly </w:t>
      </w:r>
      <w:r w:rsidRPr="00615658">
        <w:rPr>
          <w:rFonts w:ascii="Arial" w:hAnsi="Arial" w:cs="Arial"/>
        </w:rPr>
        <w:t>accepted ACRA’s recommendations</w:t>
      </w:r>
      <w:r w:rsidR="005B410C" w:rsidRPr="00615658">
        <w:rPr>
          <w:rFonts w:ascii="Arial" w:hAnsi="Arial" w:cs="Arial"/>
        </w:rPr>
        <w:t>.</w:t>
      </w:r>
      <w:r w:rsidR="00382180" w:rsidRPr="00615658">
        <w:rPr>
          <w:rFonts w:ascii="Arial" w:hAnsi="Arial" w:cs="Arial"/>
        </w:rPr>
        <w:t xml:space="preserve"> </w:t>
      </w:r>
      <w:r w:rsidR="00E10168" w:rsidRPr="00615658">
        <w:rPr>
          <w:rFonts w:ascii="Arial" w:hAnsi="Arial" w:cs="Arial"/>
        </w:rPr>
        <w:t xml:space="preserve"> </w:t>
      </w:r>
      <w:r w:rsidR="005B410C" w:rsidRPr="00615658">
        <w:rPr>
          <w:rFonts w:ascii="Arial" w:hAnsi="Arial" w:cs="Arial"/>
        </w:rPr>
        <w:t xml:space="preserve">We are now beginning a careful phased roll out </w:t>
      </w:r>
      <w:r w:rsidR="00FD0FA5" w:rsidRPr="00615658">
        <w:rPr>
          <w:rFonts w:ascii="Arial" w:hAnsi="Arial" w:cs="Arial"/>
        </w:rPr>
        <w:t>supported by this</w:t>
      </w:r>
      <w:r w:rsidR="00F01E7D" w:rsidRPr="00615658">
        <w:rPr>
          <w:rFonts w:ascii="Arial" w:hAnsi="Arial" w:cs="Arial"/>
        </w:rPr>
        <w:t xml:space="preserve"> technical consultation</w:t>
      </w:r>
      <w:r w:rsidR="00FD0FA5" w:rsidRPr="00615658">
        <w:rPr>
          <w:rFonts w:ascii="Arial" w:hAnsi="Arial" w:cs="Arial"/>
        </w:rPr>
        <w:t>.</w:t>
      </w:r>
    </w:p>
    <w:p w:rsidR="000A5F4B" w:rsidRDefault="000A5F4B">
      <w:pPr>
        <w:spacing w:before="0" w:after="0" w:line="240" w:lineRule="auto"/>
        <w:rPr>
          <w:szCs w:val="24"/>
        </w:rPr>
      </w:pPr>
      <w:r>
        <w:rPr>
          <w:szCs w:val="24"/>
        </w:rPr>
        <w:br w:type="page"/>
      </w:r>
    </w:p>
    <w:p w:rsidR="002542DE" w:rsidRPr="00CC29F0" w:rsidRDefault="00E16E91" w:rsidP="00000EA3">
      <w:pPr>
        <w:pStyle w:val="ChapterHead"/>
        <w:numPr>
          <w:ilvl w:val="0"/>
          <w:numId w:val="15"/>
        </w:numPr>
        <w:rPr>
          <w:b/>
        </w:rPr>
      </w:pPr>
      <w:bookmarkStart w:id="21" w:name="_Toc396307854"/>
      <w:bookmarkEnd w:id="17"/>
      <w:bookmarkEnd w:id="18"/>
      <w:r w:rsidRPr="00CC29F0">
        <w:rPr>
          <w:b/>
        </w:rPr>
        <w:lastRenderedPageBreak/>
        <w:t>Proposal</w:t>
      </w:r>
      <w:bookmarkEnd w:id="21"/>
      <w:r w:rsidRPr="00CC29F0">
        <w:rPr>
          <w:b/>
        </w:rPr>
        <w:t xml:space="preserve"> </w:t>
      </w:r>
    </w:p>
    <w:p w:rsidR="006C3189" w:rsidRPr="006F5967" w:rsidRDefault="00C61E2C" w:rsidP="00000EA3">
      <w:pPr>
        <w:pStyle w:val="ListParagraph"/>
        <w:numPr>
          <w:ilvl w:val="1"/>
          <w:numId w:val="15"/>
        </w:numPr>
        <w:ind w:left="1134" w:hanging="708"/>
        <w:rPr>
          <w:rFonts w:ascii="Arial" w:eastAsiaTheme="minorHAnsi" w:hAnsi="Arial" w:cs="Arial"/>
          <w:color w:val="000000" w:themeColor="text1"/>
        </w:rPr>
      </w:pPr>
      <w:r w:rsidRPr="006F5967">
        <w:rPr>
          <w:rFonts w:ascii="Arial" w:hAnsi="Arial" w:cs="Arial"/>
        </w:rPr>
        <w:t xml:space="preserve">Fifty-one </w:t>
      </w:r>
      <w:r w:rsidR="00B67662" w:rsidRPr="006F5967">
        <w:rPr>
          <w:rFonts w:ascii="Arial" w:hAnsi="Arial" w:cs="Arial"/>
        </w:rPr>
        <w:t xml:space="preserve">PHOF </w:t>
      </w:r>
      <w:r w:rsidRPr="006F5967">
        <w:rPr>
          <w:rFonts w:ascii="Arial" w:hAnsi="Arial" w:cs="Arial"/>
        </w:rPr>
        <w:t>indicators and sub indicators pass</w:t>
      </w:r>
      <w:r w:rsidR="00662038" w:rsidRPr="006F5967">
        <w:rPr>
          <w:rFonts w:ascii="Arial" w:hAnsi="Arial" w:cs="Arial"/>
        </w:rPr>
        <w:t>ed</w:t>
      </w:r>
      <w:r w:rsidRPr="006F5967">
        <w:rPr>
          <w:rFonts w:ascii="Arial" w:hAnsi="Arial" w:cs="Arial"/>
        </w:rPr>
        <w:t xml:space="preserve"> the technical criteria set out in ACRA’s recommendations. </w:t>
      </w:r>
      <w:r w:rsidR="00E10168">
        <w:rPr>
          <w:rFonts w:ascii="Arial" w:hAnsi="Arial" w:cs="Arial"/>
        </w:rPr>
        <w:t xml:space="preserve"> </w:t>
      </w:r>
      <w:r w:rsidR="006C3189" w:rsidRPr="006F5967">
        <w:rPr>
          <w:rFonts w:ascii="Arial" w:hAnsi="Arial" w:cs="Arial"/>
        </w:rPr>
        <w:t xml:space="preserve">After discussions with a range of stakeholders we are proposing </w:t>
      </w:r>
      <w:r w:rsidR="00516AE8" w:rsidRPr="006F5967">
        <w:rPr>
          <w:rFonts w:ascii="Arial" w:hAnsi="Arial" w:cs="Arial"/>
        </w:rPr>
        <w:t>that</w:t>
      </w:r>
      <w:r w:rsidRPr="006F5967">
        <w:rPr>
          <w:rFonts w:ascii="Arial" w:hAnsi="Arial" w:cs="Arial"/>
        </w:rPr>
        <w:t xml:space="preserve"> for the introductory year (2014/15) we will adopt a more limited approach, measuring against two indicators (excluding indicators from domain 4). These are:</w:t>
      </w:r>
      <w:r w:rsidR="00516AE8" w:rsidRPr="006F5967">
        <w:rPr>
          <w:rFonts w:ascii="Arial" w:hAnsi="Arial" w:cs="Arial"/>
        </w:rPr>
        <w:t xml:space="preserve"> </w:t>
      </w:r>
    </w:p>
    <w:p w:rsidR="006F5967" w:rsidRPr="006F5967" w:rsidRDefault="006F5967" w:rsidP="006F5967">
      <w:pPr>
        <w:pStyle w:val="ListParagraph"/>
        <w:ind w:left="0"/>
        <w:rPr>
          <w:rFonts w:ascii="Arial" w:eastAsiaTheme="minorHAnsi" w:hAnsi="Arial" w:cs="Arial"/>
          <w:color w:val="000000" w:themeColor="text1"/>
        </w:rPr>
      </w:pPr>
    </w:p>
    <w:p w:rsidR="003E36C3" w:rsidRPr="00E238EB" w:rsidRDefault="003E36C3" w:rsidP="00000EA3">
      <w:pPr>
        <w:pStyle w:val="ListParagraph"/>
        <w:numPr>
          <w:ilvl w:val="0"/>
          <w:numId w:val="16"/>
        </w:numPr>
        <w:ind w:left="1701" w:hanging="425"/>
        <w:rPr>
          <w:rFonts w:ascii="Arial" w:eastAsiaTheme="minorHAnsi" w:hAnsi="Arial" w:cs="Arial"/>
          <w:color w:val="000000" w:themeColor="text1"/>
        </w:rPr>
      </w:pPr>
      <w:r w:rsidRPr="00E238EB">
        <w:rPr>
          <w:rFonts w:ascii="Arial" w:eastAsiaTheme="minorHAnsi" w:hAnsi="Arial" w:cs="Arial"/>
          <w:b/>
          <w:color w:val="000000" w:themeColor="text1"/>
        </w:rPr>
        <w:t>National indicator</w:t>
      </w:r>
      <w:r w:rsidR="006C3189" w:rsidRPr="00E238EB">
        <w:rPr>
          <w:rFonts w:ascii="Arial" w:eastAsiaTheme="minorHAnsi" w:hAnsi="Arial" w:cs="Arial"/>
          <w:b/>
          <w:color w:val="000000" w:themeColor="text1"/>
        </w:rPr>
        <w:t xml:space="preserve"> -</w:t>
      </w:r>
      <w:r w:rsidRPr="00E238EB">
        <w:rPr>
          <w:rFonts w:ascii="Arial" w:eastAsiaTheme="minorHAnsi" w:hAnsi="Arial" w:cs="Arial"/>
          <w:color w:val="000000" w:themeColor="text1"/>
        </w:rPr>
        <w:t xml:space="preserve"> ‘</w:t>
      </w:r>
      <w:r w:rsidR="006C3189" w:rsidRPr="00E238EB">
        <w:rPr>
          <w:rFonts w:ascii="Arial" w:eastAsiaTheme="minorHAnsi" w:hAnsi="Arial" w:cs="Arial"/>
          <w:color w:val="000000" w:themeColor="text1"/>
        </w:rPr>
        <w:t>S</w:t>
      </w:r>
      <w:r w:rsidRPr="00E238EB">
        <w:rPr>
          <w:rFonts w:ascii="Arial" w:eastAsiaTheme="minorHAnsi" w:hAnsi="Arial" w:cs="Arial"/>
          <w:i/>
          <w:color w:val="000000" w:themeColor="text1"/>
        </w:rPr>
        <w:t>uccessful completion of drugs treatment</w:t>
      </w:r>
      <w:r w:rsidRPr="00E238EB">
        <w:rPr>
          <w:rFonts w:ascii="Arial" w:eastAsiaTheme="minorHAnsi" w:hAnsi="Arial" w:cs="Arial"/>
          <w:color w:val="000000" w:themeColor="text1"/>
        </w:rPr>
        <w:t xml:space="preserve">’ with combined </w:t>
      </w:r>
      <w:r w:rsidR="00C61E2C" w:rsidRPr="00E238EB">
        <w:rPr>
          <w:rFonts w:ascii="Arial" w:eastAsiaTheme="minorHAnsi" w:hAnsi="Arial" w:cs="Arial"/>
          <w:color w:val="000000" w:themeColor="text1"/>
        </w:rPr>
        <w:t xml:space="preserve">PHOF </w:t>
      </w:r>
      <w:r w:rsidRPr="00E238EB">
        <w:rPr>
          <w:rFonts w:ascii="Arial" w:eastAsiaTheme="minorHAnsi" w:hAnsi="Arial" w:cs="Arial"/>
          <w:color w:val="000000" w:themeColor="text1"/>
        </w:rPr>
        <w:t>data for opiate and non-opiate</w:t>
      </w:r>
      <w:r w:rsidR="00165169" w:rsidRPr="00E238EB">
        <w:rPr>
          <w:rFonts w:ascii="Arial" w:eastAsiaTheme="minorHAnsi" w:hAnsi="Arial" w:cs="Arial"/>
          <w:color w:val="000000" w:themeColor="text1"/>
        </w:rPr>
        <w:t xml:space="preserve"> users</w:t>
      </w:r>
      <w:r w:rsidR="00E10168" w:rsidRPr="00E238EB">
        <w:rPr>
          <w:rFonts w:ascii="Arial" w:eastAsiaTheme="minorHAnsi" w:hAnsi="Arial" w:cs="Arial"/>
          <w:color w:val="000000" w:themeColor="text1"/>
        </w:rPr>
        <w:t>;</w:t>
      </w:r>
      <w:r w:rsidRPr="00E238EB">
        <w:rPr>
          <w:rFonts w:ascii="Arial" w:eastAsiaTheme="minorHAnsi" w:hAnsi="Arial" w:cs="Arial"/>
          <w:color w:val="000000" w:themeColor="text1"/>
        </w:rPr>
        <w:t xml:space="preserve"> and</w:t>
      </w:r>
    </w:p>
    <w:p w:rsidR="003E36C3" w:rsidRPr="00E238EB" w:rsidRDefault="003E36C3" w:rsidP="00E238EB">
      <w:pPr>
        <w:spacing w:before="0" w:after="0" w:line="240" w:lineRule="auto"/>
        <w:ind w:left="1701" w:hanging="425"/>
        <w:rPr>
          <w:rFonts w:eastAsiaTheme="minorHAnsi"/>
          <w:color w:val="000000" w:themeColor="text1"/>
          <w:szCs w:val="24"/>
        </w:rPr>
      </w:pPr>
    </w:p>
    <w:p w:rsidR="00CD3E94" w:rsidRPr="00E238EB" w:rsidRDefault="00CD3E94" w:rsidP="00000EA3">
      <w:pPr>
        <w:pStyle w:val="ListParagraph"/>
        <w:numPr>
          <w:ilvl w:val="0"/>
          <w:numId w:val="16"/>
        </w:numPr>
        <w:ind w:left="1701" w:hanging="425"/>
        <w:rPr>
          <w:rFonts w:ascii="Arial" w:eastAsiaTheme="minorHAnsi" w:hAnsi="Arial" w:cs="Arial"/>
          <w:color w:val="000000" w:themeColor="text1"/>
        </w:rPr>
      </w:pPr>
      <w:r w:rsidRPr="00E238EB">
        <w:rPr>
          <w:rFonts w:ascii="Arial" w:eastAsiaTheme="minorHAnsi" w:hAnsi="Arial" w:cs="Arial"/>
          <w:b/>
          <w:color w:val="000000" w:themeColor="text1"/>
        </w:rPr>
        <w:t>A l</w:t>
      </w:r>
      <w:r w:rsidR="003E36C3" w:rsidRPr="00E238EB">
        <w:rPr>
          <w:rFonts w:ascii="Arial" w:eastAsiaTheme="minorHAnsi" w:hAnsi="Arial" w:cs="Arial"/>
          <w:b/>
          <w:color w:val="000000" w:themeColor="text1"/>
        </w:rPr>
        <w:t>ocal indicator</w:t>
      </w:r>
      <w:r w:rsidR="003E36C3" w:rsidRPr="00E238EB">
        <w:rPr>
          <w:rFonts w:ascii="Arial" w:eastAsiaTheme="minorHAnsi" w:hAnsi="Arial" w:cs="Arial"/>
          <w:color w:val="000000" w:themeColor="text1"/>
        </w:rPr>
        <w:t xml:space="preserve"> </w:t>
      </w:r>
      <w:r w:rsidR="006C3189" w:rsidRPr="00E238EB">
        <w:rPr>
          <w:rFonts w:ascii="Arial" w:eastAsiaTheme="minorHAnsi" w:hAnsi="Arial" w:cs="Arial"/>
          <w:color w:val="000000" w:themeColor="text1"/>
        </w:rPr>
        <w:t>- S</w:t>
      </w:r>
      <w:r w:rsidR="003E36C3" w:rsidRPr="00E238EB">
        <w:rPr>
          <w:rFonts w:ascii="Arial" w:eastAsiaTheme="minorHAnsi" w:hAnsi="Arial" w:cs="Arial"/>
          <w:color w:val="000000" w:themeColor="text1"/>
        </w:rPr>
        <w:t>elected by L</w:t>
      </w:r>
      <w:r w:rsidRPr="00E238EB">
        <w:rPr>
          <w:rFonts w:ascii="Arial" w:eastAsiaTheme="minorHAnsi" w:hAnsi="Arial" w:cs="Arial"/>
          <w:color w:val="000000" w:themeColor="text1"/>
        </w:rPr>
        <w:t xml:space="preserve">ocal authorities </w:t>
      </w:r>
      <w:r w:rsidR="003E36C3" w:rsidRPr="00E238EB">
        <w:rPr>
          <w:rFonts w:ascii="Arial" w:eastAsiaTheme="minorHAnsi" w:hAnsi="Arial" w:cs="Arial"/>
          <w:color w:val="000000" w:themeColor="text1"/>
        </w:rPr>
        <w:t xml:space="preserve">from the </w:t>
      </w:r>
      <w:r w:rsidRPr="00E238EB">
        <w:rPr>
          <w:rFonts w:ascii="Arial" w:eastAsiaTheme="minorHAnsi" w:hAnsi="Arial" w:cs="Arial"/>
          <w:color w:val="000000" w:themeColor="text1"/>
        </w:rPr>
        <w:t xml:space="preserve">list </w:t>
      </w:r>
      <w:r w:rsidR="003E36C3" w:rsidRPr="00E238EB">
        <w:rPr>
          <w:rFonts w:ascii="Arial" w:eastAsiaTheme="minorHAnsi" w:hAnsi="Arial" w:cs="Arial"/>
          <w:color w:val="000000" w:themeColor="text1"/>
        </w:rPr>
        <w:t xml:space="preserve">approved </w:t>
      </w:r>
      <w:r w:rsidRPr="00E238EB">
        <w:rPr>
          <w:rFonts w:ascii="Arial" w:eastAsiaTheme="minorHAnsi" w:hAnsi="Arial" w:cs="Arial"/>
          <w:color w:val="000000" w:themeColor="text1"/>
        </w:rPr>
        <w:t>indicators produced by ACRA</w:t>
      </w:r>
      <w:r w:rsidR="00DE3AB6" w:rsidRPr="00E238EB">
        <w:rPr>
          <w:rFonts w:ascii="Arial" w:eastAsiaTheme="minorHAnsi" w:hAnsi="Arial" w:cs="Arial"/>
          <w:color w:val="000000" w:themeColor="text1"/>
        </w:rPr>
        <w:t xml:space="preserve">, see Annex </w:t>
      </w:r>
      <w:r w:rsidR="00420B28" w:rsidRPr="00E238EB">
        <w:rPr>
          <w:rFonts w:ascii="Arial" w:eastAsiaTheme="minorHAnsi" w:hAnsi="Arial" w:cs="Arial"/>
          <w:color w:val="000000" w:themeColor="text1"/>
        </w:rPr>
        <w:t>A</w:t>
      </w:r>
      <w:r w:rsidR="00E10168" w:rsidRPr="00E238EB">
        <w:rPr>
          <w:rFonts w:ascii="Arial" w:eastAsiaTheme="minorHAnsi" w:hAnsi="Arial" w:cs="Arial"/>
          <w:color w:val="000000" w:themeColor="text1"/>
        </w:rPr>
        <w:t>.</w:t>
      </w:r>
    </w:p>
    <w:p w:rsidR="00CD3E94" w:rsidRPr="006F5967" w:rsidRDefault="00CD3E94" w:rsidP="006F5967">
      <w:pPr>
        <w:pStyle w:val="ListParagraph"/>
        <w:ind w:left="0"/>
        <w:rPr>
          <w:rFonts w:ascii="Arial" w:eastAsiaTheme="minorHAnsi" w:hAnsi="Arial" w:cs="Arial"/>
          <w:color w:val="000000" w:themeColor="text1"/>
        </w:rPr>
      </w:pPr>
    </w:p>
    <w:p w:rsidR="003E36C3" w:rsidRPr="006F5967" w:rsidRDefault="003E36C3" w:rsidP="00E238EB">
      <w:pPr>
        <w:spacing w:before="0" w:after="0" w:line="240" w:lineRule="auto"/>
        <w:ind w:left="1134"/>
        <w:rPr>
          <w:rFonts w:eastAsiaTheme="minorHAnsi"/>
          <w:color w:val="000000" w:themeColor="text1"/>
          <w:szCs w:val="24"/>
        </w:rPr>
      </w:pPr>
      <w:r w:rsidRPr="006F5967">
        <w:rPr>
          <w:rFonts w:eastAsiaTheme="minorHAnsi"/>
          <w:color w:val="000000" w:themeColor="text1"/>
          <w:szCs w:val="24"/>
        </w:rPr>
        <w:t xml:space="preserve">If a LA </w:t>
      </w:r>
      <w:r w:rsidR="00CD3E94" w:rsidRPr="006F5967">
        <w:rPr>
          <w:rFonts w:eastAsiaTheme="minorHAnsi"/>
          <w:color w:val="000000" w:themeColor="text1"/>
          <w:szCs w:val="24"/>
        </w:rPr>
        <w:t xml:space="preserve">did not select their own </w:t>
      </w:r>
      <w:r w:rsidRPr="006F5967">
        <w:rPr>
          <w:rFonts w:eastAsiaTheme="minorHAnsi"/>
          <w:color w:val="000000" w:themeColor="text1"/>
          <w:szCs w:val="24"/>
        </w:rPr>
        <w:t>indicator a default indicator ‘</w:t>
      </w:r>
      <w:r w:rsidRPr="006F5967">
        <w:rPr>
          <w:rFonts w:eastAsiaTheme="minorHAnsi"/>
          <w:i/>
          <w:color w:val="000000" w:themeColor="text1"/>
          <w:szCs w:val="24"/>
        </w:rPr>
        <w:t>Smoking prevalence over 18s’</w:t>
      </w:r>
      <w:r w:rsidRPr="006F5967">
        <w:rPr>
          <w:rFonts w:eastAsiaTheme="minorHAnsi"/>
          <w:color w:val="000000" w:themeColor="text1"/>
          <w:szCs w:val="24"/>
        </w:rPr>
        <w:t xml:space="preserve"> will be assigned.</w:t>
      </w:r>
    </w:p>
    <w:p w:rsidR="00FE0985" w:rsidRPr="003D1506" w:rsidRDefault="00FE0985" w:rsidP="006F5967">
      <w:pPr>
        <w:pStyle w:val="ListParagraph"/>
        <w:ind w:left="0"/>
        <w:rPr>
          <w:rFonts w:ascii="Arial" w:eastAsiaTheme="minorHAnsi" w:hAnsi="Arial" w:cs="Arial"/>
          <w:color w:val="000000" w:themeColor="text1"/>
        </w:rPr>
      </w:pPr>
    </w:p>
    <w:p w:rsidR="00D91B4D" w:rsidRPr="00D25B8C" w:rsidRDefault="00D91B4D" w:rsidP="00E238EB">
      <w:pPr>
        <w:pStyle w:val="ListParagraph"/>
        <w:ind w:left="1134"/>
        <w:rPr>
          <w:rFonts w:ascii="Arial" w:eastAsiaTheme="minorHAnsi" w:hAnsi="Arial" w:cs="Arial"/>
          <w:color w:val="000000" w:themeColor="text1"/>
        </w:rPr>
      </w:pPr>
      <w:r w:rsidRPr="006F5967">
        <w:rPr>
          <w:rFonts w:ascii="Arial" w:eastAsiaTheme="minorHAnsi" w:hAnsi="Arial" w:cs="Arial"/>
          <w:color w:val="000000" w:themeColor="text1"/>
        </w:rPr>
        <w:t xml:space="preserve">This limited roll out will give us the opportunity to understand how the scheme operates in practice.  </w:t>
      </w:r>
      <w:r w:rsidR="00AC1F95" w:rsidRPr="006F5967">
        <w:rPr>
          <w:rFonts w:ascii="Arial" w:eastAsiaTheme="minorHAnsi" w:hAnsi="Arial" w:cs="Arial"/>
          <w:color w:val="000000" w:themeColor="text1"/>
        </w:rPr>
        <w:t>However we</w:t>
      </w:r>
      <w:r w:rsidRPr="006F5967">
        <w:rPr>
          <w:rFonts w:ascii="Arial" w:eastAsiaTheme="minorHAnsi" w:hAnsi="Arial" w:cs="Arial"/>
          <w:color w:val="000000" w:themeColor="text1"/>
        </w:rPr>
        <w:t xml:space="preserve"> believe that to make this learning as realistic as possible</w:t>
      </w:r>
      <w:r w:rsidR="00B67662" w:rsidRPr="006F5967">
        <w:rPr>
          <w:rFonts w:ascii="Arial" w:eastAsiaTheme="minorHAnsi" w:hAnsi="Arial" w:cs="Arial"/>
          <w:color w:val="000000" w:themeColor="text1"/>
        </w:rPr>
        <w:t>.</w:t>
      </w:r>
      <w:r w:rsidRPr="006F5967">
        <w:rPr>
          <w:rFonts w:ascii="Arial" w:eastAsiaTheme="minorHAnsi" w:hAnsi="Arial" w:cs="Arial"/>
          <w:color w:val="000000" w:themeColor="text1"/>
        </w:rPr>
        <w:t xml:space="preserve"> </w:t>
      </w:r>
      <w:r w:rsidR="00E10168">
        <w:rPr>
          <w:rFonts w:ascii="Arial" w:eastAsiaTheme="minorHAnsi" w:hAnsi="Arial" w:cs="Arial"/>
          <w:color w:val="000000" w:themeColor="text1"/>
        </w:rPr>
        <w:t xml:space="preserve"> </w:t>
      </w:r>
      <w:r w:rsidR="00B67662" w:rsidRPr="006F5967">
        <w:rPr>
          <w:rFonts w:ascii="Arial" w:eastAsiaTheme="minorHAnsi" w:hAnsi="Arial" w:cs="Arial"/>
          <w:color w:val="000000" w:themeColor="text1"/>
        </w:rPr>
        <w:t>W</w:t>
      </w:r>
      <w:r w:rsidRPr="006F5967">
        <w:rPr>
          <w:rFonts w:ascii="Arial" w:eastAsiaTheme="minorHAnsi" w:hAnsi="Arial" w:cs="Arial"/>
          <w:color w:val="000000" w:themeColor="text1"/>
        </w:rPr>
        <w:t xml:space="preserve">e </w:t>
      </w:r>
      <w:r w:rsidR="00534CCD" w:rsidRPr="006F5967">
        <w:rPr>
          <w:rFonts w:ascii="Arial" w:eastAsiaTheme="minorHAnsi" w:hAnsi="Arial" w:cs="Arial"/>
          <w:color w:val="000000" w:themeColor="text1"/>
        </w:rPr>
        <w:t>will fund</w:t>
      </w:r>
      <w:r w:rsidRPr="006F5967">
        <w:rPr>
          <w:rFonts w:ascii="Arial" w:eastAsiaTheme="minorHAnsi" w:hAnsi="Arial" w:cs="Arial"/>
          <w:color w:val="000000" w:themeColor="text1"/>
        </w:rPr>
        <w:t xml:space="preserve"> the scheme with a small budget: five million pounds to be </w:t>
      </w:r>
      <w:r w:rsidRPr="001B0C86">
        <w:rPr>
          <w:rFonts w:ascii="Arial" w:eastAsiaTheme="minorHAnsi" w:hAnsi="Arial" w:cs="Arial"/>
          <w:color w:val="000000" w:themeColor="text1"/>
        </w:rPr>
        <w:t xml:space="preserve">distributed </w:t>
      </w:r>
      <w:r w:rsidR="00AC1F95" w:rsidRPr="001B0C86">
        <w:rPr>
          <w:rFonts w:ascii="Arial" w:eastAsiaTheme="minorHAnsi" w:hAnsi="Arial" w:cs="Arial"/>
          <w:color w:val="000000" w:themeColor="text1"/>
        </w:rPr>
        <w:t>across local authorities.</w:t>
      </w:r>
    </w:p>
    <w:p w:rsidR="00F278ED" w:rsidRDefault="00F278ED" w:rsidP="006C3189"/>
    <w:p w:rsidR="003E36C3" w:rsidRPr="00130C87" w:rsidRDefault="00F278ED" w:rsidP="00053E3A">
      <w:pPr>
        <w:ind w:left="426"/>
        <w:rPr>
          <w:b/>
          <w:sz w:val="28"/>
        </w:rPr>
      </w:pPr>
      <w:r w:rsidRPr="00130C87">
        <w:rPr>
          <w:b/>
          <w:sz w:val="28"/>
        </w:rPr>
        <w:t>National indicator</w:t>
      </w:r>
    </w:p>
    <w:p w:rsidR="006F5967" w:rsidRPr="00F278ED" w:rsidRDefault="006F5967" w:rsidP="00F278ED">
      <w:pPr>
        <w:rPr>
          <w:b/>
        </w:rPr>
      </w:pPr>
    </w:p>
    <w:p w:rsidR="006C3189" w:rsidRDefault="006C3189" w:rsidP="00000EA3">
      <w:pPr>
        <w:pStyle w:val="ListParagraph"/>
        <w:numPr>
          <w:ilvl w:val="1"/>
          <w:numId w:val="15"/>
        </w:numPr>
        <w:ind w:hanging="654"/>
        <w:rPr>
          <w:rFonts w:ascii="Arial" w:hAnsi="Arial" w:cs="Arial"/>
        </w:rPr>
      </w:pPr>
      <w:r>
        <w:rPr>
          <w:rFonts w:ascii="Arial" w:hAnsi="Arial" w:cs="Arial"/>
        </w:rPr>
        <w:t xml:space="preserve">The </w:t>
      </w:r>
      <w:r w:rsidRPr="006C3189">
        <w:rPr>
          <w:rFonts w:ascii="Arial" w:hAnsi="Arial" w:cs="Arial"/>
        </w:rPr>
        <w:t>drug</w:t>
      </w:r>
      <w:r>
        <w:rPr>
          <w:rFonts w:ascii="Arial" w:hAnsi="Arial" w:cs="Arial"/>
        </w:rPr>
        <w:t>s</w:t>
      </w:r>
      <w:r w:rsidR="00662038">
        <w:rPr>
          <w:rFonts w:ascii="Arial" w:hAnsi="Arial" w:cs="Arial"/>
        </w:rPr>
        <w:t xml:space="preserve"> recovery</w:t>
      </w:r>
      <w:r w:rsidRPr="006C3189">
        <w:rPr>
          <w:rFonts w:ascii="Arial" w:hAnsi="Arial" w:cs="Arial"/>
        </w:rPr>
        <w:t xml:space="preserve"> indicator has been chosen as it provides a</w:t>
      </w:r>
      <w:r w:rsidR="00662038">
        <w:rPr>
          <w:rFonts w:ascii="Arial" w:hAnsi="Arial" w:cs="Arial"/>
        </w:rPr>
        <w:t xml:space="preserve"> litmus test of local </w:t>
      </w:r>
      <w:r w:rsidR="00534CCD">
        <w:rPr>
          <w:rFonts w:ascii="Arial" w:hAnsi="Arial" w:cs="Arial"/>
        </w:rPr>
        <w:t>authority’s</w:t>
      </w:r>
      <w:r w:rsidR="00662038">
        <w:rPr>
          <w:rFonts w:ascii="Arial" w:hAnsi="Arial" w:cs="Arial"/>
        </w:rPr>
        <w:t xml:space="preserve"> capacity to improve the chances of recovery for some of the most vulnerable in our society </w:t>
      </w:r>
      <w:r w:rsidR="00534CCD">
        <w:rPr>
          <w:rFonts w:ascii="Arial" w:hAnsi="Arial" w:cs="Arial"/>
        </w:rPr>
        <w:t xml:space="preserve">and </w:t>
      </w:r>
      <w:r w:rsidR="00534CCD" w:rsidRPr="006C3189">
        <w:rPr>
          <w:rFonts w:ascii="Arial" w:hAnsi="Arial" w:cs="Arial"/>
        </w:rPr>
        <w:t>showcases</w:t>
      </w:r>
      <w:r w:rsidRPr="006C3189">
        <w:rPr>
          <w:rFonts w:ascii="Arial" w:hAnsi="Arial" w:cs="Arial"/>
        </w:rPr>
        <w:t xml:space="preserve"> local </w:t>
      </w:r>
      <w:r w:rsidR="009543D6" w:rsidRPr="006C3189">
        <w:rPr>
          <w:rFonts w:ascii="Arial" w:hAnsi="Arial" w:cs="Arial"/>
        </w:rPr>
        <w:t>authoritie</w:t>
      </w:r>
      <w:r w:rsidR="009543D6">
        <w:rPr>
          <w:rFonts w:ascii="Arial" w:hAnsi="Arial" w:cs="Arial"/>
        </w:rPr>
        <w:t>s</w:t>
      </w:r>
      <w:r w:rsidR="009543D6" w:rsidRPr="006C3189">
        <w:rPr>
          <w:rFonts w:ascii="Arial" w:hAnsi="Arial" w:cs="Arial"/>
        </w:rPr>
        <w:t>’</w:t>
      </w:r>
      <w:r w:rsidRPr="006C3189">
        <w:rPr>
          <w:rFonts w:ascii="Arial" w:hAnsi="Arial" w:cs="Arial"/>
        </w:rPr>
        <w:t xml:space="preserve"> success in working with a wide range of partners</w:t>
      </w:r>
      <w:r w:rsidR="006F5967">
        <w:rPr>
          <w:rFonts w:ascii="Arial" w:hAnsi="Arial" w:cs="Arial"/>
        </w:rPr>
        <w:t>.</w:t>
      </w:r>
    </w:p>
    <w:p w:rsidR="00382180" w:rsidRPr="00382180" w:rsidRDefault="00382180" w:rsidP="00053E3A">
      <w:pPr>
        <w:pStyle w:val="ListParagraph"/>
        <w:ind w:left="0" w:hanging="654"/>
        <w:rPr>
          <w:rFonts w:ascii="Arial" w:hAnsi="Arial" w:cs="Arial"/>
        </w:rPr>
      </w:pPr>
    </w:p>
    <w:p w:rsidR="00382180" w:rsidRPr="00382180" w:rsidRDefault="007A02E6" w:rsidP="00000EA3">
      <w:pPr>
        <w:pStyle w:val="ListParagraph"/>
        <w:numPr>
          <w:ilvl w:val="1"/>
          <w:numId w:val="15"/>
        </w:numPr>
        <w:ind w:hanging="654"/>
        <w:rPr>
          <w:rFonts w:ascii="Arial" w:hAnsi="Arial" w:cs="Arial"/>
        </w:rPr>
      </w:pPr>
      <w:r w:rsidRPr="00382180">
        <w:rPr>
          <w:rFonts w:ascii="Arial" w:hAnsi="Arial" w:cs="Arial"/>
        </w:rPr>
        <w:t>However, this measure is not straig</w:t>
      </w:r>
      <w:r w:rsidR="005F4BAE" w:rsidRPr="00382180">
        <w:rPr>
          <w:rFonts w:ascii="Arial" w:hAnsi="Arial" w:cs="Arial"/>
        </w:rPr>
        <w:t xml:space="preserve">htforward to use. </w:t>
      </w:r>
      <w:r w:rsidR="00E10168">
        <w:rPr>
          <w:rFonts w:ascii="Arial" w:hAnsi="Arial" w:cs="Arial"/>
        </w:rPr>
        <w:t xml:space="preserve"> </w:t>
      </w:r>
      <w:r w:rsidR="005F4BAE" w:rsidRPr="00382180">
        <w:rPr>
          <w:rFonts w:ascii="Arial" w:hAnsi="Arial" w:cs="Arial"/>
        </w:rPr>
        <w:t xml:space="preserve">As ACRA </w:t>
      </w:r>
      <w:r w:rsidR="00C21F5B" w:rsidRPr="00382180">
        <w:rPr>
          <w:rFonts w:ascii="Arial" w:hAnsi="Arial" w:cs="Arial"/>
        </w:rPr>
        <w:t>h</w:t>
      </w:r>
      <w:r w:rsidRPr="00382180">
        <w:rPr>
          <w:rFonts w:ascii="Arial" w:hAnsi="Arial" w:cs="Arial"/>
        </w:rPr>
        <w:t xml:space="preserve">ighlighted, the absolute numbers of people going through </w:t>
      </w:r>
      <w:r w:rsidR="00BC765F">
        <w:rPr>
          <w:rFonts w:ascii="Arial" w:hAnsi="Arial" w:cs="Arial"/>
        </w:rPr>
        <w:t>drug</w:t>
      </w:r>
      <w:r w:rsidRPr="00382180">
        <w:rPr>
          <w:rFonts w:ascii="Arial" w:hAnsi="Arial" w:cs="Arial"/>
        </w:rPr>
        <w:t xml:space="preserve"> treatment is low, meaning that </w:t>
      </w:r>
      <w:r w:rsidR="00BC765F">
        <w:rPr>
          <w:rFonts w:ascii="Arial" w:hAnsi="Arial" w:cs="Arial"/>
        </w:rPr>
        <w:t xml:space="preserve">due to small population numbers </w:t>
      </w:r>
      <w:r w:rsidR="005F4BAE" w:rsidRPr="00382180">
        <w:rPr>
          <w:rFonts w:ascii="Arial" w:hAnsi="Arial" w:cs="Arial"/>
        </w:rPr>
        <w:t xml:space="preserve">there is a </w:t>
      </w:r>
      <w:r w:rsidR="000600B5" w:rsidRPr="00382180">
        <w:rPr>
          <w:rFonts w:ascii="Arial" w:hAnsi="Arial" w:cs="Arial"/>
        </w:rPr>
        <w:t xml:space="preserve">high level of natural variation </w:t>
      </w:r>
      <w:r w:rsidR="00532D84" w:rsidRPr="00382180">
        <w:rPr>
          <w:rFonts w:ascii="Arial" w:hAnsi="Arial" w:cs="Arial"/>
        </w:rPr>
        <w:t>in the measured success rate.</w:t>
      </w:r>
    </w:p>
    <w:p w:rsidR="00382180" w:rsidRPr="00382180" w:rsidRDefault="00382180" w:rsidP="00053E3A">
      <w:pPr>
        <w:pStyle w:val="ListParagraph"/>
        <w:ind w:left="0" w:hanging="654"/>
        <w:rPr>
          <w:rFonts w:ascii="Arial" w:hAnsi="Arial" w:cs="Arial"/>
        </w:rPr>
      </w:pPr>
    </w:p>
    <w:p w:rsidR="00FE13B7" w:rsidRPr="00382180" w:rsidRDefault="00532D84" w:rsidP="00000EA3">
      <w:pPr>
        <w:pStyle w:val="ListParagraph"/>
        <w:numPr>
          <w:ilvl w:val="1"/>
          <w:numId w:val="15"/>
        </w:numPr>
        <w:ind w:hanging="654"/>
        <w:rPr>
          <w:rFonts w:ascii="Arial" w:hAnsi="Arial" w:cs="Arial"/>
        </w:rPr>
      </w:pPr>
      <w:r w:rsidRPr="00382180">
        <w:rPr>
          <w:rFonts w:ascii="Arial" w:hAnsi="Arial" w:cs="Arial"/>
        </w:rPr>
        <w:t xml:space="preserve">To reduce this effect, we </w:t>
      </w:r>
      <w:r w:rsidR="00E10168">
        <w:rPr>
          <w:rFonts w:ascii="Arial" w:hAnsi="Arial" w:cs="Arial"/>
        </w:rPr>
        <w:t xml:space="preserve">are </w:t>
      </w:r>
      <w:r w:rsidRPr="00382180">
        <w:rPr>
          <w:rFonts w:ascii="Arial" w:hAnsi="Arial" w:cs="Arial"/>
        </w:rPr>
        <w:t>proposing to use a combined success rate for op</w:t>
      </w:r>
      <w:r w:rsidR="005F4BAE" w:rsidRPr="00382180">
        <w:rPr>
          <w:rFonts w:ascii="Arial" w:hAnsi="Arial" w:cs="Arial"/>
        </w:rPr>
        <w:t>i</w:t>
      </w:r>
      <w:r w:rsidR="00165169">
        <w:rPr>
          <w:rFonts w:ascii="Arial" w:hAnsi="Arial" w:cs="Arial"/>
        </w:rPr>
        <w:t>ate</w:t>
      </w:r>
      <w:r w:rsidR="005F4BAE" w:rsidRPr="00382180">
        <w:rPr>
          <w:rFonts w:ascii="Arial" w:hAnsi="Arial" w:cs="Arial"/>
        </w:rPr>
        <w:t xml:space="preserve"> and non-opi</w:t>
      </w:r>
      <w:r w:rsidR="00165169">
        <w:rPr>
          <w:rFonts w:ascii="Arial" w:hAnsi="Arial" w:cs="Arial"/>
        </w:rPr>
        <w:t>ate</w:t>
      </w:r>
      <w:r w:rsidR="005F4BAE" w:rsidRPr="00382180">
        <w:rPr>
          <w:rFonts w:ascii="Arial" w:hAnsi="Arial" w:cs="Arial"/>
        </w:rPr>
        <w:t xml:space="preserve"> treatments.</w:t>
      </w:r>
      <w:r w:rsidR="00516AE8">
        <w:rPr>
          <w:rFonts w:ascii="Arial" w:hAnsi="Arial" w:cs="Arial"/>
        </w:rPr>
        <w:t xml:space="preserve"> </w:t>
      </w:r>
      <w:r w:rsidR="00E10168">
        <w:rPr>
          <w:rFonts w:ascii="Arial" w:hAnsi="Arial" w:cs="Arial"/>
        </w:rPr>
        <w:t xml:space="preserve"> </w:t>
      </w:r>
      <w:r w:rsidR="00516AE8">
        <w:rPr>
          <w:rFonts w:ascii="Arial" w:hAnsi="Arial" w:cs="Arial"/>
        </w:rPr>
        <w:t>But</w:t>
      </w:r>
      <w:r w:rsidRPr="00382180">
        <w:rPr>
          <w:rFonts w:ascii="Arial" w:hAnsi="Arial" w:cs="Arial"/>
        </w:rPr>
        <w:t xml:space="preserve"> even then a practically realistic improvement can only be </w:t>
      </w:r>
      <w:r w:rsidR="00FE13B7" w:rsidRPr="00382180">
        <w:rPr>
          <w:rFonts w:ascii="Arial" w:hAnsi="Arial" w:cs="Arial"/>
        </w:rPr>
        <w:t xml:space="preserve">robustly </w:t>
      </w:r>
      <w:r w:rsidRPr="00382180">
        <w:rPr>
          <w:rFonts w:ascii="Arial" w:hAnsi="Arial" w:cs="Arial"/>
        </w:rPr>
        <w:t>measured</w:t>
      </w:r>
      <w:r w:rsidR="00FE13B7" w:rsidRPr="00382180">
        <w:rPr>
          <w:rFonts w:ascii="Arial" w:hAnsi="Arial" w:cs="Arial"/>
        </w:rPr>
        <w:t xml:space="preserve"> for the largest authorities.</w:t>
      </w:r>
    </w:p>
    <w:p w:rsidR="00382180" w:rsidRPr="00382180" w:rsidRDefault="00382180" w:rsidP="00053E3A">
      <w:pPr>
        <w:pStyle w:val="ListParagraph"/>
        <w:ind w:left="0" w:hanging="654"/>
        <w:rPr>
          <w:rFonts w:ascii="Arial" w:hAnsi="Arial" w:cs="Arial"/>
        </w:rPr>
      </w:pPr>
    </w:p>
    <w:p w:rsidR="00FE13B7" w:rsidRPr="00382180" w:rsidRDefault="00FE13B7" w:rsidP="00000EA3">
      <w:pPr>
        <w:pStyle w:val="ListParagraph"/>
        <w:numPr>
          <w:ilvl w:val="1"/>
          <w:numId w:val="15"/>
        </w:numPr>
        <w:ind w:left="1134" w:hanging="654"/>
        <w:rPr>
          <w:rFonts w:ascii="Arial" w:hAnsi="Arial" w:cs="Arial"/>
        </w:rPr>
      </w:pPr>
      <w:r w:rsidRPr="00382180">
        <w:rPr>
          <w:rFonts w:ascii="Arial" w:hAnsi="Arial" w:cs="Arial"/>
        </w:rPr>
        <w:t xml:space="preserve">ACRA suggested that one way to address this would be to use a </w:t>
      </w:r>
      <w:r w:rsidR="00814C0E" w:rsidRPr="00382180">
        <w:rPr>
          <w:rFonts w:ascii="Arial" w:hAnsi="Arial" w:cs="Arial"/>
        </w:rPr>
        <w:t>multi-year</w:t>
      </w:r>
      <w:r w:rsidRPr="00382180">
        <w:rPr>
          <w:rFonts w:ascii="Arial" w:hAnsi="Arial" w:cs="Arial"/>
        </w:rPr>
        <w:t xml:space="preserve"> average to further reduce the natural variability.  But </w:t>
      </w:r>
      <w:r w:rsidR="00BE16E9" w:rsidRPr="00382180">
        <w:rPr>
          <w:rFonts w:ascii="Arial" w:hAnsi="Arial" w:cs="Arial"/>
        </w:rPr>
        <w:t>t</w:t>
      </w:r>
      <w:r w:rsidRPr="00382180">
        <w:rPr>
          <w:rFonts w:ascii="Arial" w:hAnsi="Arial" w:cs="Arial"/>
        </w:rPr>
        <w:t xml:space="preserve">hey recognised that this may not send a sufficient signal of the importance of a measure as the incentive could not be offered on year-on-year basis.  They therefore recommended that </w:t>
      </w:r>
      <w:r w:rsidR="00BE16E9" w:rsidRPr="00382180">
        <w:rPr>
          <w:rFonts w:ascii="Arial" w:hAnsi="Arial" w:cs="Arial"/>
        </w:rPr>
        <w:t>the threshold should be informed by the statistical properties of the measure</w:t>
      </w:r>
      <w:r w:rsidR="007B55DB">
        <w:rPr>
          <w:rFonts w:ascii="Arial" w:hAnsi="Arial" w:cs="Arial"/>
        </w:rPr>
        <w:t>,</w:t>
      </w:r>
      <w:r w:rsidR="00BE16E9" w:rsidRPr="00382180">
        <w:rPr>
          <w:rFonts w:ascii="Arial" w:hAnsi="Arial" w:cs="Arial"/>
        </w:rPr>
        <w:t xml:space="preserve"> but not </w:t>
      </w:r>
      <w:r w:rsidR="003B3EB3" w:rsidRPr="00382180">
        <w:rPr>
          <w:rFonts w:ascii="Arial" w:hAnsi="Arial" w:cs="Arial"/>
        </w:rPr>
        <w:t>determined</w:t>
      </w:r>
      <w:r w:rsidR="00BE16E9" w:rsidRPr="00382180">
        <w:rPr>
          <w:rFonts w:ascii="Arial" w:hAnsi="Arial" w:cs="Arial"/>
        </w:rPr>
        <w:t xml:space="preserve"> by it.</w:t>
      </w:r>
    </w:p>
    <w:p w:rsidR="008F3C62" w:rsidRDefault="008F3C62" w:rsidP="00382180">
      <w:pPr>
        <w:pStyle w:val="ListParagraph"/>
        <w:ind w:left="0"/>
        <w:rPr>
          <w:rFonts w:ascii="Arial" w:hAnsi="Arial" w:cs="Arial"/>
        </w:rPr>
      </w:pPr>
    </w:p>
    <w:p w:rsidR="008F3C62" w:rsidRPr="00D91B4D" w:rsidRDefault="008F3C62" w:rsidP="00D91B4D"/>
    <w:p w:rsidR="005847B9" w:rsidRPr="00D91B4D" w:rsidRDefault="005847B9" w:rsidP="00D91B4D"/>
    <w:p w:rsidR="00D65622" w:rsidRPr="005A27BC" w:rsidRDefault="005847B9" w:rsidP="00000EA3">
      <w:pPr>
        <w:pStyle w:val="ListParagraph"/>
        <w:numPr>
          <w:ilvl w:val="1"/>
          <w:numId w:val="15"/>
        </w:numPr>
        <w:ind w:left="1134" w:hanging="567"/>
        <w:rPr>
          <w:rFonts w:ascii="Arial" w:eastAsiaTheme="minorHAnsi" w:hAnsi="Arial" w:cs="Arial"/>
          <w:color w:val="000000" w:themeColor="text1"/>
        </w:rPr>
      </w:pPr>
      <w:r w:rsidRPr="005A27BC">
        <w:rPr>
          <w:rFonts w:ascii="Arial" w:hAnsi="Arial" w:cs="Arial"/>
        </w:rPr>
        <w:lastRenderedPageBreak/>
        <w:t>LAs will be required to demonstrate an improvement of 2.0</w:t>
      </w:r>
      <w:r w:rsidR="000448CC" w:rsidRPr="005A27BC">
        <w:rPr>
          <w:rFonts w:ascii="Arial" w:hAnsi="Arial" w:cs="Arial"/>
        </w:rPr>
        <w:t xml:space="preserve"> percentage points</w:t>
      </w:r>
      <w:r w:rsidRPr="005A27BC">
        <w:rPr>
          <w:rFonts w:ascii="Arial" w:hAnsi="Arial" w:cs="Arial"/>
        </w:rPr>
        <w:t xml:space="preserve"> (lower quartile) from the </w:t>
      </w:r>
      <w:r w:rsidR="00F860BC" w:rsidRPr="005A27BC">
        <w:rPr>
          <w:rFonts w:ascii="Arial" w:hAnsi="Arial" w:cs="Arial"/>
        </w:rPr>
        <w:t xml:space="preserve">set </w:t>
      </w:r>
      <w:r w:rsidRPr="005A27BC">
        <w:rPr>
          <w:rFonts w:ascii="Arial" w:hAnsi="Arial" w:cs="Arial"/>
        </w:rPr>
        <w:t>baseline to trigger a payment</w:t>
      </w:r>
      <w:r w:rsidR="00D65622" w:rsidRPr="005A27BC">
        <w:rPr>
          <w:rFonts w:ascii="Arial" w:hAnsi="Arial" w:cs="Arial"/>
          <w:color w:val="000000" w:themeColor="text1"/>
        </w:rPr>
        <w:t xml:space="preserve">. </w:t>
      </w:r>
      <w:r w:rsidR="00E10168" w:rsidRPr="005A27BC">
        <w:rPr>
          <w:rFonts w:ascii="Arial" w:hAnsi="Arial" w:cs="Arial"/>
          <w:color w:val="000000" w:themeColor="text1"/>
        </w:rPr>
        <w:t xml:space="preserve"> </w:t>
      </w:r>
      <w:r w:rsidR="00D65622" w:rsidRPr="005A27BC">
        <w:rPr>
          <w:rFonts w:ascii="Arial" w:hAnsi="Arial" w:cs="Arial"/>
          <w:color w:val="000000" w:themeColor="text1"/>
        </w:rPr>
        <w:t xml:space="preserve">Given the variation across the local authorities we need to balance </w:t>
      </w:r>
      <w:r w:rsidR="00170305" w:rsidRPr="005A27BC">
        <w:rPr>
          <w:rFonts w:ascii="Arial" w:hAnsi="Arial" w:cs="Arial"/>
          <w:color w:val="000000" w:themeColor="text1"/>
        </w:rPr>
        <w:t xml:space="preserve">statistical </w:t>
      </w:r>
      <w:r w:rsidR="00D65622" w:rsidRPr="005A27BC">
        <w:rPr>
          <w:rFonts w:ascii="Arial" w:hAnsi="Arial" w:cs="Arial"/>
          <w:color w:val="000000" w:themeColor="text1"/>
        </w:rPr>
        <w:t xml:space="preserve">robustness against </w:t>
      </w:r>
      <w:r w:rsidR="00170305" w:rsidRPr="005A27BC">
        <w:rPr>
          <w:rFonts w:ascii="Arial" w:hAnsi="Arial" w:cs="Arial"/>
          <w:color w:val="000000" w:themeColor="text1"/>
        </w:rPr>
        <w:t xml:space="preserve">achievability and </w:t>
      </w:r>
      <w:r w:rsidR="00D25B8C" w:rsidRPr="005A27BC">
        <w:rPr>
          <w:rFonts w:ascii="Arial" w:hAnsi="Arial" w:cs="Arial"/>
          <w:color w:val="000000" w:themeColor="text1"/>
        </w:rPr>
        <w:t>consistency</w:t>
      </w:r>
      <w:r w:rsidR="00D65622" w:rsidRPr="005A27BC">
        <w:rPr>
          <w:rFonts w:ascii="Arial" w:hAnsi="Arial" w:cs="Arial"/>
          <w:color w:val="000000" w:themeColor="text1"/>
        </w:rPr>
        <w:t xml:space="preserve">. </w:t>
      </w:r>
      <w:r w:rsidR="00E10168" w:rsidRPr="005A27BC">
        <w:rPr>
          <w:rFonts w:ascii="Arial" w:hAnsi="Arial" w:cs="Arial"/>
          <w:color w:val="000000" w:themeColor="text1"/>
        </w:rPr>
        <w:t xml:space="preserve"> </w:t>
      </w:r>
      <w:r w:rsidR="00D65622" w:rsidRPr="005A27BC">
        <w:rPr>
          <w:rFonts w:ascii="Arial" w:hAnsi="Arial" w:cs="Arial"/>
          <w:color w:val="000000" w:themeColor="text1"/>
        </w:rPr>
        <w:t xml:space="preserve">An improvement that is robust </w:t>
      </w:r>
      <w:r w:rsidR="005F4E15" w:rsidRPr="005A27BC">
        <w:rPr>
          <w:rFonts w:ascii="Arial" w:hAnsi="Arial" w:cs="Arial"/>
          <w:color w:val="000000" w:themeColor="text1"/>
        </w:rPr>
        <w:t xml:space="preserve">in </w:t>
      </w:r>
      <w:r w:rsidR="00D65622" w:rsidRPr="005A27BC">
        <w:rPr>
          <w:rFonts w:ascii="Arial" w:hAnsi="Arial" w:cs="Arial"/>
          <w:color w:val="000000" w:themeColor="text1"/>
        </w:rPr>
        <w:t xml:space="preserve">one place would not be practical in another. </w:t>
      </w:r>
    </w:p>
    <w:p w:rsidR="00C06A12" w:rsidRPr="003D1506" w:rsidRDefault="00C06A12" w:rsidP="00053E3A">
      <w:pPr>
        <w:pStyle w:val="ListParagraph"/>
        <w:spacing w:before="120"/>
        <w:ind w:left="1134" w:hanging="567"/>
        <w:rPr>
          <w:rFonts w:ascii="Arial" w:hAnsi="Arial" w:cs="Arial"/>
          <w:color w:val="000000" w:themeColor="text1"/>
        </w:rPr>
      </w:pPr>
    </w:p>
    <w:p w:rsidR="008F3C62" w:rsidRPr="00024AB5" w:rsidRDefault="008F3C62" w:rsidP="00053E3A">
      <w:pPr>
        <w:pStyle w:val="ListParagraph"/>
        <w:spacing w:before="120"/>
        <w:ind w:left="1134"/>
        <w:rPr>
          <w:rFonts w:ascii="Arial" w:hAnsi="Arial" w:cs="Arial"/>
          <w:color w:val="000000" w:themeColor="text1"/>
        </w:rPr>
      </w:pPr>
      <w:r w:rsidRPr="001B0C86">
        <w:rPr>
          <w:rFonts w:ascii="Arial" w:hAnsi="Arial" w:cs="Arial"/>
        </w:rPr>
        <w:t xml:space="preserve">The most recent historical data for the drugs </w:t>
      </w:r>
      <w:r w:rsidRPr="001B0C86">
        <w:rPr>
          <w:rFonts w:ascii="Arial" w:hAnsi="Arial" w:cs="Arial"/>
          <w:color w:val="000000" w:themeColor="text1"/>
        </w:rPr>
        <w:t>indicator</w:t>
      </w:r>
      <w:r w:rsidR="006F5967" w:rsidRPr="001B0C86">
        <w:rPr>
          <w:rFonts w:ascii="Arial" w:hAnsi="Arial" w:cs="Arial"/>
          <w:color w:val="000000" w:themeColor="text1"/>
        </w:rPr>
        <w:t xml:space="preserve"> </w:t>
      </w:r>
      <w:r w:rsidRPr="001B0C86">
        <w:rPr>
          <w:rFonts w:ascii="Arial" w:hAnsi="Arial" w:cs="Arial"/>
        </w:rPr>
        <w:t>suggest the following</w:t>
      </w:r>
      <w:r w:rsidR="00F30E50" w:rsidRPr="001B0C86">
        <w:rPr>
          <w:rFonts w:ascii="Arial" w:hAnsi="Arial" w:cs="Arial"/>
          <w:color w:val="FF0000"/>
        </w:rPr>
        <w:t xml:space="preserve"> </w:t>
      </w:r>
      <w:r w:rsidR="00F30E50" w:rsidRPr="001B0C86">
        <w:rPr>
          <w:rFonts w:ascii="Arial" w:hAnsi="Arial" w:cs="Arial"/>
          <w:color w:val="000000" w:themeColor="text1"/>
        </w:rPr>
        <w:t>local authority wide improvement thresholds</w:t>
      </w:r>
      <w:r w:rsidR="00170305" w:rsidRPr="001B0C86">
        <w:rPr>
          <w:rFonts w:ascii="Arial" w:hAnsi="Arial" w:cs="Arial"/>
          <w:color w:val="000000" w:themeColor="text1"/>
        </w:rPr>
        <w:t xml:space="preserve"> for statistical robustness</w:t>
      </w:r>
      <w:r w:rsidR="00E10168" w:rsidRPr="001B0C86">
        <w:rPr>
          <w:rFonts w:ascii="Arial" w:hAnsi="Arial" w:cs="Arial"/>
          <w:color w:val="000000" w:themeColor="text1"/>
        </w:rPr>
        <w:t>:</w:t>
      </w:r>
    </w:p>
    <w:p w:rsidR="008F3C62" w:rsidRPr="009543D6" w:rsidRDefault="008F3C62" w:rsidP="00053E3A">
      <w:pPr>
        <w:spacing w:before="0" w:after="0" w:line="240" w:lineRule="auto"/>
        <w:ind w:left="1134" w:hanging="567"/>
        <w:contextualSpacing/>
        <w:rPr>
          <w:szCs w:val="24"/>
          <w:lang w:eastAsia="en-GB"/>
        </w:rPr>
      </w:pPr>
    </w:p>
    <w:tbl>
      <w:tblPr>
        <w:tblW w:w="0" w:type="auto"/>
        <w:tblInd w:w="1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4"/>
        <w:gridCol w:w="2976"/>
      </w:tblGrid>
      <w:tr w:rsidR="008F3C62" w:rsidRPr="009543D6" w:rsidTr="008F3C62">
        <w:trPr>
          <w:trHeight w:val="520"/>
        </w:trPr>
        <w:tc>
          <w:tcPr>
            <w:tcW w:w="2714" w:type="dxa"/>
            <w:vAlign w:val="center"/>
          </w:tcPr>
          <w:p w:rsidR="008F3C62" w:rsidRPr="009543D6" w:rsidRDefault="008F3C62" w:rsidP="00053E3A">
            <w:pPr>
              <w:tabs>
                <w:tab w:val="left" w:pos="993"/>
              </w:tabs>
              <w:spacing w:before="0" w:after="0" w:line="240" w:lineRule="auto"/>
              <w:ind w:left="1134" w:hanging="567"/>
              <w:contextualSpacing/>
              <w:rPr>
                <w:b/>
                <w:szCs w:val="24"/>
                <w:lang w:eastAsia="en-GB"/>
              </w:rPr>
            </w:pPr>
            <w:r w:rsidRPr="009543D6">
              <w:rPr>
                <w:b/>
                <w:szCs w:val="24"/>
                <w:lang w:eastAsia="en-GB"/>
              </w:rPr>
              <w:t>Drugs indicator</w:t>
            </w:r>
          </w:p>
        </w:tc>
        <w:tc>
          <w:tcPr>
            <w:tcW w:w="2976" w:type="dxa"/>
            <w:vAlign w:val="center"/>
          </w:tcPr>
          <w:p w:rsidR="008F3C62" w:rsidRPr="009543D6" w:rsidRDefault="008F3C62" w:rsidP="00053E3A">
            <w:pPr>
              <w:tabs>
                <w:tab w:val="left" w:pos="993"/>
              </w:tabs>
              <w:spacing w:before="0" w:after="0" w:line="240" w:lineRule="auto"/>
              <w:ind w:left="1134" w:hanging="567"/>
              <w:contextualSpacing/>
              <w:rPr>
                <w:b/>
                <w:szCs w:val="24"/>
                <w:lang w:eastAsia="en-GB"/>
              </w:rPr>
            </w:pPr>
            <w:r w:rsidRPr="009543D6">
              <w:rPr>
                <w:b/>
                <w:szCs w:val="24"/>
                <w:lang w:eastAsia="en-GB"/>
              </w:rPr>
              <w:t>Improvement required</w:t>
            </w:r>
          </w:p>
        </w:tc>
      </w:tr>
      <w:tr w:rsidR="008F3C62" w:rsidRPr="009543D6" w:rsidTr="008F3C62">
        <w:trPr>
          <w:trHeight w:val="520"/>
        </w:trPr>
        <w:tc>
          <w:tcPr>
            <w:tcW w:w="2714" w:type="dxa"/>
            <w:vAlign w:val="center"/>
          </w:tcPr>
          <w:p w:rsidR="008F3C62" w:rsidRPr="009543D6" w:rsidRDefault="008F3C62" w:rsidP="00053E3A">
            <w:pPr>
              <w:tabs>
                <w:tab w:val="left" w:pos="993"/>
              </w:tabs>
              <w:ind w:left="1134" w:hanging="567"/>
            </w:pPr>
            <w:r w:rsidRPr="009543D6">
              <w:t>Lower Quartile</w:t>
            </w:r>
          </w:p>
        </w:tc>
        <w:tc>
          <w:tcPr>
            <w:tcW w:w="2976" w:type="dxa"/>
            <w:vAlign w:val="center"/>
          </w:tcPr>
          <w:p w:rsidR="008F3C62" w:rsidRPr="009543D6" w:rsidRDefault="008F3C62" w:rsidP="00053E3A">
            <w:pPr>
              <w:tabs>
                <w:tab w:val="left" w:pos="993"/>
              </w:tabs>
              <w:spacing w:before="0" w:after="0" w:line="240" w:lineRule="auto"/>
              <w:ind w:left="1134" w:hanging="567"/>
              <w:contextualSpacing/>
              <w:jc w:val="center"/>
              <w:rPr>
                <w:szCs w:val="24"/>
                <w:lang w:eastAsia="en-GB"/>
              </w:rPr>
            </w:pPr>
            <w:r w:rsidRPr="009543D6">
              <w:rPr>
                <w:szCs w:val="24"/>
                <w:lang w:eastAsia="en-GB"/>
              </w:rPr>
              <w:t>2.0</w:t>
            </w:r>
            <w:r w:rsidR="000448CC" w:rsidRPr="009543D6">
              <w:rPr>
                <w:szCs w:val="24"/>
                <w:lang w:eastAsia="en-GB"/>
              </w:rPr>
              <w:t xml:space="preserve"> percentage points</w:t>
            </w:r>
          </w:p>
        </w:tc>
      </w:tr>
      <w:tr w:rsidR="008F3C62" w:rsidRPr="009543D6" w:rsidTr="008F3C62">
        <w:trPr>
          <w:trHeight w:val="520"/>
        </w:trPr>
        <w:tc>
          <w:tcPr>
            <w:tcW w:w="2714" w:type="dxa"/>
            <w:vAlign w:val="center"/>
          </w:tcPr>
          <w:p w:rsidR="008F3C62" w:rsidRPr="009543D6" w:rsidRDefault="008F3C62" w:rsidP="00053E3A">
            <w:pPr>
              <w:tabs>
                <w:tab w:val="left" w:pos="993"/>
              </w:tabs>
              <w:ind w:left="1134" w:hanging="567"/>
            </w:pPr>
            <w:r w:rsidRPr="009543D6">
              <w:t>Median</w:t>
            </w:r>
          </w:p>
        </w:tc>
        <w:tc>
          <w:tcPr>
            <w:tcW w:w="2976" w:type="dxa"/>
            <w:vAlign w:val="center"/>
          </w:tcPr>
          <w:p w:rsidR="008F3C62" w:rsidRPr="009543D6" w:rsidRDefault="008F3C62" w:rsidP="00053E3A">
            <w:pPr>
              <w:tabs>
                <w:tab w:val="left" w:pos="993"/>
              </w:tabs>
              <w:spacing w:before="0" w:after="0" w:line="240" w:lineRule="auto"/>
              <w:ind w:left="1134" w:hanging="567"/>
              <w:contextualSpacing/>
              <w:jc w:val="center"/>
              <w:rPr>
                <w:szCs w:val="24"/>
                <w:lang w:eastAsia="en-GB"/>
              </w:rPr>
            </w:pPr>
            <w:r w:rsidRPr="009543D6">
              <w:rPr>
                <w:szCs w:val="24"/>
                <w:lang w:eastAsia="en-GB"/>
              </w:rPr>
              <w:t>2.5</w:t>
            </w:r>
            <w:r w:rsidR="000448CC" w:rsidRPr="009543D6">
              <w:rPr>
                <w:szCs w:val="24"/>
                <w:lang w:eastAsia="en-GB"/>
              </w:rPr>
              <w:t xml:space="preserve"> percentage points</w:t>
            </w:r>
          </w:p>
        </w:tc>
      </w:tr>
      <w:tr w:rsidR="008F3C62" w:rsidRPr="009543D6" w:rsidTr="008F3C62">
        <w:trPr>
          <w:trHeight w:val="520"/>
        </w:trPr>
        <w:tc>
          <w:tcPr>
            <w:tcW w:w="2714" w:type="dxa"/>
            <w:vAlign w:val="center"/>
          </w:tcPr>
          <w:p w:rsidR="008F3C62" w:rsidRPr="009543D6" w:rsidRDefault="008F3C62" w:rsidP="00053E3A">
            <w:pPr>
              <w:tabs>
                <w:tab w:val="left" w:pos="993"/>
              </w:tabs>
              <w:ind w:left="1134" w:hanging="567"/>
            </w:pPr>
            <w:r w:rsidRPr="009543D6">
              <w:t>Upper Quartile</w:t>
            </w:r>
          </w:p>
        </w:tc>
        <w:tc>
          <w:tcPr>
            <w:tcW w:w="2976" w:type="dxa"/>
            <w:vAlign w:val="center"/>
          </w:tcPr>
          <w:p w:rsidR="008F3C62" w:rsidRPr="009543D6" w:rsidRDefault="008F3C62" w:rsidP="00053E3A">
            <w:pPr>
              <w:tabs>
                <w:tab w:val="left" w:pos="993"/>
              </w:tabs>
              <w:spacing w:before="0" w:after="0" w:line="240" w:lineRule="auto"/>
              <w:ind w:left="1134" w:hanging="567"/>
              <w:contextualSpacing/>
              <w:jc w:val="center"/>
              <w:rPr>
                <w:szCs w:val="24"/>
                <w:lang w:eastAsia="en-GB"/>
              </w:rPr>
            </w:pPr>
            <w:r w:rsidRPr="009543D6">
              <w:rPr>
                <w:szCs w:val="24"/>
                <w:lang w:eastAsia="en-GB"/>
              </w:rPr>
              <w:t>3.2</w:t>
            </w:r>
            <w:r w:rsidR="000448CC" w:rsidRPr="009543D6">
              <w:rPr>
                <w:szCs w:val="24"/>
                <w:lang w:eastAsia="en-GB"/>
              </w:rPr>
              <w:t xml:space="preserve"> percentage points</w:t>
            </w:r>
          </w:p>
        </w:tc>
      </w:tr>
    </w:tbl>
    <w:p w:rsidR="006F5967" w:rsidRPr="009543D6" w:rsidRDefault="006F5967" w:rsidP="00053E3A">
      <w:pPr>
        <w:pStyle w:val="ListParagraph"/>
        <w:ind w:left="1134" w:hanging="567"/>
        <w:rPr>
          <w:rFonts w:ascii="Arial" w:hAnsi="Arial" w:cs="Arial"/>
        </w:rPr>
      </w:pPr>
    </w:p>
    <w:p w:rsidR="00A9534E" w:rsidRPr="001B0C86" w:rsidRDefault="00F30E50" w:rsidP="00000EA3">
      <w:pPr>
        <w:pStyle w:val="ListParagraph"/>
        <w:numPr>
          <w:ilvl w:val="1"/>
          <w:numId w:val="15"/>
        </w:numPr>
        <w:ind w:left="1134" w:hanging="567"/>
        <w:rPr>
          <w:rFonts w:ascii="Arial" w:hAnsi="Arial" w:cs="Arial"/>
        </w:rPr>
      </w:pPr>
      <w:r w:rsidRPr="001B0C86">
        <w:rPr>
          <w:rFonts w:ascii="Arial" w:hAnsi="Arial" w:cs="Arial"/>
        </w:rPr>
        <w:t>Access to drug</w:t>
      </w:r>
      <w:r w:rsidR="00A9534E" w:rsidRPr="001B0C86">
        <w:rPr>
          <w:rFonts w:ascii="Arial" w:hAnsi="Arial" w:cs="Arial"/>
        </w:rPr>
        <w:t xml:space="preserve"> treatment </w:t>
      </w:r>
      <w:r w:rsidRPr="001B0C86">
        <w:rPr>
          <w:rFonts w:ascii="Arial" w:hAnsi="Arial" w:cs="Arial"/>
        </w:rPr>
        <w:t xml:space="preserve">services will be monitored to ensure that current service provision does not deteriorate. </w:t>
      </w:r>
      <w:r w:rsidR="00E10168" w:rsidRPr="001B0C86">
        <w:rPr>
          <w:rFonts w:ascii="Arial" w:hAnsi="Arial" w:cs="Arial"/>
        </w:rPr>
        <w:t xml:space="preserve"> </w:t>
      </w:r>
      <w:r w:rsidR="003E2108" w:rsidRPr="001B0C86">
        <w:rPr>
          <w:rFonts w:ascii="Arial" w:hAnsi="Arial" w:cs="Arial"/>
        </w:rPr>
        <w:t>Whil</w:t>
      </w:r>
      <w:r w:rsidR="00E10168" w:rsidRPr="001B0C86">
        <w:rPr>
          <w:rFonts w:ascii="Arial" w:hAnsi="Arial" w:cs="Arial"/>
        </w:rPr>
        <w:t>st</w:t>
      </w:r>
      <w:r w:rsidR="003E2108" w:rsidRPr="001B0C86">
        <w:rPr>
          <w:rFonts w:ascii="Arial" w:hAnsi="Arial" w:cs="Arial"/>
        </w:rPr>
        <w:t xml:space="preserve"> some variation in access is inevitable</w:t>
      </w:r>
      <w:r w:rsidR="00E10168" w:rsidRPr="001B0C86">
        <w:rPr>
          <w:rFonts w:ascii="Arial" w:hAnsi="Arial" w:cs="Arial"/>
        </w:rPr>
        <w:t>,</w:t>
      </w:r>
      <w:r w:rsidR="00A9534E" w:rsidRPr="001B0C86">
        <w:rPr>
          <w:rFonts w:ascii="Arial" w:hAnsi="Arial" w:cs="Arial"/>
        </w:rPr>
        <w:t xml:space="preserve"> </w:t>
      </w:r>
      <w:r w:rsidR="00E10168" w:rsidRPr="001B0C86">
        <w:rPr>
          <w:rFonts w:ascii="Arial" w:hAnsi="Arial" w:cs="Arial"/>
        </w:rPr>
        <w:t>l</w:t>
      </w:r>
      <w:r w:rsidR="00A9534E" w:rsidRPr="001B0C86">
        <w:rPr>
          <w:rFonts w:ascii="Arial" w:hAnsi="Arial" w:cs="Arial"/>
        </w:rPr>
        <w:t>ocal areas shall continue to focus on supporting complex clients</w:t>
      </w:r>
      <w:r w:rsidR="00E10168" w:rsidRPr="001B0C86">
        <w:rPr>
          <w:rFonts w:ascii="Arial" w:hAnsi="Arial" w:cs="Arial"/>
        </w:rPr>
        <w:t>,</w:t>
      </w:r>
      <w:r w:rsidR="00A9534E" w:rsidRPr="001B0C86">
        <w:rPr>
          <w:rFonts w:ascii="Arial" w:hAnsi="Arial" w:cs="Arial"/>
        </w:rPr>
        <w:t xml:space="preserve"> including opiate and crack users</w:t>
      </w:r>
      <w:r w:rsidR="00E10168" w:rsidRPr="001B0C86">
        <w:rPr>
          <w:rFonts w:ascii="Arial" w:hAnsi="Arial" w:cs="Arial"/>
        </w:rPr>
        <w:t>,</w:t>
      </w:r>
      <w:r w:rsidR="00A9534E" w:rsidRPr="001B0C86">
        <w:rPr>
          <w:rFonts w:ascii="Arial" w:hAnsi="Arial" w:cs="Arial"/>
        </w:rPr>
        <w:t xml:space="preserve"> </w:t>
      </w:r>
      <w:r w:rsidR="0032480A" w:rsidRPr="001B0C86">
        <w:rPr>
          <w:rFonts w:ascii="Arial" w:hAnsi="Arial" w:cs="Arial"/>
        </w:rPr>
        <w:t>and not</w:t>
      </w:r>
      <w:r w:rsidR="00A9534E" w:rsidRPr="001B0C86">
        <w:rPr>
          <w:rFonts w:ascii="Arial" w:hAnsi="Arial" w:cs="Arial"/>
        </w:rPr>
        <w:t xml:space="preserve"> unintentionally incentivise treatment provision on low complexity substance users in order to boost successful completion figures. Data on the complexity levels of users accessing and completing treatment is collected </w:t>
      </w:r>
      <w:r w:rsidR="00864FEE" w:rsidRPr="001B0C86">
        <w:rPr>
          <w:rFonts w:ascii="Arial" w:hAnsi="Arial" w:cs="Arial"/>
        </w:rPr>
        <w:t xml:space="preserve">and </w:t>
      </w:r>
      <w:r w:rsidR="00A9534E" w:rsidRPr="001B0C86">
        <w:rPr>
          <w:rFonts w:ascii="Arial" w:hAnsi="Arial" w:cs="Arial"/>
        </w:rPr>
        <w:t xml:space="preserve">monitored. </w:t>
      </w:r>
    </w:p>
    <w:p w:rsidR="00A9534E" w:rsidRPr="003E2108" w:rsidRDefault="00A9534E" w:rsidP="00053E3A">
      <w:pPr>
        <w:pStyle w:val="ListParagraph"/>
        <w:ind w:left="1134" w:hanging="567"/>
        <w:rPr>
          <w:rFonts w:ascii="Arial" w:hAnsi="Arial" w:cs="Arial"/>
        </w:rPr>
      </w:pPr>
    </w:p>
    <w:p w:rsidR="003A399B" w:rsidRPr="006F5967" w:rsidRDefault="003A399B" w:rsidP="00000EA3">
      <w:pPr>
        <w:pStyle w:val="ListParagraph"/>
        <w:numPr>
          <w:ilvl w:val="1"/>
          <w:numId w:val="15"/>
        </w:numPr>
        <w:ind w:left="1134" w:hanging="567"/>
        <w:rPr>
          <w:rFonts w:ascii="Arial" w:hAnsi="Arial" w:cs="Arial"/>
        </w:rPr>
      </w:pPr>
      <w:r w:rsidRPr="006F5967">
        <w:rPr>
          <w:rFonts w:ascii="Arial" w:hAnsi="Arial" w:cs="Arial"/>
        </w:rPr>
        <w:t xml:space="preserve">Note that </w:t>
      </w:r>
      <w:r w:rsidR="00516AE8" w:rsidRPr="006F5967">
        <w:rPr>
          <w:rFonts w:ascii="Arial" w:hAnsi="Arial" w:cs="Arial"/>
        </w:rPr>
        <w:t xml:space="preserve">the populations of the </w:t>
      </w:r>
      <w:r w:rsidRPr="006F5967">
        <w:rPr>
          <w:rFonts w:ascii="Arial" w:hAnsi="Arial" w:cs="Arial"/>
        </w:rPr>
        <w:t>Isles of Scilly and City of London are so small that it is all but impossible to detec</w:t>
      </w:r>
      <w:r w:rsidR="004D77F9" w:rsidRPr="006F5967">
        <w:rPr>
          <w:rFonts w:ascii="Arial" w:hAnsi="Arial" w:cs="Arial"/>
        </w:rPr>
        <w:t xml:space="preserve">t their progress or otherwise. </w:t>
      </w:r>
      <w:r w:rsidR="00E10168">
        <w:rPr>
          <w:rFonts w:ascii="Arial" w:hAnsi="Arial" w:cs="Arial"/>
        </w:rPr>
        <w:t xml:space="preserve"> </w:t>
      </w:r>
      <w:r w:rsidRPr="006F5967">
        <w:rPr>
          <w:rFonts w:ascii="Arial" w:hAnsi="Arial" w:cs="Arial"/>
        </w:rPr>
        <w:t xml:space="preserve">For health premium purposes they are therefore assumed to have fully achieved </w:t>
      </w:r>
      <w:r w:rsidR="007318E7" w:rsidRPr="006F5967">
        <w:rPr>
          <w:rFonts w:ascii="Arial" w:hAnsi="Arial" w:cs="Arial"/>
        </w:rPr>
        <w:t xml:space="preserve">their </w:t>
      </w:r>
      <w:r w:rsidRPr="006F5967">
        <w:rPr>
          <w:rFonts w:ascii="Arial" w:hAnsi="Arial" w:cs="Arial"/>
        </w:rPr>
        <w:t>t</w:t>
      </w:r>
      <w:r w:rsidR="00165169" w:rsidRPr="006F5967">
        <w:rPr>
          <w:rFonts w:ascii="Arial" w:hAnsi="Arial" w:cs="Arial"/>
        </w:rPr>
        <w:t>hreshold</w:t>
      </w:r>
      <w:r w:rsidRPr="006F5967">
        <w:rPr>
          <w:rFonts w:ascii="Arial" w:hAnsi="Arial" w:cs="Arial"/>
        </w:rPr>
        <w:t>.</w:t>
      </w:r>
    </w:p>
    <w:p w:rsidR="00B32AC9" w:rsidRPr="003D1506" w:rsidRDefault="00894DD0" w:rsidP="00C55CCC">
      <w:pPr>
        <w:pStyle w:val="Paragraphtext"/>
        <w:rPr>
          <w:rFonts w:cs="Arial"/>
          <w:color w:val="000000" w:themeColor="text1"/>
          <w:szCs w:val="24"/>
        </w:rPr>
      </w:pPr>
      <w:r w:rsidRPr="003D1506">
        <w:rPr>
          <w:rFonts w:cs="Arial"/>
          <w:color w:val="000000" w:themeColor="text1"/>
          <w:szCs w:val="24"/>
        </w:rPr>
        <w:t xml:space="preserve"> </w:t>
      </w:r>
    </w:p>
    <w:tbl>
      <w:tblPr>
        <w:tblW w:w="10065" w:type="dxa"/>
        <w:tblInd w:w="109" w:type="dxa"/>
        <w:tblBorders>
          <w:top w:val="single" w:sz="4" w:space="0" w:color="00D1AE"/>
          <w:left w:val="single" w:sz="4" w:space="0" w:color="00D1AE"/>
          <w:bottom w:val="single" w:sz="4" w:space="0" w:color="00D1AE"/>
          <w:right w:val="single" w:sz="4" w:space="0" w:color="00D1AE"/>
          <w:insideH w:val="single" w:sz="4" w:space="0" w:color="00D1AE"/>
          <w:insideV w:val="single" w:sz="4" w:space="0" w:color="00D1AE"/>
        </w:tblBorders>
        <w:tblLook w:val="0000" w:firstRow="0" w:lastRow="0" w:firstColumn="0" w:lastColumn="0" w:noHBand="0" w:noVBand="0"/>
      </w:tblPr>
      <w:tblGrid>
        <w:gridCol w:w="10065"/>
      </w:tblGrid>
      <w:tr w:rsidR="005A18B7" w:rsidTr="004A613F">
        <w:trPr>
          <w:trHeight w:val="897"/>
        </w:trPr>
        <w:tc>
          <w:tcPr>
            <w:tcW w:w="10065" w:type="dxa"/>
          </w:tcPr>
          <w:p w:rsidR="005A18B7" w:rsidRPr="00CC29F0" w:rsidRDefault="005A18B7" w:rsidP="000D3027">
            <w:pPr>
              <w:pStyle w:val="Heading1"/>
              <w:rPr>
                <w:rFonts w:eastAsiaTheme="minorHAnsi"/>
                <w:b/>
              </w:rPr>
            </w:pPr>
            <w:bookmarkStart w:id="22" w:name="_Toc389119563"/>
            <w:bookmarkStart w:id="23" w:name="_Toc390699472"/>
            <w:bookmarkStart w:id="24" w:name="_Toc390863842"/>
            <w:bookmarkStart w:id="25" w:name="_Toc396307855"/>
            <w:r w:rsidRPr="00CC29F0">
              <w:rPr>
                <w:rFonts w:eastAsiaTheme="minorHAnsi"/>
                <w:b/>
              </w:rPr>
              <w:t>Question 1</w:t>
            </w:r>
            <w:bookmarkEnd w:id="22"/>
            <w:bookmarkEnd w:id="23"/>
            <w:bookmarkEnd w:id="24"/>
            <w:bookmarkEnd w:id="25"/>
          </w:p>
          <w:p w:rsidR="00431E2C" w:rsidRPr="00BA6883" w:rsidRDefault="00431E2C" w:rsidP="00BA6883">
            <w:r w:rsidRPr="00BA6883">
              <w:t xml:space="preserve">Do you agree that successful </w:t>
            </w:r>
            <w:r w:rsidR="00BC765F">
              <w:t xml:space="preserve">completion of </w:t>
            </w:r>
            <w:r w:rsidR="00BC765F" w:rsidRPr="0032480A">
              <w:rPr>
                <w:b/>
              </w:rPr>
              <w:t>drug</w:t>
            </w:r>
            <w:r w:rsidR="00BC765F">
              <w:t xml:space="preserve"> </w:t>
            </w:r>
            <w:r w:rsidRPr="00BA6883">
              <w:t>treatment should be used as the pilot national incentive measure</w:t>
            </w:r>
            <w:r w:rsidR="00911F35">
              <w:t>?</w:t>
            </w:r>
          </w:p>
          <w:p w:rsidR="005F4BAE" w:rsidRPr="00431E2C" w:rsidRDefault="00CB5476" w:rsidP="00BA6883">
            <w:pPr>
              <w:rPr>
                <w:rFonts w:eastAsiaTheme="minorHAnsi"/>
                <w:szCs w:val="24"/>
              </w:rPr>
            </w:pPr>
            <w:sdt>
              <w:sdtPr>
                <w:rPr>
                  <w:rFonts w:eastAsiaTheme="minorHAnsi"/>
                  <w:szCs w:val="24"/>
                </w:rPr>
                <w:id w:val="-1527255991"/>
                <w14:checkbox>
                  <w14:checked w14:val="0"/>
                  <w14:checkedState w14:val="2612" w14:font="MS Gothic"/>
                  <w14:uncheckedState w14:val="2610" w14:font="MS Gothic"/>
                </w14:checkbox>
              </w:sdtPr>
              <w:sdtEndPr/>
              <w:sdtContent>
                <w:r w:rsidR="00BC765F">
                  <w:rPr>
                    <w:rFonts w:ascii="MS Gothic" w:eastAsia="MS Gothic" w:hAnsi="MS Gothic" w:hint="eastAsia"/>
                    <w:szCs w:val="24"/>
                  </w:rPr>
                  <w:t>☐</w:t>
                </w:r>
              </w:sdtContent>
            </w:sdt>
            <w:r w:rsidR="005F4BAE" w:rsidRPr="00431E2C">
              <w:rPr>
                <w:rFonts w:eastAsiaTheme="minorHAnsi"/>
                <w:szCs w:val="24"/>
              </w:rPr>
              <w:t xml:space="preserve">Yes </w:t>
            </w:r>
          </w:p>
          <w:p w:rsidR="005A18B7" w:rsidRPr="00431E2C" w:rsidRDefault="00CB5476" w:rsidP="00BA6883">
            <w:pPr>
              <w:rPr>
                <w:rFonts w:eastAsiaTheme="minorHAnsi"/>
                <w:szCs w:val="24"/>
              </w:rPr>
            </w:pPr>
            <w:sdt>
              <w:sdtPr>
                <w:rPr>
                  <w:rFonts w:eastAsiaTheme="minorHAnsi"/>
                  <w:szCs w:val="24"/>
                </w:rPr>
                <w:id w:val="1984029946"/>
                <w14:checkbox>
                  <w14:checked w14:val="0"/>
                  <w14:checkedState w14:val="2612" w14:font="MS Gothic"/>
                  <w14:uncheckedState w14:val="2610" w14:font="MS Gothic"/>
                </w14:checkbox>
              </w:sdtPr>
              <w:sdtEndPr/>
              <w:sdtContent>
                <w:r w:rsidR="00431E2C" w:rsidRPr="00DC29AB">
                  <w:rPr>
                    <w:rFonts w:ascii="MS Gothic" w:eastAsia="MS Gothic" w:hAnsi="MS Gothic" w:cs="MS Gothic"/>
                    <w:szCs w:val="24"/>
                  </w:rPr>
                  <w:t>☐</w:t>
                </w:r>
              </w:sdtContent>
            </w:sdt>
            <w:r w:rsidR="005F4BAE" w:rsidRPr="00DC29AB">
              <w:rPr>
                <w:rFonts w:eastAsiaTheme="minorHAnsi"/>
                <w:szCs w:val="24"/>
              </w:rPr>
              <w:t xml:space="preserve"> </w:t>
            </w:r>
            <w:r w:rsidR="005A18B7" w:rsidRPr="00431E2C">
              <w:rPr>
                <w:rFonts w:eastAsiaTheme="minorHAnsi"/>
                <w:szCs w:val="24"/>
              </w:rPr>
              <w:t>No</w:t>
            </w:r>
          </w:p>
          <w:p w:rsidR="00570DE6" w:rsidRPr="00BA6883" w:rsidRDefault="005A18B7" w:rsidP="00BA6883">
            <w:pPr>
              <w:rPr>
                <w:rFonts w:eastAsiaTheme="minorHAnsi"/>
              </w:rPr>
            </w:pPr>
            <w:r w:rsidRPr="00BA6883">
              <w:rPr>
                <w:rFonts w:eastAsiaTheme="minorHAnsi"/>
              </w:rPr>
              <w:t>If you have answered no</w:t>
            </w:r>
            <w:r w:rsidR="007F12E5" w:rsidRPr="00BA6883">
              <w:rPr>
                <w:rFonts w:eastAsiaTheme="minorHAnsi"/>
              </w:rPr>
              <w:t xml:space="preserve">, </w:t>
            </w:r>
            <w:r w:rsidR="000D3027" w:rsidRPr="00BA6883">
              <w:rPr>
                <w:rFonts w:eastAsiaTheme="minorHAnsi"/>
              </w:rPr>
              <w:t>p</w:t>
            </w:r>
            <w:r w:rsidR="007F12E5" w:rsidRPr="00BA6883">
              <w:rPr>
                <w:rFonts w:eastAsiaTheme="minorHAnsi"/>
              </w:rPr>
              <w:t>lease explain why</w:t>
            </w:r>
          </w:p>
          <w:p w:rsidR="00AC66D4" w:rsidRDefault="00AC66D4" w:rsidP="007F12E5">
            <w:pPr>
              <w:rPr>
                <w:rFonts w:eastAsiaTheme="minorHAnsi"/>
              </w:rPr>
            </w:pPr>
          </w:p>
        </w:tc>
      </w:tr>
    </w:tbl>
    <w:p w:rsidR="00894DD0" w:rsidRDefault="00894DD0" w:rsidP="00276394">
      <w:pPr>
        <w:rPr>
          <w:rFonts w:eastAsiaTheme="minorHAnsi"/>
        </w:rPr>
      </w:pPr>
    </w:p>
    <w:tbl>
      <w:tblPr>
        <w:tblW w:w="10065" w:type="dxa"/>
        <w:tblInd w:w="109" w:type="dxa"/>
        <w:tblBorders>
          <w:top w:val="single" w:sz="4" w:space="0" w:color="00D1AE"/>
          <w:left w:val="single" w:sz="4" w:space="0" w:color="00D1AE"/>
          <w:bottom w:val="single" w:sz="4" w:space="0" w:color="00D1AE"/>
          <w:right w:val="single" w:sz="4" w:space="0" w:color="00D1AE"/>
          <w:insideH w:val="single" w:sz="4" w:space="0" w:color="00D1AE"/>
          <w:insideV w:val="single" w:sz="4" w:space="0" w:color="00D1AE"/>
        </w:tblBorders>
        <w:tblLook w:val="0000" w:firstRow="0" w:lastRow="0" w:firstColumn="0" w:lastColumn="0" w:noHBand="0" w:noVBand="0"/>
      </w:tblPr>
      <w:tblGrid>
        <w:gridCol w:w="10065"/>
      </w:tblGrid>
      <w:tr w:rsidR="00BA6883" w:rsidTr="009570C6">
        <w:trPr>
          <w:trHeight w:val="897"/>
        </w:trPr>
        <w:tc>
          <w:tcPr>
            <w:tcW w:w="10065" w:type="dxa"/>
          </w:tcPr>
          <w:p w:rsidR="00BA6883" w:rsidRPr="00CC29F0" w:rsidRDefault="00BA6883" w:rsidP="009570C6">
            <w:pPr>
              <w:pStyle w:val="Heading1"/>
              <w:rPr>
                <w:rFonts w:eastAsiaTheme="minorHAnsi"/>
                <w:b/>
              </w:rPr>
            </w:pPr>
            <w:bookmarkStart w:id="26" w:name="_Toc390863843"/>
            <w:bookmarkStart w:id="27" w:name="_Toc396307856"/>
            <w:r w:rsidRPr="00CC29F0">
              <w:rPr>
                <w:rFonts w:eastAsiaTheme="minorHAnsi"/>
                <w:b/>
              </w:rPr>
              <w:t>Question 2</w:t>
            </w:r>
            <w:bookmarkEnd w:id="26"/>
            <w:bookmarkEnd w:id="27"/>
          </w:p>
          <w:p w:rsidR="00BA6883" w:rsidRDefault="00BA6883" w:rsidP="009570C6">
            <w:r>
              <w:t>What threshold should we adopt for demonstrating progress, balancing statistical significance with robustness</w:t>
            </w:r>
            <w:r w:rsidR="005847B9">
              <w:t xml:space="preserve"> for </w:t>
            </w:r>
            <w:r w:rsidR="00AC66D4" w:rsidRPr="00BA6883">
              <w:t xml:space="preserve">successful </w:t>
            </w:r>
            <w:r w:rsidR="00AC66D4">
              <w:t xml:space="preserve">completion of </w:t>
            </w:r>
            <w:r w:rsidR="005847B9" w:rsidRPr="002C69B3">
              <w:rPr>
                <w:b/>
              </w:rPr>
              <w:t>drug</w:t>
            </w:r>
            <w:r w:rsidR="005847B9">
              <w:t xml:space="preserve"> </w:t>
            </w:r>
            <w:r w:rsidR="005847B9" w:rsidRPr="00BA6883">
              <w:t>treatment</w:t>
            </w:r>
            <w:r>
              <w:t>?</w:t>
            </w:r>
          </w:p>
          <w:p w:rsidR="00BA6883" w:rsidRDefault="00BA6883" w:rsidP="009570C6">
            <w:pPr>
              <w:rPr>
                <w:rFonts w:eastAsiaTheme="minorHAnsi"/>
              </w:rPr>
            </w:pPr>
          </w:p>
        </w:tc>
      </w:tr>
    </w:tbl>
    <w:p w:rsidR="00BA6883" w:rsidRDefault="00BA6883" w:rsidP="00276394">
      <w:pPr>
        <w:rPr>
          <w:rFonts w:eastAsiaTheme="minorHAnsi"/>
        </w:rPr>
      </w:pPr>
    </w:p>
    <w:p w:rsidR="00F278ED" w:rsidRPr="00E86388" w:rsidRDefault="00F278ED" w:rsidP="00E86388">
      <w:pPr>
        <w:tabs>
          <w:tab w:val="left" w:pos="-4395"/>
        </w:tabs>
        <w:ind w:left="284"/>
        <w:rPr>
          <w:rFonts w:eastAsiaTheme="minorHAnsi"/>
          <w:b/>
          <w:szCs w:val="24"/>
        </w:rPr>
      </w:pPr>
      <w:r w:rsidRPr="00E86388">
        <w:rPr>
          <w:rFonts w:eastAsiaTheme="minorHAnsi"/>
          <w:b/>
          <w:szCs w:val="24"/>
        </w:rPr>
        <w:lastRenderedPageBreak/>
        <w:t xml:space="preserve">Local indicator </w:t>
      </w:r>
    </w:p>
    <w:p w:rsidR="002C69B3" w:rsidRPr="00E86388" w:rsidRDefault="002C69B3" w:rsidP="002C69B3">
      <w:pPr>
        <w:pStyle w:val="ListParagraph"/>
        <w:ind w:left="0"/>
        <w:rPr>
          <w:rFonts w:ascii="Arial" w:eastAsiaTheme="minorHAnsi" w:hAnsi="Arial" w:cs="Arial"/>
        </w:rPr>
      </w:pPr>
    </w:p>
    <w:p w:rsidR="00D91B4D" w:rsidRPr="00E86388" w:rsidRDefault="005A18B7" w:rsidP="00000EA3">
      <w:pPr>
        <w:pStyle w:val="ListParagraph"/>
        <w:numPr>
          <w:ilvl w:val="1"/>
          <w:numId w:val="15"/>
        </w:numPr>
        <w:ind w:left="1134" w:hanging="850"/>
        <w:rPr>
          <w:rFonts w:ascii="Arial" w:eastAsiaTheme="minorHAnsi" w:hAnsi="Arial" w:cs="Arial"/>
        </w:rPr>
      </w:pPr>
      <w:r w:rsidRPr="00E86388">
        <w:rPr>
          <w:rFonts w:ascii="Arial" w:eastAsiaTheme="minorHAnsi" w:hAnsi="Arial" w:cs="Arial"/>
        </w:rPr>
        <w:t xml:space="preserve">In </w:t>
      </w:r>
      <w:r w:rsidR="000D3027" w:rsidRPr="00E86388">
        <w:rPr>
          <w:rFonts w:ascii="Arial" w:eastAsiaTheme="minorHAnsi" w:hAnsi="Arial" w:cs="Arial"/>
        </w:rPr>
        <w:t xml:space="preserve">the </w:t>
      </w:r>
      <w:r w:rsidR="00870115" w:rsidRPr="00E86388">
        <w:rPr>
          <w:rFonts w:ascii="Arial" w:eastAsiaTheme="minorHAnsi" w:hAnsi="Arial" w:cs="Arial"/>
        </w:rPr>
        <w:t>201</w:t>
      </w:r>
      <w:r w:rsidR="00431E2C" w:rsidRPr="00E86388">
        <w:rPr>
          <w:rFonts w:ascii="Arial" w:eastAsiaTheme="minorHAnsi" w:hAnsi="Arial" w:cs="Arial"/>
        </w:rPr>
        <w:t>4</w:t>
      </w:r>
      <w:r w:rsidR="00870115" w:rsidRPr="00E86388">
        <w:rPr>
          <w:rFonts w:ascii="Arial" w:eastAsiaTheme="minorHAnsi" w:hAnsi="Arial" w:cs="Arial"/>
        </w:rPr>
        <w:t>/1</w:t>
      </w:r>
      <w:r w:rsidR="00431E2C" w:rsidRPr="00E86388">
        <w:rPr>
          <w:rFonts w:ascii="Arial" w:eastAsiaTheme="minorHAnsi" w:hAnsi="Arial" w:cs="Arial"/>
        </w:rPr>
        <w:t>5</w:t>
      </w:r>
      <w:r w:rsidR="000D3027" w:rsidRPr="00E86388">
        <w:rPr>
          <w:rFonts w:ascii="Arial" w:eastAsiaTheme="minorHAnsi" w:hAnsi="Arial" w:cs="Arial"/>
        </w:rPr>
        <w:t xml:space="preserve"> pilot year</w:t>
      </w:r>
      <w:r w:rsidRPr="00E86388">
        <w:rPr>
          <w:rFonts w:ascii="Arial" w:eastAsiaTheme="minorHAnsi" w:hAnsi="Arial" w:cs="Arial"/>
        </w:rPr>
        <w:t xml:space="preserve">, local authorities are </w:t>
      </w:r>
      <w:r w:rsidR="003A399B" w:rsidRPr="00E86388">
        <w:rPr>
          <w:rFonts w:ascii="Arial" w:eastAsiaTheme="minorHAnsi" w:hAnsi="Arial" w:cs="Arial"/>
        </w:rPr>
        <w:t>asked</w:t>
      </w:r>
      <w:r w:rsidRPr="00E86388">
        <w:rPr>
          <w:rFonts w:ascii="Arial" w:eastAsiaTheme="minorHAnsi" w:hAnsi="Arial" w:cs="Arial"/>
        </w:rPr>
        <w:t xml:space="preserve"> to </w:t>
      </w:r>
      <w:r w:rsidR="003A399B" w:rsidRPr="00E86388">
        <w:rPr>
          <w:rFonts w:ascii="Arial" w:eastAsiaTheme="minorHAnsi" w:hAnsi="Arial" w:cs="Arial"/>
        </w:rPr>
        <w:t xml:space="preserve">select </w:t>
      </w:r>
      <w:r w:rsidR="005D3B4A" w:rsidRPr="00E86388">
        <w:rPr>
          <w:rFonts w:ascii="Arial" w:eastAsiaTheme="minorHAnsi" w:hAnsi="Arial" w:cs="Arial"/>
        </w:rPr>
        <w:t>one</w:t>
      </w:r>
      <w:r w:rsidRPr="00E86388">
        <w:rPr>
          <w:rFonts w:ascii="Arial" w:eastAsiaTheme="minorHAnsi" w:hAnsi="Arial" w:cs="Arial"/>
        </w:rPr>
        <w:t xml:space="preserve"> in</w:t>
      </w:r>
      <w:r w:rsidR="005D3B4A" w:rsidRPr="00E86388">
        <w:rPr>
          <w:rFonts w:ascii="Arial" w:eastAsiaTheme="minorHAnsi" w:hAnsi="Arial" w:cs="Arial"/>
        </w:rPr>
        <w:t>dicator from</w:t>
      </w:r>
      <w:r w:rsidR="00A16638" w:rsidRPr="00E86388">
        <w:rPr>
          <w:rFonts w:ascii="Arial" w:eastAsiaTheme="minorHAnsi" w:hAnsi="Arial" w:cs="Arial"/>
        </w:rPr>
        <w:t xml:space="preserve"> </w:t>
      </w:r>
      <w:r w:rsidR="003A399B" w:rsidRPr="00E86388">
        <w:rPr>
          <w:rFonts w:ascii="Arial" w:eastAsiaTheme="minorHAnsi" w:hAnsi="Arial" w:cs="Arial"/>
        </w:rPr>
        <w:t xml:space="preserve">those passing ACRA’s technical criteria. </w:t>
      </w:r>
      <w:r w:rsidR="00E10168" w:rsidRPr="00E86388">
        <w:rPr>
          <w:rFonts w:ascii="Arial" w:eastAsiaTheme="minorHAnsi" w:hAnsi="Arial" w:cs="Arial"/>
        </w:rPr>
        <w:t xml:space="preserve"> </w:t>
      </w:r>
      <w:r w:rsidR="003A399B" w:rsidRPr="00E86388">
        <w:rPr>
          <w:rFonts w:ascii="Arial" w:eastAsiaTheme="minorHAnsi" w:hAnsi="Arial" w:cs="Arial"/>
        </w:rPr>
        <w:t>Given that local authorities have taken on responsibility for public health relatively recently we have excluded measures that use a multi-year rolling average from this list, such as mortality rate measures</w:t>
      </w:r>
      <w:r w:rsidR="00431E2C" w:rsidRPr="00E86388">
        <w:rPr>
          <w:rFonts w:ascii="Arial" w:eastAsiaTheme="minorHAnsi" w:hAnsi="Arial" w:cs="Arial"/>
        </w:rPr>
        <w:t xml:space="preserve"> mainly from domain 4 of the PHOF. </w:t>
      </w:r>
    </w:p>
    <w:p w:rsidR="00D91B4D" w:rsidRPr="00E86388" w:rsidRDefault="00D91B4D" w:rsidP="003E2108">
      <w:pPr>
        <w:pStyle w:val="ListParagraph"/>
        <w:ind w:left="0"/>
        <w:rPr>
          <w:rFonts w:ascii="Arial" w:eastAsiaTheme="minorHAnsi" w:hAnsi="Arial" w:cs="Arial"/>
        </w:rPr>
      </w:pPr>
    </w:p>
    <w:p w:rsidR="003E2108" w:rsidRPr="005A27BC" w:rsidRDefault="00DC0FEE" w:rsidP="00000EA3">
      <w:pPr>
        <w:pStyle w:val="ListParagraph"/>
        <w:numPr>
          <w:ilvl w:val="1"/>
          <w:numId w:val="15"/>
        </w:numPr>
        <w:ind w:hanging="796"/>
        <w:rPr>
          <w:rFonts w:ascii="Arial" w:eastAsiaTheme="minorHAnsi" w:hAnsi="Arial" w:cs="Arial"/>
        </w:rPr>
      </w:pPr>
      <w:r w:rsidRPr="005A27BC">
        <w:rPr>
          <w:rFonts w:ascii="Arial" w:eastAsiaTheme="minorHAnsi" w:hAnsi="Arial" w:cs="Arial"/>
        </w:rPr>
        <w:t>Subject to this pilot year, we expect to roll this scheme out in the coming years, expanding the schem</w:t>
      </w:r>
      <w:r w:rsidR="005D3B4A" w:rsidRPr="005A27BC">
        <w:rPr>
          <w:rFonts w:ascii="Arial" w:eastAsiaTheme="minorHAnsi" w:hAnsi="Arial" w:cs="Arial"/>
        </w:rPr>
        <w:t>e to cover all domains of the P</w:t>
      </w:r>
      <w:r w:rsidRPr="005A27BC">
        <w:rPr>
          <w:rFonts w:ascii="Arial" w:eastAsiaTheme="minorHAnsi" w:hAnsi="Arial" w:cs="Arial"/>
        </w:rPr>
        <w:t xml:space="preserve">ublic Health </w:t>
      </w:r>
      <w:r w:rsidR="003B3EB3" w:rsidRPr="005A27BC">
        <w:rPr>
          <w:rFonts w:ascii="Arial" w:eastAsiaTheme="minorHAnsi" w:hAnsi="Arial" w:cs="Arial"/>
        </w:rPr>
        <w:t>O</w:t>
      </w:r>
      <w:r w:rsidRPr="005A27BC">
        <w:rPr>
          <w:rFonts w:ascii="Arial" w:eastAsiaTheme="minorHAnsi" w:hAnsi="Arial" w:cs="Arial"/>
        </w:rPr>
        <w:t>utcomes Framework and</w:t>
      </w:r>
      <w:r w:rsidR="0006077F" w:rsidRPr="005A27BC">
        <w:rPr>
          <w:rFonts w:ascii="Arial" w:eastAsiaTheme="minorHAnsi" w:hAnsi="Arial" w:cs="Arial"/>
        </w:rPr>
        <w:t xml:space="preserve"> also seeking to accommodate</w:t>
      </w:r>
      <w:r w:rsidRPr="005A27BC">
        <w:rPr>
          <w:rFonts w:ascii="Arial" w:eastAsiaTheme="minorHAnsi" w:hAnsi="Arial" w:cs="Arial"/>
        </w:rPr>
        <w:t xml:space="preserve"> </w:t>
      </w:r>
      <w:r w:rsidR="008B6F16" w:rsidRPr="005A27BC">
        <w:rPr>
          <w:rFonts w:ascii="Arial" w:eastAsiaTheme="minorHAnsi" w:hAnsi="Arial" w:cs="Arial"/>
        </w:rPr>
        <w:t xml:space="preserve">locally developed </w:t>
      </w:r>
      <w:r w:rsidRPr="005A27BC">
        <w:rPr>
          <w:rFonts w:ascii="Arial" w:eastAsiaTheme="minorHAnsi" w:hAnsi="Arial" w:cs="Arial"/>
        </w:rPr>
        <w:t>healt</w:t>
      </w:r>
      <w:r w:rsidR="005D3B4A" w:rsidRPr="005A27BC">
        <w:rPr>
          <w:rFonts w:ascii="Arial" w:eastAsiaTheme="minorHAnsi" w:hAnsi="Arial" w:cs="Arial"/>
        </w:rPr>
        <w:t>h</w:t>
      </w:r>
      <w:r w:rsidRPr="005A27BC">
        <w:rPr>
          <w:rFonts w:ascii="Arial" w:eastAsiaTheme="minorHAnsi" w:hAnsi="Arial" w:cs="Arial"/>
        </w:rPr>
        <w:t xml:space="preserve"> inequalities</w:t>
      </w:r>
      <w:r w:rsidR="008B6F16" w:rsidRPr="005A27BC">
        <w:rPr>
          <w:rFonts w:ascii="Arial" w:eastAsiaTheme="minorHAnsi" w:hAnsi="Arial" w:cs="Arial"/>
        </w:rPr>
        <w:t xml:space="preserve"> indicator</w:t>
      </w:r>
      <w:r w:rsidR="0006077F" w:rsidRPr="005A27BC">
        <w:rPr>
          <w:rFonts w:ascii="Arial" w:eastAsiaTheme="minorHAnsi" w:hAnsi="Arial" w:cs="Arial"/>
        </w:rPr>
        <w:t xml:space="preserve"> that meet ACRA’s technical criteria</w:t>
      </w:r>
      <w:r w:rsidRPr="005A27BC">
        <w:rPr>
          <w:rFonts w:ascii="Arial" w:eastAsiaTheme="minorHAnsi" w:hAnsi="Arial" w:cs="Arial"/>
        </w:rPr>
        <w:t>.</w:t>
      </w:r>
    </w:p>
    <w:p w:rsidR="003E2108" w:rsidRPr="00E86388" w:rsidRDefault="003E2108" w:rsidP="002C69B3">
      <w:pPr>
        <w:pStyle w:val="ListParagraph"/>
        <w:ind w:left="0"/>
        <w:rPr>
          <w:rFonts w:ascii="Arial" w:eastAsiaTheme="minorHAnsi" w:hAnsi="Arial" w:cs="Arial"/>
        </w:rPr>
      </w:pPr>
    </w:p>
    <w:p w:rsidR="001552B3" w:rsidRDefault="00501178" w:rsidP="00000EA3">
      <w:pPr>
        <w:pStyle w:val="ListParagraph"/>
        <w:numPr>
          <w:ilvl w:val="1"/>
          <w:numId w:val="15"/>
        </w:numPr>
        <w:ind w:left="1134" w:hanging="850"/>
        <w:rPr>
          <w:rFonts w:ascii="Arial" w:eastAsiaTheme="minorHAnsi" w:hAnsi="Arial" w:cs="Arial"/>
        </w:rPr>
      </w:pPr>
      <w:r w:rsidRPr="00E86388">
        <w:rPr>
          <w:rFonts w:ascii="Arial" w:eastAsiaTheme="minorHAnsi" w:hAnsi="Arial" w:cs="Arial"/>
        </w:rPr>
        <w:t xml:space="preserve">PHOF </w:t>
      </w:r>
      <w:r w:rsidR="00313FA7" w:rsidRPr="00E86388">
        <w:rPr>
          <w:rFonts w:ascii="Arial" w:eastAsiaTheme="minorHAnsi" w:hAnsi="Arial" w:cs="Arial"/>
        </w:rPr>
        <w:t>Indicators that attract incentives from other governm</w:t>
      </w:r>
      <w:r w:rsidRPr="00E86388">
        <w:rPr>
          <w:rFonts w:ascii="Arial" w:eastAsiaTheme="minorHAnsi" w:hAnsi="Arial" w:cs="Arial"/>
        </w:rPr>
        <w:t>ent departments have also been ex</w:t>
      </w:r>
      <w:r w:rsidR="00313FA7" w:rsidRPr="00E86388">
        <w:rPr>
          <w:rFonts w:ascii="Arial" w:eastAsiaTheme="minorHAnsi" w:hAnsi="Arial" w:cs="Arial"/>
        </w:rPr>
        <w:t xml:space="preserve">cluded. </w:t>
      </w:r>
      <w:r w:rsidR="0029631B" w:rsidRPr="00E86388">
        <w:rPr>
          <w:rFonts w:ascii="Arial" w:eastAsiaTheme="minorHAnsi" w:hAnsi="Arial" w:cs="Arial"/>
        </w:rPr>
        <w:t xml:space="preserve"> </w:t>
      </w:r>
      <w:r w:rsidR="00313FA7" w:rsidRPr="00E86388">
        <w:rPr>
          <w:rFonts w:ascii="Arial" w:eastAsiaTheme="minorHAnsi" w:hAnsi="Arial" w:cs="Arial"/>
        </w:rPr>
        <w:t>For 2014/15</w:t>
      </w:r>
      <w:r w:rsidRPr="00E86388">
        <w:rPr>
          <w:rFonts w:ascii="Arial" w:eastAsiaTheme="minorHAnsi" w:hAnsi="Arial" w:cs="Arial"/>
        </w:rPr>
        <w:t xml:space="preserve">,the exclusions are: </w:t>
      </w:r>
    </w:p>
    <w:p w:rsidR="00E86388" w:rsidRPr="00E86388" w:rsidRDefault="00E86388" w:rsidP="00E86388">
      <w:pPr>
        <w:pStyle w:val="ListParagraph"/>
        <w:ind w:left="1134"/>
        <w:rPr>
          <w:rFonts w:ascii="Arial" w:eastAsiaTheme="minorHAnsi" w:hAnsi="Arial" w:cs="Arial"/>
          <w:sz w:val="16"/>
        </w:rPr>
      </w:pPr>
    </w:p>
    <w:p w:rsidR="001552B3" w:rsidRPr="00E86388" w:rsidRDefault="00313FA7" w:rsidP="00000EA3">
      <w:pPr>
        <w:pStyle w:val="ListParagraph"/>
        <w:numPr>
          <w:ilvl w:val="0"/>
          <w:numId w:val="17"/>
        </w:numPr>
        <w:rPr>
          <w:rFonts w:eastAsiaTheme="minorHAnsi"/>
          <w:strike/>
        </w:rPr>
      </w:pPr>
      <w:r w:rsidRPr="00E86388">
        <w:rPr>
          <w:rFonts w:ascii="Arial" w:eastAsiaTheme="minorHAnsi" w:hAnsi="Arial" w:cs="Arial"/>
        </w:rPr>
        <w:t>First time entrants to the youth justice system</w:t>
      </w:r>
      <w:r w:rsidR="00501178" w:rsidRPr="00E86388">
        <w:rPr>
          <w:rFonts w:ascii="Arial" w:eastAsiaTheme="minorHAnsi" w:hAnsi="Arial" w:cs="Arial"/>
        </w:rPr>
        <w:t xml:space="preserve"> </w:t>
      </w:r>
      <w:r w:rsidR="001C74AB" w:rsidRPr="00E86388">
        <w:rPr>
          <w:rFonts w:ascii="Arial" w:eastAsiaTheme="minorHAnsi" w:hAnsi="Arial" w:cs="Arial"/>
        </w:rPr>
        <w:t xml:space="preserve">(1.04i) </w:t>
      </w:r>
      <w:r w:rsidR="00501178" w:rsidRPr="00E86388">
        <w:rPr>
          <w:rFonts w:ascii="Arial" w:eastAsiaTheme="minorHAnsi" w:hAnsi="Arial" w:cs="Arial"/>
        </w:rPr>
        <w:t>-</w:t>
      </w:r>
      <w:r w:rsidRPr="00E86388">
        <w:rPr>
          <w:rFonts w:ascii="Arial" w:eastAsiaTheme="minorHAnsi" w:hAnsi="Arial" w:cs="Arial"/>
        </w:rPr>
        <w:t xml:space="preserve"> L</w:t>
      </w:r>
      <w:r w:rsidRPr="00E86388">
        <w:rPr>
          <w:rFonts w:ascii="Arial" w:hAnsi="Arial" w:cs="Arial"/>
        </w:rPr>
        <w:t>ocal authorities are paid on a reduction in youth reoffending rates of 33% per child yearly</w:t>
      </w:r>
      <w:r w:rsidR="001552B3" w:rsidRPr="00E86388">
        <w:rPr>
          <w:rFonts w:ascii="Arial" w:hAnsi="Arial" w:cs="Arial"/>
        </w:rPr>
        <w:t>.</w:t>
      </w:r>
      <w:r w:rsidR="0029631B" w:rsidRPr="00E86388">
        <w:rPr>
          <w:rFonts w:ascii="Arial" w:hAnsi="Arial" w:cs="Arial"/>
        </w:rPr>
        <w:t xml:space="preserve"> </w:t>
      </w:r>
      <w:r w:rsidRPr="00E86388">
        <w:rPr>
          <w:rFonts w:ascii="Arial" w:hAnsi="Arial" w:cs="Arial"/>
        </w:rPr>
        <w:t xml:space="preserve"> Payments are made by Department of Communities and Local Government</w:t>
      </w:r>
      <w:r w:rsidR="001552B3" w:rsidRPr="00E86388">
        <w:rPr>
          <w:rFonts w:ascii="Arial" w:hAnsi="Arial" w:cs="Arial"/>
        </w:rPr>
        <w:t>.</w:t>
      </w:r>
    </w:p>
    <w:p w:rsidR="00E86388" w:rsidRPr="00E86388" w:rsidRDefault="00E86388" w:rsidP="00E86388">
      <w:pPr>
        <w:pStyle w:val="ListParagraph"/>
        <w:rPr>
          <w:rFonts w:eastAsiaTheme="minorHAnsi"/>
          <w:strike/>
          <w:sz w:val="14"/>
        </w:rPr>
      </w:pPr>
    </w:p>
    <w:p w:rsidR="001C74AB" w:rsidRPr="00E86388" w:rsidRDefault="00501178" w:rsidP="00000EA3">
      <w:pPr>
        <w:pStyle w:val="ListParagraph"/>
        <w:numPr>
          <w:ilvl w:val="0"/>
          <w:numId w:val="17"/>
        </w:numPr>
        <w:rPr>
          <w:rFonts w:ascii="Arial" w:eastAsiaTheme="minorHAnsi" w:hAnsi="Arial" w:cs="Arial"/>
          <w:strike/>
        </w:rPr>
      </w:pPr>
      <w:r w:rsidRPr="00E86388">
        <w:rPr>
          <w:rFonts w:ascii="Arial" w:hAnsi="Arial" w:cs="Arial"/>
        </w:rPr>
        <w:t>Re-offending levels</w:t>
      </w:r>
      <w:r w:rsidR="001C74AB" w:rsidRPr="00E86388">
        <w:rPr>
          <w:rFonts w:ascii="Arial" w:hAnsi="Arial" w:cs="Arial"/>
        </w:rPr>
        <w:t xml:space="preserve"> (1.13i&amp;ii)</w:t>
      </w:r>
      <w:r w:rsidRPr="00E86388">
        <w:rPr>
          <w:rFonts w:ascii="Arial" w:hAnsi="Arial" w:cs="Arial"/>
        </w:rPr>
        <w:t xml:space="preserve"> - In</w:t>
      </w:r>
      <w:r w:rsidR="001552B3" w:rsidRPr="00E86388">
        <w:rPr>
          <w:rFonts w:ascii="Arial" w:hAnsi="Arial" w:cs="Arial"/>
        </w:rPr>
        <w:t xml:space="preserve"> t</w:t>
      </w:r>
      <w:r w:rsidRPr="00E86388">
        <w:rPr>
          <w:rFonts w:ascii="Arial" w:hAnsi="Arial" w:cs="Arial"/>
        </w:rPr>
        <w:t xml:space="preserve">ransforming </w:t>
      </w:r>
      <w:r w:rsidR="001552B3" w:rsidRPr="00E86388">
        <w:rPr>
          <w:rFonts w:ascii="Arial" w:hAnsi="Arial" w:cs="Arial"/>
        </w:rPr>
        <w:t>r</w:t>
      </w:r>
      <w:r w:rsidRPr="00E86388">
        <w:rPr>
          <w:rFonts w:ascii="Arial" w:hAnsi="Arial" w:cs="Arial"/>
        </w:rPr>
        <w:t>ehabilitation for adult offenders, Ministry of Justice will pay the new Community Rehabilitation Companies, whose contracts are due to start towards the end of this year</w:t>
      </w:r>
      <w:r w:rsidR="001552B3" w:rsidRPr="00E86388">
        <w:rPr>
          <w:rFonts w:ascii="Arial" w:hAnsi="Arial" w:cs="Arial"/>
        </w:rPr>
        <w:t xml:space="preserve"> for the </w:t>
      </w:r>
      <w:r w:rsidRPr="00E86388">
        <w:rPr>
          <w:rFonts w:ascii="Arial" w:hAnsi="Arial" w:cs="Arial"/>
        </w:rPr>
        <w:t>management of all medium and low risk offenders</w:t>
      </w:r>
      <w:r w:rsidR="007E399E" w:rsidRPr="00E86388">
        <w:rPr>
          <w:rFonts w:ascii="Arial" w:hAnsi="Arial" w:cs="Arial"/>
        </w:rPr>
        <w:t xml:space="preserve"> for improvements made</w:t>
      </w:r>
      <w:r w:rsidR="001552B3" w:rsidRPr="00E86388">
        <w:rPr>
          <w:rFonts w:ascii="Arial" w:hAnsi="Arial" w:cs="Arial"/>
        </w:rPr>
        <w:t xml:space="preserve">. </w:t>
      </w:r>
      <w:r w:rsidR="0029631B" w:rsidRPr="00E86388">
        <w:rPr>
          <w:rFonts w:ascii="Arial" w:hAnsi="Arial" w:cs="Arial"/>
        </w:rPr>
        <w:t xml:space="preserve"> </w:t>
      </w:r>
      <w:r w:rsidR="001552B3" w:rsidRPr="00E86388">
        <w:rPr>
          <w:rFonts w:ascii="Arial" w:hAnsi="Arial" w:cs="Arial"/>
        </w:rPr>
        <w:t xml:space="preserve">This excludes </w:t>
      </w:r>
      <w:r w:rsidRPr="00E86388">
        <w:rPr>
          <w:rFonts w:ascii="Arial" w:hAnsi="Arial" w:cs="Arial"/>
        </w:rPr>
        <w:t xml:space="preserve">high risk offenders </w:t>
      </w:r>
      <w:r w:rsidR="001552B3" w:rsidRPr="00E86388">
        <w:rPr>
          <w:rFonts w:ascii="Arial" w:hAnsi="Arial" w:cs="Arial"/>
        </w:rPr>
        <w:t xml:space="preserve">which </w:t>
      </w:r>
      <w:r w:rsidRPr="00E86388">
        <w:rPr>
          <w:rFonts w:ascii="Arial" w:hAnsi="Arial" w:cs="Arial"/>
        </w:rPr>
        <w:t>will be managed by the new National Probation Service</w:t>
      </w:r>
      <w:r w:rsidR="001552B3" w:rsidRPr="00E86388">
        <w:rPr>
          <w:rFonts w:ascii="Arial" w:hAnsi="Arial" w:cs="Arial"/>
        </w:rPr>
        <w:t>.</w:t>
      </w:r>
      <w:r w:rsidRPr="00E86388">
        <w:rPr>
          <w:rFonts w:ascii="Arial" w:hAnsi="Arial" w:cs="Arial"/>
        </w:rPr>
        <w:t xml:space="preserve"> </w:t>
      </w:r>
    </w:p>
    <w:p w:rsidR="003E2108" w:rsidRPr="00E86388" w:rsidRDefault="003E2108" w:rsidP="00D8560A">
      <w:pPr>
        <w:rPr>
          <w:rFonts w:eastAsiaTheme="minorHAnsi"/>
          <w:sz w:val="22"/>
          <w:szCs w:val="24"/>
        </w:rPr>
      </w:pPr>
    </w:p>
    <w:p w:rsidR="001C74AB" w:rsidRPr="00D8560A" w:rsidRDefault="001C74AB" w:rsidP="00000EA3">
      <w:pPr>
        <w:pStyle w:val="ListParagraph"/>
        <w:numPr>
          <w:ilvl w:val="1"/>
          <w:numId w:val="15"/>
        </w:numPr>
        <w:ind w:hanging="796"/>
        <w:rPr>
          <w:rFonts w:ascii="Arial" w:eastAsiaTheme="minorHAnsi" w:hAnsi="Arial" w:cs="Arial"/>
        </w:rPr>
      </w:pPr>
      <w:r w:rsidRPr="00D8560A">
        <w:rPr>
          <w:rFonts w:ascii="Arial" w:eastAsiaTheme="minorHAnsi" w:hAnsi="Arial" w:cs="Arial"/>
        </w:rPr>
        <w:t>The</w:t>
      </w:r>
      <w:r w:rsidR="003C73BD" w:rsidRPr="00D8560A">
        <w:rPr>
          <w:rFonts w:ascii="Arial" w:eastAsiaTheme="minorHAnsi" w:hAnsi="Arial" w:cs="Arial"/>
        </w:rPr>
        <w:t>re are 34</w:t>
      </w:r>
      <w:r w:rsidRPr="00D8560A">
        <w:rPr>
          <w:rFonts w:ascii="Arial" w:eastAsiaTheme="minorHAnsi" w:hAnsi="Arial" w:cs="Arial"/>
        </w:rPr>
        <w:t xml:space="preserve"> total indicators available for the pilot year, this excludes domain 4 indicators (14) and the 3 indicators listed in 4.10 above</w:t>
      </w:r>
      <w:r w:rsidR="00825304" w:rsidRPr="00D8560A">
        <w:rPr>
          <w:rFonts w:ascii="Arial" w:eastAsiaTheme="minorHAnsi" w:hAnsi="Arial" w:cs="Arial"/>
        </w:rPr>
        <w:t>.</w:t>
      </w:r>
    </w:p>
    <w:p w:rsidR="001C74AB" w:rsidRPr="00E86388" w:rsidRDefault="001C74AB" w:rsidP="001C74AB">
      <w:pPr>
        <w:pStyle w:val="ListParagraph"/>
        <w:ind w:left="0"/>
        <w:rPr>
          <w:rFonts w:ascii="Arial" w:eastAsiaTheme="minorHAnsi" w:hAnsi="Arial" w:cs="Arial"/>
          <w:sz w:val="22"/>
        </w:rPr>
      </w:pPr>
    </w:p>
    <w:p w:rsidR="00A17FFC" w:rsidRPr="00D8560A" w:rsidRDefault="008F3C62" w:rsidP="00000EA3">
      <w:pPr>
        <w:pStyle w:val="ListParagraph"/>
        <w:numPr>
          <w:ilvl w:val="1"/>
          <w:numId w:val="22"/>
        </w:numPr>
        <w:ind w:left="1134" w:hanging="850"/>
        <w:rPr>
          <w:rFonts w:ascii="Arial" w:eastAsiaTheme="minorHAnsi" w:hAnsi="Arial" w:cs="Arial"/>
        </w:rPr>
      </w:pPr>
      <w:r w:rsidRPr="00D8560A">
        <w:rPr>
          <w:rFonts w:ascii="Arial" w:eastAsiaTheme="minorHAnsi" w:hAnsi="Arial" w:cs="Arial"/>
        </w:rPr>
        <w:t>Where a choice</w:t>
      </w:r>
      <w:r w:rsidR="00D91B4D" w:rsidRPr="00D8560A">
        <w:rPr>
          <w:rFonts w:ascii="Arial" w:eastAsiaTheme="minorHAnsi" w:hAnsi="Arial" w:cs="Arial"/>
        </w:rPr>
        <w:t xml:space="preserve"> of local indicator</w:t>
      </w:r>
      <w:r w:rsidRPr="00D8560A">
        <w:rPr>
          <w:rFonts w:ascii="Arial" w:eastAsiaTheme="minorHAnsi" w:hAnsi="Arial" w:cs="Arial"/>
        </w:rPr>
        <w:t xml:space="preserve"> is not </w:t>
      </w:r>
      <w:r w:rsidR="00D91B4D" w:rsidRPr="00D8560A">
        <w:rPr>
          <w:rFonts w:ascii="Arial" w:eastAsiaTheme="minorHAnsi" w:hAnsi="Arial" w:cs="Arial"/>
        </w:rPr>
        <w:t xml:space="preserve">made </w:t>
      </w:r>
      <w:r w:rsidRPr="00D8560A">
        <w:rPr>
          <w:rFonts w:ascii="Arial" w:eastAsiaTheme="minorHAnsi" w:hAnsi="Arial" w:cs="Arial"/>
        </w:rPr>
        <w:t>we will set a default local indicator ‘smoking prevalence adults over 18s’</w:t>
      </w:r>
      <w:r w:rsidR="00A17FFC" w:rsidRPr="00D8560A">
        <w:rPr>
          <w:rFonts w:ascii="Arial" w:eastAsiaTheme="minorHAnsi" w:hAnsi="Arial" w:cs="Arial"/>
        </w:rPr>
        <w:t xml:space="preserve">. </w:t>
      </w:r>
      <w:r w:rsidR="0029631B" w:rsidRPr="00D8560A">
        <w:rPr>
          <w:rFonts w:ascii="Arial" w:eastAsiaTheme="minorHAnsi" w:hAnsi="Arial" w:cs="Arial"/>
        </w:rPr>
        <w:t xml:space="preserve"> </w:t>
      </w:r>
      <w:r w:rsidR="00A27508" w:rsidRPr="00D8560A">
        <w:rPr>
          <w:rFonts w:ascii="Arial" w:eastAsiaTheme="minorHAnsi" w:hAnsi="Arial" w:cs="Arial"/>
        </w:rPr>
        <w:t>A</w:t>
      </w:r>
      <w:r w:rsidR="00A17FFC" w:rsidRPr="00D8560A">
        <w:rPr>
          <w:rFonts w:ascii="Arial" w:eastAsiaTheme="minorHAnsi" w:hAnsi="Arial" w:cs="Arial"/>
        </w:rPr>
        <w:t>n improvement of 2.3</w:t>
      </w:r>
      <w:r w:rsidR="000448CC" w:rsidRPr="00D8560A">
        <w:rPr>
          <w:rFonts w:ascii="Arial" w:eastAsiaTheme="minorHAnsi" w:hAnsi="Arial" w:cs="Arial"/>
        </w:rPr>
        <w:t xml:space="preserve"> percentage points</w:t>
      </w:r>
      <w:r w:rsidR="00A17FFC" w:rsidRPr="00D8560A">
        <w:rPr>
          <w:rFonts w:ascii="Arial" w:eastAsiaTheme="minorHAnsi" w:hAnsi="Arial" w:cs="Arial"/>
        </w:rPr>
        <w:t xml:space="preserve"> (lower quartile) from the</w:t>
      </w:r>
      <w:r w:rsidR="00D91B4D" w:rsidRPr="00D8560A">
        <w:rPr>
          <w:rFonts w:ascii="Arial" w:eastAsiaTheme="minorHAnsi" w:hAnsi="Arial" w:cs="Arial"/>
        </w:rPr>
        <w:t xml:space="preserve"> set</w:t>
      </w:r>
      <w:r w:rsidR="00A17FFC" w:rsidRPr="00D8560A">
        <w:rPr>
          <w:rFonts w:ascii="Arial" w:eastAsiaTheme="minorHAnsi" w:hAnsi="Arial" w:cs="Arial"/>
        </w:rPr>
        <w:t xml:space="preserve"> baseline</w:t>
      </w:r>
      <w:r w:rsidR="00A27508" w:rsidRPr="00D8560A">
        <w:rPr>
          <w:rFonts w:ascii="Arial" w:eastAsiaTheme="minorHAnsi" w:hAnsi="Arial" w:cs="Arial"/>
        </w:rPr>
        <w:t xml:space="preserve"> will be required</w:t>
      </w:r>
      <w:r w:rsidR="00A17FFC" w:rsidRPr="00D8560A">
        <w:rPr>
          <w:rFonts w:ascii="Arial" w:eastAsiaTheme="minorHAnsi" w:hAnsi="Arial" w:cs="Arial"/>
        </w:rPr>
        <w:t xml:space="preserve"> to trigger a payment.</w:t>
      </w:r>
    </w:p>
    <w:p w:rsidR="00A17FFC" w:rsidRPr="00E86388" w:rsidRDefault="00A17FFC" w:rsidP="00D8560A">
      <w:pPr>
        <w:pStyle w:val="ListParagraph"/>
        <w:ind w:left="0"/>
        <w:rPr>
          <w:rFonts w:eastAsiaTheme="minorHAnsi"/>
          <w:color w:val="000000" w:themeColor="text1"/>
        </w:rPr>
      </w:pPr>
    </w:p>
    <w:p w:rsidR="002C69B3" w:rsidRPr="00D8560A" w:rsidRDefault="002C69B3" w:rsidP="00000EA3">
      <w:pPr>
        <w:pStyle w:val="ListParagraph"/>
        <w:numPr>
          <w:ilvl w:val="1"/>
          <w:numId w:val="22"/>
        </w:numPr>
        <w:ind w:left="1134" w:hanging="850"/>
        <w:rPr>
          <w:rFonts w:ascii="Arial" w:eastAsiaTheme="minorHAnsi" w:hAnsi="Arial" w:cs="Arial"/>
          <w:color w:val="000000" w:themeColor="text1"/>
        </w:rPr>
      </w:pPr>
      <w:r w:rsidRPr="00D8560A">
        <w:rPr>
          <w:rFonts w:ascii="Arial" w:hAnsi="Arial" w:cs="Arial"/>
          <w:color w:val="000000" w:themeColor="text1"/>
        </w:rPr>
        <w:t xml:space="preserve">Given the variation across the local authorities we need to balance </w:t>
      </w:r>
      <w:r w:rsidR="00170305" w:rsidRPr="00D8560A">
        <w:rPr>
          <w:rFonts w:ascii="Arial" w:hAnsi="Arial" w:cs="Arial"/>
          <w:color w:val="000000" w:themeColor="text1"/>
        </w:rPr>
        <w:t xml:space="preserve">statistical </w:t>
      </w:r>
      <w:r w:rsidRPr="00D8560A">
        <w:rPr>
          <w:rFonts w:ascii="Arial" w:hAnsi="Arial" w:cs="Arial"/>
          <w:color w:val="000000" w:themeColor="text1"/>
        </w:rPr>
        <w:t xml:space="preserve">robustness against </w:t>
      </w:r>
      <w:r w:rsidR="00170305" w:rsidRPr="00D8560A">
        <w:rPr>
          <w:rFonts w:ascii="Arial" w:hAnsi="Arial" w:cs="Arial"/>
          <w:color w:val="000000" w:themeColor="text1"/>
        </w:rPr>
        <w:t>achievability and consistency</w:t>
      </w:r>
      <w:r w:rsidRPr="00D8560A">
        <w:rPr>
          <w:rFonts w:ascii="Arial" w:hAnsi="Arial" w:cs="Arial"/>
          <w:color w:val="000000" w:themeColor="text1"/>
        </w:rPr>
        <w:t>.</w:t>
      </w:r>
      <w:r w:rsidR="0029631B" w:rsidRPr="00D8560A">
        <w:rPr>
          <w:rFonts w:ascii="Arial" w:hAnsi="Arial" w:cs="Arial"/>
          <w:color w:val="000000" w:themeColor="text1"/>
        </w:rPr>
        <w:t xml:space="preserve"> </w:t>
      </w:r>
      <w:r w:rsidRPr="00D8560A">
        <w:rPr>
          <w:rFonts w:ascii="Arial" w:hAnsi="Arial" w:cs="Arial"/>
          <w:color w:val="000000" w:themeColor="text1"/>
        </w:rPr>
        <w:t xml:space="preserve"> </w:t>
      </w:r>
      <w:r w:rsidR="00C06A12" w:rsidRPr="00D8560A">
        <w:rPr>
          <w:rFonts w:ascii="Arial" w:hAnsi="Arial" w:cs="Arial"/>
          <w:color w:val="000000" w:themeColor="text1"/>
        </w:rPr>
        <w:t>An improvement that is robust</w:t>
      </w:r>
      <w:r w:rsidR="0029631B" w:rsidRPr="00D8560A">
        <w:rPr>
          <w:rFonts w:ascii="Arial" w:hAnsi="Arial" w:cs="Arial"/>
          <w:color w:val="000000" w:themeColor="text1"/>
        </w:rPr>
        <w:t xml:space="preserve"> in</w:t>
      </w:r>
      <w:r w:rsidR="00C06A12" w:rsidRPr="00D8560A">
        <w:rPr>
          <w:rFonts w:ascii="Arial" w:hAnsi="Arial" w:cs="Arial"/>
          <w:color w:val="000000" w:themeColor="text1"/>
        </w:rPr>
        <w:t xml:space="preserve"> </w:t>
      </w:r>
      <w:r w:rsidR="00F30E50" w:rsidRPr="00D8560A">
        <w:rPr>
          <w:rFonts w:ascii="Arial" w:hAnsi="Arial" w:cs="Arial"/>
          <w:color w:val="000000" w:themeColor="text1"/>
        </w:rPr>
        <w:t>one</w:t>
      </w:r>
      <w:r w:rsidR="00C06A12" w:rsidRPr="00D8560A">
        <w:rPr>
          <w:rFonts w:ascii="Arial" w:hAnsi="Arial" w:cs="Arial"/>
          <w:color w:val="000000" w:themeColor="text1"/>
        </w:rPr>
        <w:t xml:space="preserve"> place would not be practical in another. </w:t>
      </w:r>
    </w:p>
    <w:p w:rsidR="002C69B3" w:rsidRPr="00E86388" w:rsidRDefault="002C69B3" w:rsidP="00875296">
      <w:pPr>
        <w:pStyle w:val="ListParagraph"/>
        <w:ind w:left="0"/>
        <w:rPr>
          <w:rFonts w:eastAsiaTheme="minorHAnsi"/>
          <w:sz w:val="22"/>
        </w:rPr>
      </w:pPr>
    </w:p>
    <w:p w:rsidR="00D65622" w:rsidRDefault="00D65622" w:rsidP="00E238EB">
      <w:pPr>
        <w:pStyle w:val="ListParagraph"/>
        <w:spacing w:before="120"/>
        <w:ind w:left="1134"/>
        <w:rPr>
          <w:rFonts w:ascii="Arial" w:hAnsi="Arial" w:cs="Arial"/>
          <w:color w:val="000000" w:themeColor="text1"/>
        </w:rPr>
      </w:pPr>
      <w:r w:rsidRPr="00E86388">
        <w:rPr>
          <w:rFonts w:ascii="Arial" w:hAnsi="Arial" w:cs="Arial"/>
        </w:rPr>
        <w:t xml:space="preserve">The most recent historical data for the </w:t>
      </w:r>
      <w:r w:rsidRPr="00E86388">
        <w:rPr>
          <w:rFonts w:ascii="Arial" w:eastAsiaTheme="minorHAnsi" w:hAnsi="Arial" w:cs="Arial"/>
        </w:rPr>
        <w:t xml:space="preserve">smoking prevalence adults over 18s’ </w:t>
      </w:r>
      <w:r w:rsidRPr="00E86388">
        <w:rPr>
          <w:rFonts w:ascii="Arial" w:hAnsi="Arial" w:cs="Arial"/>
          <w:color w:val="000000" w:themeColor="text1"/>
        </w:rPr>
        <w:t xml:space="preserve">indicator </w:t>
      </w:r>
      <w:r w:rsidRPr="00E86388">
        <w:rPr>
          <w:rFonts w:ascii="Arial" w:hAnsi="Arial" w:cs="Arial"/>
        </w:rPr>
        <w:t>suggest the following</w:t>
      </w:r>
      <w:r w:rsidRPr="00E86388">
        <w:rPr>
          <w:rFonts w:ascii="Arial" w:hAnsi="Arial" w:cs="Arial"/>
          <w:color w:val="FF0000"/>
        </w:rPr>
        <w:t xml:space="preserve"> </w:t>
      </w:r>
      <w:r w:rsidRPr="00E86388">
        <w:rPr>
          <w:rFonts w:ascii="Arial" w:hAnsi="Arial" w:cs="Arial"/>
          <w:color w:val="000000" w:themeColor="text1"/>
        </w:rPr>
        <w:t>local author</w:t>
      </w:r>
      <w:r w:rsidR="0029631B" w:rsidRPr="00E86388">
        <w:rPr>
          <w:rFonts w:ascii="Arial" w:hAnsi="Arial" w:cs="Arial"/>
          <w:color w:val="000000" w:themeColor="text1"/>
        </w:rPr>
        <w:t>ity wide improvement thresholds:</w:t>
      </w:r>
    </w:p>
    <w:p w:rsidR="00E86388" w:rsidRPr="00E86388" w:rsidRDefault="00E86388" w:rsidP="00E238EB">
      <w:pPr>
        <w:pStyle w:val="ListParagraph"/>
        <w:spacing w:before="120"/>
        <w:ind w:left="1134"/>
        <w:rPr>
          <w:rFonts w:ascii="Arial" w:hAnsi="Arial" w:cs="Arial"/>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4"/>
        <w:gridCol w:w="2714"/>
        <w:gridCol w:w="3261"/>
        <w:gridCol w:w="2861"/>
      </w:tblGrid>
      <w:tr w:rsidR="008F3C62" w:rsidRPr="00E86388" w:rsidTr="00E86388">
        <w:trPr>
          <w:gridBefore w:val="1"/>
          <w:gridAfter w:val="1"/>
          <w:wBefore w:w="1114" w:type="dxa"/>
          <w:wAfter w:w="2861" w:type="dxa"/>
          <w:trHeight w:val="431"/>
        </w:trPr>
        <w:tc>
          <w:tcPr>
            <w:tcW w:w="2714" w:type="dxa"/>
            <w:vAlign w:val="center"/>
          </w:tcPr>
          <w:p w:rsidR="008F3C62" w:rsidRPr="00E86388" w:rsidRDefault="008F3C62" w:rsidP="00E86388">
            <w:pPr>
              <w:spacing w:before="0" w:after="0" w:line="240" w:lineRule="auto"/>
              <w:contextualSpacing/>
              <w:rPr>
                <w:b/>
                <w:szCs w:val="24"/>
                <w:lang w:eastAsia="en-GB"/>
              </w:rPr>
            </w:pPr>
            <w:r w:rsidRPr="00E86388">
              <w:rPr>
                <w:b/>
                <w:szCs w:val="24"/>
                <w:lang w:eastAsia="en-GB"/>
              </w:rPr>
              <w:t>Smoking indicator</w:t>
            </w:r>
          </w:p>
        </w:tc>
        <w:tc>
          <w:tcPr>
            <w:tcW w:w="3261" w:type="dxa"/>
            <w:vAlign w:val="center"/>
          </w:tcPr>
          <w:p w:rsidR="008F3C62" w:rsidRPr="00E86388" w:rsidRDefault="008F3C62" w:rsidP="00E86388">
            <w:pPr>
              <w:spacing w:before="0" w:after="0" w:line="240" w:lineRule="auto"/>
              <w:contextualSpacing/>
              <w:jc w:val="center"/>
              <w:rPr>
                <w:b/>
                <w:szCs w:val="24"/>
                <w:lang w:eastAsia="en-GB"/>
              </w:rPr>
            </w:pPr>
            <w:r w:rsidRPr="00E86388">
              <w:rPr>
                <w:b/>
                <w:szCs w:val="24"/>
                <w:lang w:eastAsia="en-GB"/>
              </w:rPr>
              <w:t>Reduction required</w:t>
            </w:r>
          </w:p>
        </w:tc>
      </w:tr>
      <w:tr w:rsidR="008F3C62" w:rsidRPr="00E86388" w:rsidTr="00E86388">
        <w:trPr>
          <w:gridBefore w:val="1"/>
          <w:gridAfter w:val="1"/>
          <w:wBefore w:w="1114" w:type="dxa"/>
          <w:wAfter w:w="2861" w:type="dxa"/>
          <w:trHeight w:val="281"/>
        </w:trPr>
        <w:tc>
          <w:tcPr>
            <w:tcW w:w="2714" w:type="dxa"/>
            <w:vAlign w:val="center"/>
          </w:tcPr>
          <w:p w:rsidR="008F3C62" w:rsidRPr="00E86388" w:rsidRDefault="008F3C62" w:rsidP="008F3C62">
            <w:pPr>
              <w:rPr>
                <w:szCs w:val="24"/>
              </w:rPr>
            </w:pPr>
            <w:r w:rsidRPr="00E86388">
              <w:rPr>
                <w:szCs w:val="24"/>
              </w:rPr>
              <w:t>Lower Quartile</w:t>
            </w:r>
          </w:p>
        </w:tc>
        <w:tc>
          <w:tcPr>
            <w:tcW w:w="3261" w:type="dxa"/>
            <w:vAlign w:val="center"/>
          </w:tcPr>
          <w:p w:rsidR="008F3C62" w:rsidRPr="00E86388" w:rsidRDefault="008F3C62" w:rsidP="008F3C62">
            <w:pPr>
              <w:spacing w:before="0" w:after="0" w:line="240" w:lineRule="auto"/>
              <w:contextualSpacing/>
              <w:jc w:val="center"/>
              <w:rPr>
                <w:szCs w:val="24"/>
                <w:lang w:eastAsia="en-GB"/>
              </w:rPr>
            </w:pPr>
            <w:r w:rsidRPr="00E86388">
              <w:rPr>
                <w:szCs w:val="24"/>
                <w:lang w:eastAsia="en-GB"/>
              </w:rPr>
              <w:t xml:space="preserve">2.3 </w:t>
            </w:r>
            <w:r w:rsidR="000448CC" w:rsidRPr="00E86388">
              <w:rPr>
                <w:szCs w:val="24"/>
                <w:lang w:eastAsia="en-GB"/>
              </w:rPr>
              <w:t>percentage points</w:t>
            </w:r>
          </w:p>
        </w:tc>
      </w:tr>
      <w:tr w:rsidR="008F3C62" w:rsidRPr="00E86388" w:rsidTr="00E86388">
        <w:trPr>
          <w:gridBefore w:val="1"/>
          <w:gridAfter w:val="1"/>
          <w:wBefore w:w="1114" w:type="dxa"/>
          <w:wAfter w:w="2861" w:type="dxa"/>
          <w:trHeight w:val="176"/>
        </w:trPr>
        <w:tc>
          <w:tcPr>
            <w:tcW w:w="2714" w:type="dxa"/>
            <w:vAlign w:val="center"/>
          </w:tcPr>
          <w:p w:rsidR="008F3C62" w:rsidRPr="00E86388" w:rsidRDefault="008F3C62" w:rsidP="008F3C62">
            <w:pPr>
              <w:rPr>
                <w:szCs w:val="24"/>
              </w:rPr>
            </w:pPr>
            <w:r w:rsidRPr="00E86388">
              <w:rPr>
                <w:szCs w:val="24"/>
              </w:rPr>
              <w:t>Median</w:t>
            </w:r>
          </w:p>
        </w:tc>
        <w:tc>
          <w:tcPr>
            <w:tcW w:w="3261" w:type="dxa"/>
            <w:vAlign w:val="center"/>
          </w:tcPr>
          <w:p w:rsidR="008F3C62" w:rsidRPr="00E86388" w:rsidRDefault="008F3C62" w:rsidP="008F3C62">
            <w:pPr>
              <w:spacing w:before="0" w:after="0" w:line="240" w:lineRule="auto"/>
              <w:contextualSpacing/>
              <w:jc w:val="center"/>
              <w:rPr>
                <w:szCs w:val="24"/>
                <w:lang w:eastAsia="en-GB"/>
              </w:rPr>
            </w:pPr>
            <w:r w:rsidRPr="00E86388">
              <w:rPr>
                <w:szCs w:val="24"/>
                <w:lang w:eastAsia="en-GB"/>
              </w:rPr>
              <w:t xml:space="preserve">2.6 </w:t>
            </w:r>
            <w:r w:rsidR="000448CC" w:rsidRPr="00E86388">
              <w:rPr>
                <w:szCs w:val="24"/>
                <w:lang w:eastAsia="en-GB"/>
              </w:rPr>
              <w:t>percentage points</w:t>
            </w:r>
          </w:p>
        </w:tc>
      </w:tr>
      <w:tr w:rsidR="008F3C62" w:rsidRPr="008F3C62" w:rsidTr="00E86388">
        <w:trPr>
          <w:gridBefore w:val="1"/>
          <w:gridAfter w:val="1"/>
          <w:wBefore w:w="1114" w:type="dxa"/>
          <w:wAfter w:w="2861" w:type="dxa"/>
          <w:trHeight w:val="520"/>
        </w:trPr>
        <w:tc>
          <w:tcPr>
            <w:tcW w:w="2714" w:type="dxa"/>
            <w:vAlign w:val="center"/>
          </w:tcPr>
          <w:p w:rsidR="008F3C62" w:rsidRPr="00516AE8" w:rsidRDefault="008F3C62" w:rsidP="008F3C62">
            <w:r w:rsidRPr="00516AE8">
              <w:t>Upper Quartile</w:t>
            </w:r>
          </w:p>
        </w:tc>
        <w:tc>
          <w:tcPr>
            <w:tcW w:w="3261" w:type="dxa"/>
            <w:vAlign w:val="center"/>
          </w:tcPr>
          <w:p w:rsidR="008F3C62" w:rsidRPr="00516AE8" w:rsidRDefault="008F3C62" w:rsidP="008F3C62">
            <w:pPr>
              <w:spacing w:before="0" w:after="0" w:line="240" w:lineRule="auto"/>
              <w:contextualSpacing/>
              <w:jc w:val="center"/>
              <w:rPr>
                <w:szCs w:val="24"/>
                <w:lang w:eastAsia="en-GB"/>
              </w:rPr>
            </w:pPr>
            <w:r w:rsidRPr="00516AE8">
              <w:rPr>
                <w:szCs w:val="24"/>
                <w:lang w:eastAsia="en-GB"/>
              </w:rPr>
              <w:t xml:space="preserve">2.8 </w:t>
            </w:r>
            <w:r w:rsidR="000448CC">
              <w:rPr>
                <w:szCs w:val="24"/>
                <w:lang w:eastAsia="en-GB"/>
              </w:rPr>
              <w:t>percentage points</w:t>
            </w:r>
          </w:p>
        </w:tc>
      </w:tr>
      <w:tr w:rsidR="00382180" w:rsidTr="00E86388">
        <w:tblPrEx>
          <w:tblBorders>
            <w:top w:val="single" w:sz="4" w:space="0" w:color="00D1AE"/>
            <w:left w:val="single" w:sz="4" w:space="0" w:color="00D1AE"/>
            <w:bottom w:val="single" w:sz="4" w:space="0" w:color="00D1AE"/>
            <w:right w:val="single" w:sz="4" w:space="0" w:color="00D1AE"/>
            <w:insideH w:val="single" w:sz="4" w:space="0" w:color="00D1AE"/>
            <w:insideV w:val="single" w:sz="4" w:space="0" w:color="00D1AE"/>
          </w:tblBorders>
        </w:tblPrEx>
        <w:trPr>
          <w:trHeight w:val="2075"/>
        </w:trPr>
        <w:tc>
          <w:tcPr>
            <w:tcW w:w="9950" w:type="dxa"/>
            <w:gridSpan w:val="4"/>
          </w:tcPr>
          <w:p w:rsidR="00382180" w:rsidRPr="00CC29F0" w:rsidRDefault="00921946" w:rsidP="00400FC4">
            <w:pPr>
              <w:pStyle w:val="Heading1"/>
              <w:rPr>
                <w:rFonts w:eastAsiaTheme="minorHAnsi"/>
                <w:b/>
              </w:rPr>
            </w:pPr>
            <w:bookmarkStart w:id="28" w:name="_Toc390863844"/>
            <w:bookmarkStart w:id="29" w:name="_Toc396307857"/>
            <w:r w:rsidRPr="00CC29F0">
              <w:rPr>
                <w:rFonts w:eastAsiaTheme="minorHAnsi"/>
                <w:b/>
              </w:rPr>
              <w:lastRenderedPageBreak/>
              <w:t xml:space="preserve">Question 3 </w:t>
            </w:r>
            <w:bookmarkEnd w:id="28"/>
            <w:r w:rsidR="00B2544E">
              <w:rPr>
                <w:rFonts w:eastAsiaTheme="minorHAnsi"/>
                <w:b/>
              </w:rPr>
              <w:t>(LAs only)</w:t>
            </w:r>
            <w:bookmarkEnd w:id="29"/>
          </w:p>
          <w:p w:rsidR="002C69B3" w:rsidRDefault="00382180" w:rsidP="0020686E">
            <w:pPr>
              <w:rPr>
                <w:rFonts w:eastAsiaTheme="minorHAnsi"/>
              </w:rPr>
            </w:pPr>
            <w:r w:rsidRPr="00382180">
              <w:rPr>
                <w:rFonts w:eastAsiaTheme="minorHAnsi"/>
              </w:rPr>
              <w:t xml:space="preserve">Which PHOF measure from the list at </w:t>
            </w:r>
            <w:r w:rsidRPr="00A17FFC">
              <w:rPr>
                <w:rFonts w:eastAsiaTheme="minorHAnsi"/>
              </w:rPr>
              <w:t>Annex</w:t>
            </w:r>
            <w:r w:rsidR="004D77F9" w:rsidRPr="00A17FFC">
              <w:rPr>
                <w:rFonts w:eastAsiaTheme="minorHAnsi"/>
              </w:rPr>
              <w:t xml:space="preserve"> </w:t>
            </w:r>
            <w:r w:rsidR="00420B28">
              <w:rPr>
                <w:rFonts w:eastAsiaTheme="minorHAnsi"/>
              </w:rPr>
              <w:t>A</w:t>
            </w:r>
            <w:r w:rsidRPr="00382180">
              <w:rPr>
                <w:rFonts w:eastAsiaTheme="minorHAnsi"/>
              </w:rPr>
              <w:t>, would you</w:t>
            </w:r>
            <w:r w:rsidR="0006077F">
              <w:rPr>
                <w:rFonts w:eastAsiaTheme="minorHAnsi"/>
              </w:rPr>
              <w:t xml:space="preserve"> be likely</w:t>
            </w:r>
            <w:r w:rsidRPr="00382180">
              <w:rPr>
                <w:rFonts w:eastAsiaTheme="minorHAnsi"/>
              </w:rPr>
              <w:t xml:space="preserve"> </w:t>
            </w:r>
            <w:r w:rsidR="0006077F">
              <w:rPr>
                <w:rFonts w:eastAsiaTheme="minorHAnsi"/>
              </w:rPr>
              <w:t xml:space="preserve">to </w:t>
            </w:r>
            <w:r w:rsidRPr="00382180">
              <w:rPr>
                <w:rFonts w:eastAsiaTheme="minorHAnsi"/>
              </w:rPr>
              <w:t xml:space="preserve">select for a local measure of </w:t>
            </w:r>
            <w:r w:rsidR="00400FC4" w:rsidRPr="00382180">
              <w:rPr>
                <w:rFonts w:eastAsiaTheme="minorHAnsi"/>
              </w:rPr>
              <w:t>attainment</w:t>
            </w:r>
            <w:r w:rsidR="00C90D87">
              <w:rPr>
                <w:rFonts w:eastAsiaTheme="minorHAnsi"/>
              </w:rPr>
              <w:t xml:space="preserve"> when the scheme is formally </w:t>
            </w:r>
            <w:r w:rsidR="00C90D87" w:rsidRPr="00CC29F0">
              <w:rPr>
                <w:rFonts w:eastAsiaTheme="minorHAnsi"/>
              </w:rPr>
              <w:t>launched</w:t>
            </w:r>
            <w:r w:rsidR="00170305" w:rsidRPr="001B0C86">
              <w:rPr>
                <w:rFonts w:eastAsiaTheme="minorHAnsi"/>
              </w:rPr>
              <w:t>, or would you accept the default adult smoking prevalence</w:t>
            </w:r>
            <w:r w:rsidR="00400FC4" w:rsidRPr="001B0C86">
              <w:rPr>
                <w:rFonts w:eastAsiaTheme="minorHAnsi"/>
              </w:rPr>
              <w:t>?</w:t>
            </w:r>
            <w:r w:rsidRPr="00382180">
              <w:rPr>
                <w:rFonts w:eastAsiaTheme="minorHAnsi"/>
              </w:rPr>
              <w:t> </w:t>
            </w:r>
          </w:p>
          <w:p w:rsidR="00400FC4" w:rsidRDefault="00400FC4" w:rsidP="0020686E">
            <w:pPr>
              <w:rPr>
                <w:rFonts w:eastAsiaTheme="minorHAnsi"/>
              </w:rPr>
            </w:pPr>
          </w:p>
          <w:p w:rsidR="0032480A" w:rsidRDefault="0032480A" w:rsidP="0020686E">
            <w:pPr>
              <w:rPr>
                <w:rFonts w:eastAsiaTheme="minorHAnsi"/>
              </w:rPr>
            </w:pPr>
          </w:p>
          <w:p w:rsidR="0032480A" w:rsidRPr="00382180" w:rsidRDefault="0032480A" w:rsidP="0020686E">
            <w:pPr>
              <w:rPr>
                <w:rFonts w:eastAsiaTheme="minorHAnsi"/>
              </w:rPr>
            </w:pPr>
          </w:p>
        </w:tc>
      </w:tr>
    </w:tbl>
    <w:p w:rsidR="002C69B3" w:rsidRPr="0032480A" w:rsidRDefault="002C69B3" w:rsidP="0032480A">
      <w:pPr>
        <w:rPr>
          <w:rFonts w:eastAsiaTheme="minorHAnsi"/>
        </w:rPr>
      </w:pPr>
    </w:p>
    <w:tbl>
      <w:tblPr>
        <w:tblW w:w="0" w:type="auto"/>
        <w:tblInd w:w="108" w:type="dxa"/>
        <w:tblBorders>
          <w:top w:val="single" w:sz="4" w:space="0" w:color="00D1AE"/>
          <w:left w:val="single" w:sz="4" w:space="0" w:color="00D1AE"/>
          <w:bottom w:val="single" w:sz="4" w:space="0" w:color="00D1AE"/>
          <w:right w:val="single" w:sz="4" w:space="0" w:color="00D1AE"/>
          <w:insideH w:val="single" w:sz="4" w:space="0" w:color="00D1AE"/>
          <w:insideV w:val="single" w:sz="4" w:space="0" w:color="00D1AE"/>
        </w:tblBorders>
        <w:tblLook w:val="0000" w:firstRow="0" w:lastRow="0" w:firstColumn="0" w:lastColumn="0" w:noHBand="0" w:noVBand="0"/>
      </w:tblPr>
      <w:tblGrid>
        <w:gridCol w:w="9950"/>
      </w:tblGrid>
      <w:tr w:rsidR="002C69B3" w:rsidTr="002A2F2E">
        <w:trPr>
          <w:trHeight w:val="2075"/>
        </w:trPr>
        <w:tc>
          <w:tcPr>
            <w:tcW w:w="9950" w:type="dxa"/>
          </w:tcPr>
          <w:p w:rsidR="002C69B3" w:rsidRPr="00CC29F0" w:rsidRDefault="002C69B3" w:rsidP="002A2F2E">
            <w:pPr>
              <w:pStyle w:val="Heading1"/>
              <w:rPr>
                <w:rFonts w:eastAsiaTheme="minorHAnsi"/>
                <w:b/>
              </w:rPr>
            </w:pPr>
            <w:bookmarkStart w:id="30" w:name="_Toc396307858"/>
            <w:r w:rsidRPr="00CC29F0">
              <w:rPr>
                <w:rFonts w:eastAsiaTheme="minorHAnsi"/>
                <w:b/>
              </w:rPr>
              <w:t xml:space="preserve">Question 4 </w:t>
            </w:r>
            <w:r w:rsidR="00B2544E">
              <w:rPr>
                <w:rFonts w:eastAsiaTheme="minorHAnsi"/>
                <w:b/>
              </w:rPr>
              <w:t>(LAs only)</w:t>
            </w:r>
            <w:bookmarkEnd w:id="30"/>
          </w:p>
          <w:p w:rsidR="00AC66D4" w:rsidRDefault="002C69B3" w:rsidP="002A2F2E">
            <w:pPr>
              <w:rPr>
                <w:rFonts w:eastAsiaTheme="minorHAnsi"/>
              </w:rPr>
            </w:pPr>
            <w:r>
              <w:rPr>
                <w:rFonts w:eastAsiaTheme="minorHAnsi"/>
              </w:rPr>
              <w:t xml:space="preserve">Do you agree that smoking prevalence adults over 18s’ should be used as the default indicator where no choice has been made from the list of approved indicators? </w:t>
            </w:r>
          </w:p>
          <w:p w:rsidR="00AC66D4" w:rsidRPr="00382180" w:rsidRDefault="00CB5476" w:rsidP="00AC66D4">
            <w:pPr>
              <w:rPr>
                <w:rFonts w:eastAsiaTheme="minorHAnsi"/>
              </w:rPr>
            </w:pPr>
            <w:sdt>
              <w:sdtPr>
                <w:rPr>
                  <w:rFonts w:eastAsiaTheme="minorHAnsi"/>
                </w:rPr>
                <w:id w:val="1411275867"/>
                <w14:checkbox>
                  <w14:checked w14:val="0"/>
                  <w14:checkedState w14:val="2612" w14:font="MS Gothic"/>
                  <w14:uncheckedState w14:val="2610" w14:font="MS Gothic"/>
                </w14:checkbox>
              </w:sdtPr>
              <w:sdtEndPr/>
              <w:sdtContent>
                <w:r w:rsidR="00AC66D4">
                  <w:rPr>
                    <w:rFonts w:ascii="MS Gothic" w:eastAsia="MS Gothic" w:hAnsi="MS Gothic" w:hint="eastAsia"/>
                  </w:rPr>
                  <w:t>☐</w:t>
                </w:r>
              </w:sdtContent>
            </w:sdt>
            <w:r w:rsidR="00AC66D4" w:rsidRPr="00382180">
              <w:rPr>
                <w:rFonts w:eastAsiaTheme="minorHAnsi"/>
              </w:rPr>
              <w:t xml:space="preserve"> Yes</w:t>
            </w:r>
          </w:p>
          <w:p w:rsidR="00AC66D4" w:rsidRDefault="00CB5476" w:rsidP="00AC66D4">
            <w:pPr>
              <w:rPr>
                <w:rFonts w:eastAsiaTheme="minorHAnsi"/>
              </w:rPr>
            </w:pPr>
            <w:sdt>
              <w:sdtPr>
                <w:rPr>
                  <w:rFonts w:eastAsiaTheme="minorHAnsi"/>
                </w:rPr>
                <w:id w:val="1724247873"/>
                <w14:checkbox>
                  <w14:checked w14:val="0"/>
                  <w14:checkedState w14:val="2612" w14:font="MS Gothic"/>
                  <w14:uncheckedState w14:val="2610" w14:font="MS Gothic"/>
                </w14:checkbox>
              </w:sdtPr>
              <w:sdtEndPr/>
              <w:sdtContent>
                <w:r w:rsidR="00AC66D4" w:rsidRPr="00382180">
                  <w:rPr>
                    <w:rFonts w:ascii="MS Gothic" w:eastAsia="MS Gothic" w:hAnsi="MS Gothic" w:cs="MS Gothic" w:hint="eastAsia"/>
                  </w:rPr>
                  <w:t>☐</w:t>
                </w:r>
              </w:sdtContent>
            </w:sdt>
            <w:r w:rsidR="00AC66D4" w:rsidRPr="00382180">
              <w:rPr>
                <w:rFonts w:eastAsiaTheme="minorHAnsi"/>
              </w:rPr>
              <w:t xml:space="preserve"> No</w:t>
            </w:r>
          </w:p>
          <w:p w:rsidR="002C69B3" w:rsidRPr="00382180" w:rsidRDefault="002C69B3" w:rsidP="002A2F2E">
            <w:pPr>
              <w:rPr>
                <w:rFonts w:eastAsiaTheme="minorHAnsi"/>
              </w:rPr>
            </w:pPr>
            <w:r w:rsidRPr="00382180">
              <w:rPr>
                <w:rFonts w:eastAsiaTheme="minorHAnsi"/>
              </w:rPr>
              <w:t>What threshold would balance attainability and robustness?</w:t>
            </w:r>
          </w:p>
          <w:p w:rsidR="002C69B3" w:rsidRDefault="002C69B3" w:rsidP="002A2F2E">
            <w:pPr>
              <w:rPr>
                <w:rFonts w:eastAsiaTheme="minorHAnsi"/>
              </w:rPr>
            </w:pPr>
          </w:p>
          <w:p w:rsidR="0032480A" w:rsidRDefault="0032480A" w:rsidP="002A2F2E">
            <w:pPr>
              <w:rPr>
                <w:rFonts w:eastAsiaTheme="minorHAnsi"/>
              </w:rPr>
            </w:pPr>
          </w:p>
          <w:p w:rsidR="0032480A" w:rsidRPr="00382180" w:rsidRDefault="0032480A" w:rsidP="002A2F2E">
            <w:pPr>
              <w:rPr>
                <w:rFonts w:eastAsiaTheme="minorHAnsi"/>
              </w:rPr>
            </w:pPr>
          </w:p>
        </w:tc>
      </w:tr>
    </w:tbl>
    <w:p w:rsidR="002C69B3" w:rsidRPr="0032480A" w:rsidRDefault="002C69B3" w:rsidP="0032480A">
      <w:pPr>
        <w:rPr>
          <w:rFonts w:eastAsiaTheme="minorHAnsi"/>
        </w:rPr>
      </w:pPr>
    </w:p>
    <w:tbl>
      <w:tblPr>
        <w:tblW w:w="0" w:type="auto"/>
        <w:tblInd w:w="108" w:type="dxa"/>
        <w:tblBorders>
          <w:top w:val="single" w:sz="4" w:space="0" w:color="00D1AE"/>
          <w:left w:val="single" w:sz="4" w:space="0" w:color="00D1AE"/>
          <w:bottom w:val="single" w:sz="4" w:space="0" w:color="00D1AE"/>
          <w:right w:val="single" w:sz="4" w:space="0" w:color="00D1AE"/>
          <w:insideH w:val="single" w:sz="4" w:space="0" w:color="00D1AE"/>
          <w:insideV w:val="single" w:sz="4" w:space="0" w:color="00D1AE"/>
        </w:tblBorders>
        <w:tblLook w:val="0000" w:firstRow="0" w:lastRow="0" w:firstColumn="0" w:lastColumn="0" w:noHBand="0" w:noVBand="0"/>
      </w:tblPr>
      <w:tblGrid>
        <w:gridCol w:w="9950"/>
      </w:tblGrid>
      <w:tr w:rsidR="00400FC4" w:rsidTr="00BA6883">
        <w:trPr>
          <w:trHeight w:val="2075"/>
        </w:trPr>
        <w:tc>
          <w:tcPr>
            <w:tcW w:w="9950" w:type="dxa"/>
          </w:tcPr>
          <w:p w:rsidR="00400FC4" w:rsidRPr="00CC29F0" w:rsidRDefault="00400FC4" w:rsidP="00400FC4">
            <w:pPr>
              <w:pStyle w:val="Heading1"/>
              <w:rPr>
                <w:rFonts w:eastAsiaTheme="minorHAnsi"/>
                <w:b/>
              </w:rPr>
            </w:pPr>
            <w:bookmarkStart w:id="31" w:name="_Toc390863845"/>
            <w:bookmarkStart w:id="32" w:name="_Toc396307859"/>
            <w:r w:rsidRPr="00CC29F0">
              <w:rPr>
                <w:rFonts w:eastAsiaTheme="minorHAnsi"/>
                <w:b/>
              </w:rPr>
              <w:t xml:space="preserve">Question </w:t>
            </w:r>
            <w:r w:rsidR="002C69B3" w:rsidRPr="00CC29F0">
              <w:rPr>
                <w:rFonts w:eastAsiaTheme="minorHAnsi"/>
                <w:b/>
              </w:rPr>
              <w:t>5</w:t>
            </w:r>
            <w:r w:rsidRPr="00CC29F0">
              <w:rPr>
                <w:rFonts w:eastAsiaTheme="minorHAnsi"/>
                <w:b/>
              </w:rPr>
              <w:t xml:space="preserve"> </w:t>
            </w:r>
            <w:bookmarkEnd w:id="31"/>
            <w:r w:rsidR="00B2544E">
              <w:rPr>
                <w:rFonts w:eastAsiaTheme="minorHAnsi"/>
                <w:b/>
              </w:rPr>
              <w:t>(LAs only)</w:t>
            </w:r>
            <w:bookmarkEnd w:id="32"/>
          </w:p>
          <w:p w:rsidR="00400FC4" w:rsidRPr="00BA6883" w:rsidRDefault="000D7804" w:rsidP="00BA6883">
            <w:pPr>
              <w:rPr>
                <w:rFonts w:eastAsiaTheme="minorHAnsi"/>
              </w:rPr>
            </w:pPr>
            <w:r>
              <w:rPr>
                <w:rFonts w:eastAsiaTheme="minorHAnsi"/>
              </w:rPr>
              <w:t xml:space="preserve">For future years LAs will have additional </w:t>
            </w:r>
            <w:r w:rsidR="008B6F16">
              <w:rPr>
                <w:rFonts w:eastAsiaTheme="minorHAnsi"/>
              </w:rPr>
              <w:t>flexibilities</w:t>
            </w:r>
            <w:r w:rsidR="00400FC4" w:rsidRPr="00BA6883">
              <w:rPr>
                <w:rFonts w:eastAsiaTheme="minorHAnsi"/>
              </w:rPr>
              <w:t xml:space="preserve"> </w:t>
            </w:r>
            <w:r>
              <w:rPr>
                <w:rFonts w:eastAsiaTheme="minorHAnsi"/>
              </w:rPr>
              <w:t xml:space="preserve">to develop </w:t>
            </w:r>
            <w:r w:rsidR="00516AE8">
              <w:rPr>
                <w:rFonts w:eastAsiaTheme="minorHAnsi"/>
              </w:rPr>
              <w:t xml:space="preserve">their </w:t>
            </w:r>
            <w:r>
              <w:rPr>
                <w:rFonts w:eastAsiaTheme="minorHAnsi"/>
              </w:rPr>
              <w:t>own local indicator</w:t>
            </w:r>
            <w:r w:rsidR="00516AE8">
              <w:rPr>
                <w:rFonts w:eastAsiaTheme="minorHAnsi"/>
              </w:rPr>
              <w:t>.  W</w:t>
            </w:r>
            <w:r w:rsidR="00400FC4" w:rsidRPr="00BA6883">
              <w:rPr>
                <w:rFonts w:eastAsiaTheme="minorHAnsi"/>
              </w:rPr>
              <w:t xml:space="preserve">ould you </w:t>
            </w:r>
            <w:r w:rsidR="007B55DB">
              <w:rPr>
                <w:rFonts w:eastAsiaTheme="minorHAnsi"/>
              </w:rPr>
              <w:t xml:space="preserve">have </w:t>
            </w:r>
            <w:r w:rsidR="008B6F16">
              <w:rPr>
                <w:rFonts w:eastAsiaTheme="minorHAnsi"/>
              </w:rPr>
              <w:t xml:space="preserve">developed your own </w:t>
            </w:r>
            <w:r w:rsidR="00400FC4" w:rsidRPr="00BA6883">
              <w:rPr>
                <w:rFonts w:eastAsiaTheme="minorHAnsi"/>
              </w:rPr>
              <w:t xml:space="preserve">local </w:t>
            </w:r>
            <w:r>
              <w:rPr>
                <w:rFonts w:eastAsiaTheme="minorHAnsi"/>
              </w:rPr>
              <w:t xml:space="preserve">indicator and progress </w:t>
            </w:r>
            <w:r w:rsidR="00400FC4" w:rsidRPr="00BA6883">
              <w:rPr>
                <w:rFonts w:eastAsiaTheme="minorHAnsi"/>
              </w:rPr>
              <w:t>measure this year</w:t>
            </w:r>
            <w:r w:rsidR="00516AE8">
              <w:rPr>
                <w:rFonts w:eastAsiaTheme="minorHAnsi"/>
              </w:rPr>
              <w:t>, had this flexibility been available</w:t>
            </w:r>
            <w:r w:rsidR="00400FC4" w:rsidRPr="00BA6883">
              <w:rPr>
                <w:rFonts w:eastAsiaTheme="minorHAnsi"/>
              </w:rPr>
              <w:t xml:space="preserve">?  </w:t>
            </w:r>
          </w:p>
          <w:p w:rsidR="00400FC4" w:rsidRPr="00382180" w:rsidRDefault="00CB5476" w:rsidP="00BA6883">
            <w:pPr>
              <w:rPr>
                <w:rFonts w:eastAsiaTheme="minorHAnsi"/>
              </w:rPr>
            </w:pPr>
            <w:sdt>
              <w:sdtPr>
                <w:rPr>
                  <w:rFonts w:eastAsiaTheme="minorHAnsi"/>
                </w:rPr>
                <w:id w:val="1030841325"/>
                <w14:checkbox>
                  <w14:checked w14:val="0"/>
                  <w14:checkedState w14:val="2612" w14:font="MS Gothic"/>
                  <w14:uncheckedState w14:val="2610" w14:font="MS Gothic"/>
                </w14:checkbox>
              </w:sdtPr>
              <w:sdtEndPr/>
              <w:sdtContent>
                <w:r w:rsidR="00BA6883">
                  <w:rPr>
                    <w:rFonts w:ascii="MS Gothic" w:eastAsia="MS Gothic" w:hAnsi="MS Gothic" w:hint="eastAsia"/>
                  </w:rPr>
                  <w:t>☐</w:t>
                </w:r>
              </w:sdtContent>
            </w:sdt>
            <w:r w:rsidR="00400FC4" w:rsidRPr="00382180">
              <w:rPr>
                <w:rFonts w:eastAsiaTheme="minorHAnsi"/>
              </w:rPr>
              <w:t xml:space="preserve"> Yes</w:t>
            </w:r>
          </w:p>
          <w:p w:rsidR="00400FC4" w:rsidRDefault="00CB5476" w:rsidP="00BA6883">
            <w:pPr>
              <w:rPr>
                <w:rFonts w:eastAsiaTheme="minorHAnsi"/>
              </w:rPr>
            </w:pPr>
            <w:sdt>
              <w:sdtPr>
                <w:rPr>
                  <w:rFonts w:eastAsiaTheme="minorHAnsi"/>
                </w:rPr>
                <w:id w:val="-554467650"/>
                <w14:checkbox>
                  <w14:checked w14:val="0"/>
                  <w14:checkedState w14:val="2612" w14:font="MS Gothic"/>
                  <w14:uncheckedState w14:val="2610" w14:font="MS Gothic"/>
                </w14:checkbox>
              </w:sdtPr>
              <w:sdtEndPr/>
              <w:sdtContent>
                <w:r w:rsidR="00400FC4" w:rsidRPr="00382180">
                  <w:rPr>
                    <w:rFonts w:ascii="MS Gothic" w:eastAsia="MS Gothic" w:hAnsi="MS Gothic" w:cs="MS Gothic" w:hint="eastAsia"/>
                  </w:rPr>
                  <w:t>☐</w:t>
                </w:r>
              </w:sdtContent>
            </w:sdt>
            <w:r w:rsidR="00400FC4" w:rsidRPr="00382180">
              <w:rPr>
                <w:rFonts w:eastAsiaTheme="minorHAnsi"/>
              </w:rPr>
              <w:t xml:space="preserve"> No</w:t>
            </w:r>
          </w:p>
          <w:p w:rsidR="00BA6883" w:rsidRPr="00382180" w:rsidRDefault="00BA6883" w:rsidP="00BA6883">
            <w:pPr>
              <w:rPr>
                <w:rFonts w:eastAsiaTheme="minorHAnsi"/>
              </w:rPr>
            </w:pPr>
          </w:p>
          <w:p w:rsidR="00400FC4" w:rsidRDefault="00BA6883" w:rsidP="009570C6">
            <w:pPr>
              <w:rPr>
                <w:rFonts w:eastAsiaTheme="minorHAnsi"/>
              </w:rPr>
            </w:pPr>
            <w:r w:rsidRPr="00BA6883">
              <w:rPr>
                <w:rFonts w:eastAsiaTheme="minorHAnsi"/>
              </w:rPr>
              <w:t xml:space="preserve">If yes, </w:t>
            </w:r>
            <w:r w:rsidR="00516AE8">
              <w:rPr>
                <w:rFonts w:eastAsiaTheme="minorHAnsi"/>
              </w:rPr>
              <w:t xml:space="preserve">what sort of indicator would you have developed? </w:t>
            </w:r>
          </w:p>
          <w:p w:rsidR="00400FC4" w:rsidRDefault="00400FC4" w:rsidP="009570C6">
            <w:pPr>
              <w:rPr>
                <w:rFonts w:eastAsiaTheme="minorHAnsi"/>
              </w:rPr>
            </w:pPr>
          </w:p>
          <w:p w:rsidR="0032480A" w:rsidRDefault="0032480A" w:rsidP="009570C6">
            <w:pPr>
              <w:rPr>
                <w:rFonts w:eastAsiaTheme="minorHAnsi"/>
              </w:rPr>
            </w:pPr>
          </w:p>
          <w:p w:rsidR="0032480A" w:rsidRPr="00382180" w:rsidRDefault="0032480A" w:rsidP="009570C6">
            <w:pPr>
              <w:rPr>
                <w:rFonts w:eastAsiaTheme="minorHAnsi"/>
              </w:rPr>
            </w:pPr>
          </w:p>
        </w:tc>
      </w:tr>
    </w:tbl>
    <w:p w:rsidR="00400FC4" w:rsidRDefault="00400FC4" w:rsidP="00DC0FEE">
      <w:pPr>
        <w:rPr>
          <w:rFonts w:eastAsiaTheme="minorHAnsi"/>
        </w:rPr>
      </w:pPr>
    </w:p>
    <w:p w:rsidR="0000286F" w:rsidRDefault="0000286F" w:rsidP="001B60A3">
      <w:pPr>
        <w:pStyle w:val="Paragraphtext"/>
        <w:numPr>
          <w:ilvl w:val="1"/>
          <w:numId w:val="25"/>
        </w:numPr>
        <w:ind w:hanging="1043"/>
        <w:rPr>
          <w:rFonts w:cstheme="minorHAnsi"/>
          <w:color w:val="000000" w:themeColor="text1"/>
        </w:rPr>
      </w:pPr>
      <w:r>
        <w:rPr>
          <w:rFonts w:cstheme="minorHAnsi"/>
          <w:color w:val="000000" w:themeColor="text1"/>
        </w:rPr>
        <w:t xml:space="preserve">All LA baselines data sets can be found on the </w:t>
      </w:r>
      <w:r w:rsidRPr="00DF7781">
        <w:t>P</w:t>
      </w:r>
      <w:r w:rsidR="00942FE7">
        <w:t xml:space="preserve">ublic Health Outcomes Framework </w:t>
      </w:r>
      <w:r>
        <w:rPr>
          <w:rFonts w:cstheme="minorHAnsi"/>
          <w:color w:val="000000" w:themeColor="text1"/>
        </w:rPr>
        <w:t>interactive</w:t>
      </w:r>
      <w:r>
        <w:rPr>
          <w:rFonts w:cstheme="minorHAnsi"/>
        </w:rPr>
        <w:t xml:space="preserve"> web tool </w:t>
      </w:r>
      <w:hyperlink r:id="rId23" w:history="1">
        <w:r w:rsidRPr="00C2081F">
          <w:rPr>
            <w:rStyle w:val="Hyperlink"/>
            <w:rFonts w:ascii="Arial" w:hAnsi="Arial" w:cstheme="minorHAnsi"/>
          </w:rPr>
          <w:t>www.phoutcomes.info</w:t>
        </w:r>
      </w:hyperlink>
      <w:r>
        <w:rPr>
          <w:rFonts w:cstheme="minorHAnsi"/>
          <w:color w:val="000000" w:themeColor="text1"/>
        </w:rPr>
        <w:t xml:space="preserve"> </w:t>
      </w:r>
    </w:p>
    <w:p w:rsidR="0000286F" w:rsidRDefault="0000286F" w:rsidP="00DC0FEE">
      <w:pPr>
        <w:rPr>
          <w:rFonts w:eastAsiaTheme="minorHAnsi"/>
        </w:rPr>
      </w:pPr>
    </w:p>
    <w:p w:rsidR="00534CCD" w:rsidRDefault="00534CCD" w:rsidP="00DC0FEE">
      <w:pPr>
        <w:rPr>
          <w:rFonts w:eastAsiaTheme="minorHAnsi"/>
        </w:rPr>
      </w:pPr>
    </w:p>
    <w:p w:rsidR="00CC5FF2" w:rsidRPr="00CC29F0" w:rsidRDefault="000A1D35" w:rsidP="00000EA3">
      <w:pPr>
        <w:pStyle w:val="ChapterHead"/>
        <w:numPr>
          <w:ilvl w:val="0"/>
          <w:numId w:val="22"/>
        </w:numPr>
        <w:ind w:left="709" w:hanging="709"/>
        <w:rPr>
          <w:b/>
        </w:rPr>
      </w:pPr>
      <w:bookmarkStart w:id="33" w:name="_Toc396307860"/>
      <w:r w:rsidRPr="00CC29F0">
        <w:rPr>
          <w:b/>
        </w:rPr>
        <w:lastRenderedPageBreak/>
        <w:t>M</w:t>
      </w:r>
      <w:r w:rsidR="00CC5FF2" w:rsidRPr="00CC29F0">
        <w:rPr>
          <w:b/>
        </w:rPr>
        <w:t>easuring success</w:t>
      </w:r>
      <w:r w:rsidRPr="00CC29F0">
        <w:rPr>
          <w:b/>
        </w:rPr>
        <w:t xml:space="preserve"> and Payment</w:t>
      </w:r>
      <w:bookmarkEnd w:id="33"/>
    </w:p>
    <w:p w:rsidR="00CC5FF2" w:rsidRPr="000F75C7" w:rsidRDefault="00CC5FF2" w:rsidP="00000EA3">
      <w:pPr>
        <w:pStyle w:val="Heading4"/>
        <w:numPr>
          <w:ilvl w:val="1"/>
          <w:numId w:val="23"/>
        </w:numPr>
        <w:tabs>
          <w:tab w:val="left" w:pos="-4253"/>
          <w:tab w:val="left" w:pos="709"/>
        </w:tabs>
        <w:ind w:left="851" w:hanging="851"/>
        <w:rPr>
          <w:color w:val="000000" w:themeColor="text1"/>
        </w:rPr>
      </w:pPr>
      <w:r w:rsidRPr="000F75C7">
        <w:rPr>
          <w:color w:val="000000" w:themeColor="text1"/>
        </w:rPr>
        <w:t xml:space="preserve">The health premium will reward progress, rather than the attainment of a set target. </w:t>
      </w:r>
    </w:p>
    <w:p w:rsidR="000A1D35" w:rsidRDefault="000A1D35" w:rsidP="00B32AC9">
      <w:pPr>
        <w:pStyle w:val="Paragraphtext"/>
        <w:rPr>
          <w:rFonts w:cstheme="minorHAnsi"/>
          <w:color w:val="000000" w:themeColor="text1"/>
        </w:rPr>
      </w:pPr>
    </w:p>
    <w:p w:rsidR="00F801CF" w:rsidRDefault="00D8560A" w:rsidP="00D8560A">
      <w:pPr>
        <w:pStyle w:val="Paragraphtext"/>
        <w:ind w:left="709" w:hanging="709"/>
      </w:pPr>
      <w:r>
        <w:rPr>
          <w:rFonts w:cs="Arial"/>
          <w:szCs w:val="24"/>
        </w:rPr>
        <w:t>5.2</w:t>
      </w:r>
      <w:r>
        <w:rPr>
          <w:rFonts w:cs="Arial"/>
          <w:szCs w:val="24"/>
        </w:rPr>
        <w:tab/>
      </w:r>
      <w:r w:rsidR="00DC10B1" w:rsidRPr="002C13F4">
        <w:rPr>
          <w:rFonts w:cs="Arial"/>
          <w:szCs w:val="24"/>
        </w:rPr>
        <w:t xml:space="preserve">A key design feature of the health premium incentive is that it is a payment for progress, not meeting an arbitrary target. </w:t>
      </w:r>
      <w:r w:rsidR="0029631B">
        <w:rPr>
          <w:rFonts w:cs="Arial"/>
          <w:szCs w:val="24"/>
        </w:rPr>
        <w:t xml:space="preserve"> </w:t>
      </w:r>
      <w:r w:rsidR="00F801CF" w:rsidRPr="00DF7781">
        <w:t>There will not be any need for local authoriti</w:t>
      </w:r>
      <w:r w:rsidR="00DF7781" w:rsidRPr="00DF7781">
        <w:t>es to submit any additional data</w:t>
      </w:r>
      <w:r w:rsidR="0012383E">
        <w:t xml:space="preserve">. </w:t>
      </w:r>
      <w:r w:rsidR="0029631B">
        <w:t xml:space="preserve"> </w:t>
      </w:r>
      <w:r w:rsidR="0012383E">
        <w:t>A</w:t>
      </w:r>
      <w:r w:rsidR="00F801CF" w:rsidRPr="00DF7781">
        <w:t>ll data will be collected via the normal P</w:t>
      </w:r>
      <w:r w:rsidR="00DF7781" w:rsidRPr="00DF7781">
        <w:t xml:space="preserve">ublic Health Outcomes Framework </w:t>
      </w:r>
      <w:r w:rsidR="00BA5A1C">
        <w:t xml:space="preserve">data collection </w:t>
      </w:r>
      <w:r w:rsidR="00DF7781" w:rsidRPr="00DF7781">
        <w:t xml:space="preserve">route and any </w:t>
      </w:r>
      <w:r w:rsidR="00F801CF" w:rsidRPr="00DF7781">
        <w:t xml:space="preserve">additional </w:t>
      </w:r>
      <w:r w:rsidR="0014550C">
        <w:t xml:space="preserve">statistical </w:t>
      </w:r>
      <w:r w:rsidR="00DF7781" w:rsidRPr="00DF7781">
        <w:t>analysis</w:t>
      </w:r>
      <w:r w:rsidR="00F801CF" w:rsidRPr="00DF7781">
        <w:t xml:space="preserve"> will be done centrally within PHE</w:t>
      </w:r>
      <w:r w:rsidR="00A44585">
        <w:t xml:space="preserve"> with support from the technical sub group of ACRA.</w:t>
      </w:r>
    </w:p>
    <w:p w:rsidR="00921946" w:rsidRDefault="00921946" w:rsidP="00E86388">
      <w:pPr>
        <w:pStyle w:val="Paragraphtext"/>
        <w:ind w:left="1134" w:hanging="708"/>
      </w:pPr>
    </w:p>
    <w:p w:rsidR="007C247D" w:rsidRDefault="00000EA3" w:rsidP="00000EA3">
      <w:pPr>
        <w:pStyle w:val="Paragraphtext"/>
        <w:numPr>
          <w:ilvl w:val="1"/>
          <w:numId w:val="24"/>
        </w:numPr>
        <w:ind w:left="709" w:hanging="709"/>
      </w:pPr>
      <w:r>
        <w:tab/>
      </w:r>
      <w:r w:rsidR="00643596">
        <w:t>When it c</w:t>
      </w:r>
      <w:r w:rsidR="00757BA6">
        <w:t>omes to rewarding payment</w:t>
      </w:r>
      <w:r w:rsidR="00921946">
        <w:t>,</w:t>
      </w:r>
      <w:r w:rsidR="00757BA6">
        <w:t xml:space="preserve"> a</w:t>
      </w:r>
      <w:r w:rsidR="007C247D">
        <w:t>ll indicators both national and those chosen lo</w:t>
      </w:r>
      <w:r w:rsidR="00757BA6">
        <w:t>cally will be weighted the same.</w:t>
      </w:r>
      <w:r w:rsidR="0029631B">
        <w:t xml:space="preserve"> </w:t>
      </w:r>
      <w:r w:rsidR="00757BA6">
        <w:t xml:space="preserve"> </w:t>
      </w:r>
      <w:r w:rsidR="0012383E" w:rsidRPr="00A17FFC">
        <w:t xml:space="preserve">For </w:t>
      </w:r>
      <w:r w:rsidR="00757BA6" w:rsidRPr="00A17FFC">
        <w:t>2015/16</w:t>
      </w:r>
      <w:r w:rsidR="007C247D" w:rsidRPr="00A17FFC">
        <w:t xml:space="preserve"> this</w:t>
      </w:r>
      <w:r w:rsidR="007C247D">
        <w:t xml:space="preserve"> would mean</w:t>
      </w:r>
      <w:r w:rsidR="00CD3E94">
        <w:t>,</w:t>
      </w:r>
      <w:r w:rsidR="007C247D">
        <w:t xml:space="preserve"> </w:t>
      </w:r>
    </w:p>
    <w:p w:rsidR="007C247D" w:rsidRPr="00E8785D" w:rsidRDefault="00E8785D" w:rsidP="00000EA3">
      <w:pPr>
        <w:pStyle w:val="ListBullet"/>
        <w:numPr>
          <w:ilvl w:val="0"/>
          <w:numId w:val="19"/>
        </w:numPr>
        <w:contextualSpacing w:val="0"/>
      </w:pPr>
      <w:r>
        <w:t xml:space="preserve">If a local authority </w:t>
      </w:r>
      <w:r w:rsidR="007C247D" w:rsidRPr="00E8785D">
        <w:t>made progress on both indicators they w</w:t>
      </w:r>
      <w:r w:rsidR="00BA5A1C" w:rsidRPr="00E8785D">
        <w:t>ould receive the maximum reward</w:t>
      </w:r>
      <w:r w:rsidR="007D0359">
        <w:t xml:space="preserve"> for that authority</w:t>
      </w:r>
      <w:r w:rsidR="0029631B">
        <w:t>;</w:t>
      </w:r>
    </w:p>
    <w:p w:rsidR="007C247D" w:rsidRDefault="00E8785D" w:rsidP="00000EA3">
      <w:pPr>
        <w:pStyle w:val="ListBullet"/>
        <w:numPr>
          <w:ilvl w:val="0"/>
          <w:numId w:val="19"/>
        </w:numPr>
        <w:contextualSpacing w:val="0"/>
      </w:pPr>
      <w:r>
        <w:t xml:space="preserve">If they </w:t>
      </w:r>
      <w:r w:rsidR="007C247D">
        <w:t xml:space="preserve">made progress on </w:t>
      </w:r>
      <w:r>
        <w:t xml:space="preserve">only </w:t>
      </w:r>
      <w:r w:rsidR="007C247D">
        <w:t xml:space="preserve">one </w:t>
      </w:r>
      <w:r>
        <w:t xml:space="preserve">out </w:t>
      </w:r>
      <w:r w:rsidR="007C247D">
        <w:t>of the two</w:t>
      </w:r>
      <w:r>
        <w:t xml:space="preserve"> indicators, they would only receive </w:t>
      </w:r>
      <w:r w:rsidR="007D0359">
        <w:t>payment for one indicator</w:t>
      </w:r>
      <w:r w:rsidR="0012383E">
        <w:t xml:space="preserve"> only (</w:t>
      </w:r>
      <w:proofErr w:type="spellStart"/>
      <w:r w:rsidR="0012383E">
        <w:t>ie</w:t>
      </w:r>
      <w:proofErr w:type="spellEnd"/>
      <w:r w:rsidR="007D0359">
        <w:t xml:space="preserve"> </w:t>
      </w:r>
      <w:r>
        <w:t xml:space="preserve">half of the </w:t>
      </w:r>
      <w:r w:rsidR="007C247D">
        <w:t>available reward</w:t>
      </w:r>
      <w:r w:rsidR="0012383E">
        <w:t>)</w:t>
      </w:r>
      <w:r w:rsidR="0029631B">
        <w:t>; and</w:t>
      </w:r>
    </w:p>
    <w:p w:rsidR="0000286F" w:rsidRDefault="00E8785D" w:rsidP="00000EA3">
      <w:pPr>
        <w:pStyle w:val="ListBullet"/>
        <w:numPr>
          <w:ilvl w:val="0"/>
          <w:numId w:val="19"/>
        </w:numPr>
        <w:contextualSpacing w:val="0"/>
      </w:pPr>
      <w:r>
        <w:t xml:space="preserve">If they </w:t>
      </w:r>
      <w:r w:rsidR="007C247D">
        <w:t xml:space="preserve">did not make </w:t>
      </w:r>
      <w:r>
        <w:t xml:space="preserve">progress </w:t>
      </w:r>
      <w:r w:rsidR="007C247D">
        <w:t>on any of the indicators</w:t>
      </w:r>
      <w:r>
        <w:t>,</w:t>
      </w:r>
      <w:r w:rsidR="007C247D">
        <w:t xml:space="preserve"> they </w:t>
      </w:r>
      <w:r>
        <w:t>would not receive any payment</w:t>
      </w:r>
      <w:r w:rsidR="0029631B">
        <w:t>.</w:t>
      </w:r>
    </w:p>
    <w:p w:rsidR="0000286F" w:rsidRDefault="0000286F" w:rsidP="00E86388">
      <w:pPr>
        <w:pStyle w:val="ListBullet"/>
        <w:numPr>
          <w:ilvl w:val="0"/>
          <w:numId w:val="0"/>
        </w:numPr>
        <w:ind w:left="1134" w:hanging="708"/>
      </w:pPr>
    </w:p>
    <w:p w:rsidR="00921946" w:rsidRDefault="00000EA3" w:rsidP="00000EA3">
      <w:pPr>
        <w:pStyle w:val="ListBullet"/>
        <w:numPr>
          <w:ilvl w:val="1"/>
          <w:numId w:val="24"/>
        </w:numPr>
        <w:ind w:left="709" w:hanging="709"/>
      </w:pPr>
      <w:r>
        <w:tab/>
      </w:r>
      <w:r w:rsidR="0000286F">
        <w:t xml:space="preserve">In line </w:t>
      </w:r>
      <w:r w:rsidR="00C5776F">
        <w:t>with</w:t>
      </w:r>
      <w:r w:rsidR="0000286F">
        <w:t xml:space="preserve"> the long term aim of low bureaucracy, we exp</w:t>
      </w:r>
      <w:r w:rsidR="00C5776F">
        <w:t xml:space="preserve">ect this approach </w:t>
      </w:r>
      <w:r w:rsidR="007B55DB">
        <w:t xml:space="preserve">to </w:t>
      </w:r>
      <w:r w:rsidR="00C5776F">
        <w:t xml:space="preserve">the </w:t>
      </w:r>
      <w:r w:rsidR="00A27508">
        <w:t xml:space="preserve">equal </w:t>
      </w:r>
      <w:r w:rsidR="0000286F">
        <w:t>weighting of indicators to continue for the foreseeable future.</w:t>
      </w:r>
    </w:p>
    <w:p w:rsidR="00A36187" w:rsidRDefault="00A36187" w:rsidP="00A36187">
      <w:pPr>
        <w:pStyle w:val="ListBullet"/>
        <w:numPr>
          <w:ilvl w:val="0"/>
          <w:numId w:val="0"/>
        </w:numPr>
      </w:pPr>
    </w:p>
    <w:p w:rsidR="006A21EF" w:rsidRDefault="005D5BC0" w:rsidP="00000EA3">
      <w:pPr>
        <w:pStyle w:val="ListBullet"/>
        <w:numPr>
          <w:ilvl w:val="1"/>
          <w:numId w:val="24"/>
        </w:numPr>
        <w:ind w:left="709" w:hanging="709"/>
      </w:pPr>
      <w:r>
        <w:t xml:space="preserve">For each measure, </w:t>
      </w:r>
      <w:r w:rsidR="0000286F">
        <w:t xml:space="preserve">where </w:t>
      </w:r>
      <w:r w:rsidR="00114EAD" w:rsidRPr="00E5007F">
        <w:t>a</w:t>
      </w:r>
      <w:r w:rsidR="00114EAD">
        <w:t xml:space="preserve"> local authority demonstrates it has </w:t>
      </w:r>
      <w:r w:rsidR="0000286F">
        <w:t xml:space="preserve">made an </w:t>
      </w:r>
      <w:r w:rsidR="00114EAD" w:rsidRPr="00E5007F">
        <w:t xml:space="preserve">improvement by the end </w:t>
      </w:r>
      <w:r w:rsidR="00114EAD" w:rsidRPr="00A17FFC">
        <w:t>of March 201</w:t>
      </w:r>
      <w:r w:rsidR="0000286F" w:rsidRPr="00A17FFC">
        <w:t>5</w:t>
      </w:r>
      <w:r w:rsidR="006A21EF" w:rsidRPr="00A17FFC">
        <w:t xml:space="preserve"> they</w:t>
      </w:r>
      <w:r w:rsidR="006A21EF">
        <w:t xml:space="preserve"> will receive a share of the total available incentive.  The share will be proportional</w:t>
      </w:r>
      <w:r w:rsidR="00F725F3">
        <w:t xml:space="preserve"> to</w:t>
      </w:r>
      <w:r w:rsidR="006A21EF">
        <w:t xml:space="preserve"> their </w:t>
      </w:r>
      <w:r w:rsidR="00114EAD" w:rsidRPr="00E5007F">
        <w:t>target allocation</w:t>
      </w:r>
      <w:r w:rsidR="006A21EF">
        <w:t>, as recommended by ACRA</w:t>
      </w:r>
      <w:r w:rsidR="00114EAD" w:rsidRPr="00E5007F">
        <w:t xml:space="preserve">. </w:t>
      </w:r>
      <w:r w:rsidR="0029631B">
        <w:t xml:space="preserve"> </w:t>
      </w:r>
      <w:r w:rsidR="006A21EF">
        <w:t xml:space="preserve">When all </w:t>
      </w:r>
      <w:r w:rsidR="0085230D">
        <w:t xml:space="preserve">the </w:t>
      </w:r>
      <w:r w:rsidR="006A21EF">
        <w:t xml:space="preserve">shares are known, the incentive will be fully distributed </w:t>
      </w:r>
      <w:r w:rsidR="000A1CE0">
        <w:t>among the L</w:t>
      </w:r>
      <w:r w:rsidR="00CD3E94">
        <w:t>A</w:t>
      </w:r>
      <w:r w:rsidR="000A1CE0">
        <w:t>s</w:t>
      </w:r>
      <w:r w:rsidR="007318E7">
        <w:t xml:space="preserve"> based on the </w:t>
      </w:r>
      <w:r w:rsidR="007318E7" w:rsidRPr="00593C63">
        <w:t>allocation formula for 201</w:t>
      </w:r>
      <w:r w:rsidR="00FC016B" w:rsidRPr="00593C63">
        <w:t>4/1</w:t>
      </w:r>
      <w:r w:rsidR="007318E7" w:rsidRPr="00593C63">
        <w:t>5.</w:t>
      </w:r>
    </w:p>
    <w:p w:rsidR="00A36187" w:rsidRDefault="00A36187" w:rsidP="00A36187">
      <w:pPr>
        <w:pStyle w:val="ListBullet"/>
        <w:numPr>
          <w:ilvl w:val="0"/>
          <w:numId w:val="0"/>
        </w:numPr>
      </w:pPr>
    </w:p>
    <w:tbl>
      <w:tblPr>
        <w:tblW w:w="0" w:type="auto"/>
        <w:tblInd w:w="112" w:type="dxa"/>
        <w:tblBorders>
          <w:top w:val="single" w:sz="4" w:space="0" w:color="00D1AE"/>
          <w:left w:val="single" w:sz="4" w:space="0" w:color="00D1AE"/>
          <w:bottom w:val="single" w:sz="4" w:space="0" w:color="00D1AE"/>
          <w:right w:val="single" w:sz="4" w:space="0" w:color="00D1AE"/>
          <w:insideH w:val="single" w:sz="4" w:space="0" w:color="00D1AE"/>
          <w:insideV w:val="single" w:sz="4" w:space="0" w:color="00D1AE"/>
        </w:tblBorders>
        <w:tblLook w:val="0000" w:firstRow="0" w:lastRow="0" w:firstColumn="0" w:lastColumn="0" w:noHBand="0" w:noVBand="0"/>
      </w:tblPr>
      <w:tblGrid>
        <w:gridCol w:w="10140"/>
      </w:tblGrid>
      <w:tr w:rsidR="00F725F3" w:rsidTr="00CC29F0">
        <w:trPr>
          <w:trHeight w:val="2395"/>
        </w:trPr>
        <w:tc>
          <w:tcPr>
            <w:tcW w:w="10140" w:type="dxa"/>
          </w:tcPr>
          <w:p w:rsidR="00921946" w:rsidRPr="00CC29F0" w:rsidRDefault="00921946" w:rsidP="00400FC4">
            <w:pPr>
              <w:pStyle w:val="Heading1"/>
              <w:rPr>
                <w:b/>
              </w:rPr>
            </w:pPr>
            <w:bookmarkStart w:id="34" w:name="_Toc390863847"/>
            <w:bookmarkStart w:id="35" w:name="_Toc396307861"/>
            <w:r w:rsidRPr="00CC29F0">
              <w:rPr>
                <w:b/>
              </w:rPr>
              <w:t xml:space="preserve">Question </w:t>
            </w:r>
            <w:r w:rsidR="002C69B3" w:rsidRPr="00CC29F0">
              <w:rPr>
                <w:b/>
              </w:rPr>
              <w:t>6</w:t>
            </w:r>
            <w:bookmarkEnd w:id="34"/>
            <w:bookmarkEnd w:id="35"/>
          </w:p>
          <w:p w:rsidR="00F725F3" w:rsidRDefault="00F725F3" w:rsidP="00400FC4">
            <w:pPr>
              <w:pStyle w:val="Paragraphtext"/>
            </w:pPr>
            <w:r w:rsidRPr="00F725F3">
              <w:t xml:space="preserve">Do you agree that we should adopt an approach based on </w:t>
            </w:r>
            <w:r w:rsidR="00A93D3D">
              <w:t xml:space="preserve">point </w:t>
            </w:r>
            <w:r w:rsidRPr="00F725F3">
              <w:t>shares from a fixed pot, maximising the amount we can pay for progress, even though this means a lack of certainty on exactly how much the incentive for progress will be</w:t>
            </w:r>
            <w:r>
              <w:t xml:space="preserve"> for each local authority</w:t>
            </w:r>
            <w:r w:rsidRPr="00F725F3">
              <w:t>?</w:t>
            </w:r>
          </w:p>
          <w:p w:rsidR="00F725F3" w:rsidRDefault="00CB5476" w:rsidP="00400FC4">
            <w:pPr>
              <w:pStyle w:val="Paragraphtext"/>
            </w:pPr>
            <w:sdt>
              <w:sdtPr>
                <w:id w:val="32708352"/>
                <w14:checkbox>
                  <w14:checked w14:val="0"/>
                  <w14:checkedState w14:val="2612" w14:font="MS Gothic"/>
                  <w14:uncheckedState w14:val="2610" w14:font="MS Gothic"/>
                </w14:checkbox>
              </w:sdtPr>
              <w:sdtEndPr/>
              <w:sdtContent>
                <w:r w:rsidR="00F725F3">
                  <w:rPr>
                    <w:rFonts w:ascii="MS Gothic" w:eastAsia="MS Gothic" w:hAnsi="MS Gothic" w:hint="eastAsia"/>
                  </w:rPr>
                  <w:t>☐</w:t>
                </w:r>
              </w:sdtContent>
            </w:sdt>
            <w:r w:rsidR="00F725F3">
              <w:t xml:space="preserve"> Yes</w:t>
            </w:r>
          </w:p>
          <w:p w:rsidR="00F725F3" w:rsidRDefault="00CB5476" w:rsidP="00400FC4">
            <w:pPr>
              <w:pStyle w:val="Paragraphtext"/>
            </w:pPr>
            <w:sdt>
              <w:sdtPr>
                <w:id w:val="1157574738"/>
                <w14:checkbox>
                  <w14:checked w14:val="0"/>
                  <w14:checkedState w14:val="2612" w14:font="MS Gothic"/>
                  <w14:uncheckedState w14:val="2610" w14:font="MS Gothic"/>
                </w14:checkbox>
              </w:sdtPr>
              <w:sdtEndPr/>
              <w:sdtContent>
                <w:r w:rsidR="00F725F3">
                  <w:rPr>
                    <w:rFonts w:ascii="MS Gothic" w:eastAsia="MS Gothic" w:hAnsi="MS Gothic" w:hint="eastAsia"/>
                  </w:rPr>
                  <w:t>☐</w:t>
                </w:r>
              </w:sdtContent>
            </w:sdt>
            <w:r w:rsidR="00F725F3">
              <w:t xml:space="preserve"> No</w:t>
            </w:r>
          </w:p>
          <w:p w:rsidR="00400FC4" w:rsidRPr="001B0C86" w:rsidRDefault="00B2544E" w:rsidP="00B2544E">
            <w:pPr>
              <w:pStyle w:val="Paragraphtext"/>
            </w:pPr>
            <w:r w:rsidRPr="001B0C86">
              <w:t>If no</w:t>
            </w:r>
            <w:r w:rsidR="00864FEE" w:rsidRPr="001B0C86">
              <w:t xml:space="preserve">, </w:t>
            </w:r>
            <w:r w:rsidRPr="001B0C86">
              <w:t xml:space="preserve">what other methodology do you suggest </w:t>
            </w:r>
          </w:p>
          <w:p w:rsidR="00CC29F0" w:rsidRDefault="00CC29F0" w:rsidP="00400FC4">
            <w:pPr>
              <w:pStyle w:val="Paragraphtext"/>
            </w:pPr>
          </w:p>
        </w:tc>
      </w:tr>
    </w:tbl>
    <w:p w:rsidR="008F3C62" w:rsidRDefault="008F3C62" w:rsidP="008F3C62">
      <w:pPr>
        <w:pStyle w:val="Paragraphtext"/>
      </w:pPr>
    </w:p>
    <w:p w:rsidR="00921946" w:rsidRDefault="00E859D2" w:rsidP="00000EA3">
      <w:pPr>
        <w:pStyle w:val="Paragraphtext"/>
        <w:numPr>
          <w:ilvl w:val="1"/>
          <w:numId w:val="24"/>
        </w:numPr>
        <w:ind w:left="709" w:hanging="709"/>
      </w:pPr>
      <w:r w:rsidRPr="00E859D2">
        <w:t xml:space="preserve">Payment will be made in 2015/16 </w:t>
      </w:r>
      <w:r w:rsidR="00A77EA3">
        <w:t xml:space="preserve">as soon as possible after </w:t>
      </w:r>
      <w:r w:rsidRPr="00E859D2">
        <w:t xml:space="preserve">necessary data become publicly available. </w:t>
      </w:r>
      <w:r w:rsidR="0033095E">
        <w:t xml:space="preserve"> </w:t>
      </w:r>
    </w:p>
    <w:p w:rsidR="003D73FB" w:rsidRDefault="003D73FB" w:rsidP="003D73FB">
      <w:pPr>
        <w:pStyle w:val="Paragraphtext"/>
      </w:pPr>
    </w:p>
    <w:p w:rsidR="005368D9" w:rsidRPr="00516AE8" w:rsidRDefault="008F3C62" w:rsidP="00000EA3">
      <w:pPr>
        <w:pStyle w:val="Paragraphtext"/>
        <w:numPr>
          <w:ilvl w:val="1"/>
          <w:numId w:val="24"/>
        </w:numPr>
        <w:ind w:left="709" w:hanging="709"/>
      </w:pPr>
      <w:r w:rsidRPr="00516AE8">
        <w:rPr>
          <w:rFonts w:eastAsiaTheme="minorHAnsi"/>
        </w:rPr>
        <w:lastRenderedPageBreak/>
        <w:t>As noted above, £5m has been allocated for this first year of the incentive</w:t>
      </w:r>
      <w:r w:rsidR="00516AE8">
        <w:rPr>
          <w:rFonts w:eastAsiaTheme="minorHAnsi"/>
        </w:rPr>
        <w:t xml:space="preserve">. </w:t>
      </w:r>
      <w:r w:rsidR="0029631B">
        <w:rPr>
          <w:rFonts w:eastAsiaTheme="minorHAnsi"/>
        </w:rPr>
        <w:t xml:space="preserve"> </w:t>
      </w:r>
      <w:r w:rsidR="00516AE8">
        <w:rPr>
          <w:rFonts w:eastAsiaTheme="minorHAnsi"/>
        </w:rPr>
        <w:t>E</w:t>
      </w:r>
      <w:r w:rsidRPr="00516AE8">
        <w:rPr>
          <w:rFonts w:eastAsiaTheme="minorHAnsi"/>
        </w:rPr>
        <w:t>ach authority’s share of the £5m will be proportional to its 2014-15 target allocation, and also dependent on the authority passing the</w:t>
      </w:r>
      <w:r w:rsidR="00FC016B">
        <w:rPr>
          <w:rFonts w:eastAsiaTheme="minorHAnsi"/>
        </w:rPr>
        <w:t>ir</w:t>
      </w:r>
      <w:r w:rsidRPr="00516AE8">
        <w:rPr>
          <w:rFonts w:eastAsiaTheme="minorHAnsi"/>
        </w:rPr>
        <w:t xml:space="preserve"> threshold for payment. </w:t>
      </w:r>
      <w:r w:rsidR="0029631B">
        <w:rPr>
          <w:rFonts w:eastAsiaTheme="minorHAnsi"/>
        </w:rPr>
        <w:t xml:space="preserve"> </w:t>
      </w:r>
      <w:r w:rsidRPr="00516AE8">
        <w:rPr>
          <w:rFonts w:eastAsiaTheme="minorHAnsi"/>
        </w:rPr>
        <w:t>So, an authority demonstrating progress on both measures can expect provisionally to receive a minimum of around £1.79k per 2014-15 £1m target allocation.</w:t>
      </w:r>
      <w:r w:rsidR="0029631B">
        <w:rPr>
          <w:rFonts w:eastAsiaTheme="minorHAnsi"/>
        </w:rPr>
        <w:t xml:space="preserve"> </w:t>
      </w:r>
      <w:r w:rsidRPr="00516AE8">
        <w:rPr>
          <w:rFonts w:eastAsiaTheme="minorHAnsi"/>
        </w:rPr>
        <w:t xml:space="preserve"> The exact amount will depend o</w:t>
      </w:r>
      <w:r w:rsidR="00165169">
        <w:rPr>
          <w:rFonts w:eastAsiaTheme="minorHAnsi"/>
        </w:rPr>
        <w:t>n</w:t>
      </w:r>
      <w:r w:rsidRPr="00516AE8">
        <w:rPr>
          <w:rFonts w:eastAsiaTheme="minorHAnsi"/>
        </w:rPr>
        <w:t xml:space="preserve"> the number of local authorities passing the thresholds for payment of the incentive.  </w:t>
      </w:r>
    </w:p>
    <w:p w:rsidR="007C247D" w:rsidRDefault="007C247D" w:rsidP="007C247D">
      <w:pPr>
        <w:pStyle w:val="ListBullet"/>
        <w:numPr>
          <w:ilvl w:val="0"/>
          <w:numId w:val="0"/>
        </w:numPr>
      </w:pPr>
    </w:p>
    <w:p w:rsidR="007B55DB" w:rsidRDefault="007B55DB">
      <w:pPr>
        <w:spacing w:before="0" w:after="0" w:line="240" w:lineRule="auto"/>
        <w:rPr>
          <w:color w:val="00D1AE"/>
          <w:sz w:val="32"/>
        </w:rPr>
      </w:pPr>
      <w:r>
        <w:br w:type="page"/>
      </w:r>
    </w:p>
    <w:p w:rsidR="00921946" w:rsidRPr="00CC29F0" w:rsidRDefault="00400FC4" w:rsidP="001B60A3">
      <w:pPr>
        <w:pStyle w:val="ChapterHead"/>
        <w:numPr>
          <w:ilvl w:val="0"/>
          <w:numId w:val="24"/>
        </w:numPr>
        <w:ind w:left="567" w:hanging="567"/>
        <w:rPr>
          <w:b/>
        </w:rPr>
      </w:pPr>
      <w:bookmarkStart w:id="36" w:name="_Toc396307862"/>
      <w:r w:rsidRPr="00CC29F0">
        <w:rPr>
          <w:b/>
        </w:rPr>
        <w:lastRenderedPageBreak/>
        <w:t>Core allocation</w:t>
      </w:r>
      <w:bookmarkEnd w:id="36"/>
    </w:p>
    <w:p w:rsidR="00400FC4" w:rsidRPr="00400FC4" w:rsidRDefault="00400FC4" w:rsidP="001B60A3">
      <w:pPr>
        <w:pStyle w:val="Paragraphtext"/>
        <w:ind w:left="1276" w:hanging="850"/>
      </w:pPr>
    </w:p>
    <w:p w:rsidR="00C3746E" w:rsidRPr="00593C63" w:rsidRDefault="000448CC" w:rsidP="001B60A3">
      <w:pPr>
        <w:pStyle w:val="Paragraphtext"/>
        <w:numPr>
          <w:ilvl w:val="1"/>
          <w:numId w:val="26"/>
        </w:numPr>
        <w:ind w:left="1134" w:hanging="708"/>
        <w:rPr>
          <w:szCs w:val="24"/>
        </w:rPr>
      </w:pPr>
      <w:r w:rsidRPr="00593C63">
        <w:rPr>
          <w:szCs w:val="24"/>
        </w:rPr>
        <w:t xml:space="preserve">Colleagues in local government have been clear about the benefits of announcing allocations as early as possible.  We have therefore chosen to </w:t>
      </w:r>
      <w:r w:rsidR="00C3746E" w:rsidRPr="00593C63">
        <w:rPr>
          <w:szCs w:val="24"/>
        </w:rPr>
        <w:t>announc</w:t>
      </w:r>
      <w:r w:rsidRPr="00593C63">
        <w:rPr>
          <w:szCs w:val="24"/>
        </w:rPr>
        <w:t>e</w:t>
      </w:r>
      <w:r w:rsidR="00C3746E" w:rsidRPr="00593C63">
        <w:rPr>
          <w:szCs w:val="24"/>
        </w:rPr>
        <w:t xml:space="preserve"> the 2015/16 core allocation earl</w:t>
      </w:r>
      <w:r w:rsidRPr="00593C63">
        <w:rPr>
          <w:szCs w:val="24"/>
        </w:rPr>
        <w:t>ier than was usual practice for Primary Care Trust allocations</w:t>
      </w:r>
      <w:r w:rsidR="00FC016B" w:rsidRPr="00593C63">
        <w:rPr>
          <w:szCs w:val="24"/>
        </w:rPr>
        <w:t>.</w:t>
      </w:r>
    </w:p>
    <w:p w:rsidR="00921946" w:rsidRPr="00593C63" w:rsidRDefault="00921946" w:rsidP="00921946">
      <w:pPr>
        <w:pStyle w:val="ListParagraph"/>
        <w:ind w:left="0"/>
      </w:pPr>
    </w:p>
    <w:p w:rsidR="001552B3" w:rsidRPr="00BF7248" w:rsidRDefault="007E399E" w:rsidP="005A27BC">
      <w:pPr>
        <w:pStyle w:val="NoSpacing"/>
        <w:spacing w:line="276" w:lineRule="auto"/>
        <w:ind w:left="1134" w:hanging="708"/>
        <w:rPr>
          <w:rFonts w:ascii="Arial" w:hAnsi="Arial" w:cs="Arial"/>
          <w:color w:val="000000" w:themeColor="text1"/>
          <w:sz w:val="24"/>
          <w:szCs w:val="24"/>
          <w:highlight w:val="yellow"/>
        </w:rPr>
      </w:pPr>
      <w:r w:rsidRPr="00593C63">
        <w:rPr>
          <w:rFonts w:ascii="Arial" w:hAnsi="Arial" w:cs="Arial"/>
          <w:color w:val="000000" w:themeColor="text1"/>
          <w:sz w:val="24"/>
          <w:szCs w:val="24"/>
        </w:rPr>
        <w:t xml:space="preserve">6.2 </w:t>
      </w:r>
      <w:r w:rsidRPr="00593C63">
        <w:rPr>
          <w:rFonts w:ascii="Arial" w:hAnsi="Arial" w:cs="Arial"/>
          <w:color w:val="000000" w:themeColor="text1"/>
          <w:sz w:val="24"/>
          <w:szCs w:val="24"/>
        </w:rPr>
        <w:tab/>
      </w:r>
      <w:r w:rsidR="00593C63" w:rsidRPr="00593C63">
        <w:rPr>
          <w:rFonts w:ascii="Arial" w:hAnsi="Arial" w:cs="Arial"/>
          <w:sz w:val="24"/>
          <w:szCs w:val="24"/>
        </w:rPr>
        <w:t>The public health allocations for 2015/16 have been maintained at the current cash levels.</w:t>
      </w:r>
      <w:r w:rsidR="0029631B">
        <w:rPr>
          <w:rFonts w:ascii="Arial" w:hAnsi="Arial" w:cs="Arial"/>
          <w:sz w:val="24"/>
          <w:szCs w:val="24"/>
        </w:rPr>
        <w:t xml:space="preserve"> </w:t>
      </w:r>
      <w:r w:rsidR="00593C63" w:rsidRPr="00593C63">
        <w:rPr>
          <w:rFonts w:ascii="Arial" w:hAnsi="Arial" w:cs="Arial"/>
          <w:sz w:val="24"/>
          <w:szCs w:val="24"/>
        </w:rPr>
        <w:t xml:space="preserve"> While</w:t>
      </w:r>
      <w:r w:rsidR="00593C63">
        <w:rPr>
          <w:rFonts w:ascii="Arial" w:hAnsi="Arial" w:cs="Arial"/>
          <w:sz w:val="24"/>
          <w:szCs w:val="24"/>
        </w:rPr>
        <w:t xml:space="preserve"> it would be possible to redistribute funding to move those areas that are below target further towards their target allocations</w:t>
      </w:r>
      <w:r w:rsidR="00593C63">
        <w:rPr>
          <w:rFonts w:ascii="Arial" w:hAnsi="Arial" w:cs="Arial"/>
          <w:b/>
          <w:bCs/>
          <w:sz w:val="24"/>
          <w:szCs w:val="24"/>
        </w:rPr>
        <w:t xml:space="preserve">, </w:t>
      </w:r>
      <w:r w:rsidR="00593C63" w:rsidRPr="00BF7248">
        <w:rPr>
          <w:rFonts w:ascii="Arial" w:hAnsi="Arial" w:cs="Arial"/>
          <w:bCs/>
          <w:sz w:val="24"/>
          <w:szCs w:val="24"/>
        </w:rPr>
        <w:t>we have made considerable progress on distance from target over the last two years.</w:t>
      </w:r>
      <w:r w:rsidR="0029631B">
        <w:rPr>
          <w:rFonts w:ascii="Arial" w:hAnsi="Arial" w:cs="Arial"/>
          <w:bCs/>
          <w:sz w:val="24"/>
          <w:szCs w:val="24"/>
        </w:rPr>
        <w:t xml:space="preserve"> </w:t>
      </w:r>
      <w:r w:rsidR="00011DB4">
        <w:rPr>
          <w:rFonts w:ascii="Arial" w:hAnsi="Arial" w:cs="Arial"/>
          <w:bCs/>
          <w:sz w:val="24"/>
          <w:szCs w:val="24"/>
        </w:rPr>
        <w:t xml:space="preserve"> </w:t>
      </w:r>
      <w:r w:rsidR="00593C63" w:rsidRPr="00BF7248">
        <w:rPr>
          <w:rFonts w:ascii="Arial" w:hAnsi="Arial" w:cs="Arial"/>
          <w:bCs/>
          <w:sz w:val="24"/>
          <w:szCs w:val="24"/>
        </w:rPr>
        <w:t>We therefore</w:t>
      </w:r>
      <w:r w:rsidR="00593C63" w:rsidRPr="00BF7248">
        <w:rPr>
          <w:rFonts w:ascii="Arial" w:hAnsi="Arial" w:cs="Arial"/>
          <w:sz w:val="24"/>
          <w:szCs w:val="24"/>
        </w:rPr>
        <w:t xml:space="preserve"> inten</w:t>
      </w:r>
      <w:r w:rsidR="00593C63" w:rsidRPr="00BF7248">
        <w:rPr>
          <w:rFonts w:ascii="Arial" w:hAnsi="Arial" w:cs="Arial"/>
          <w:bCs/>
          <w:sz w:val="24"/>
          <w:szCs w:val="24"/>
        </w:rPr>
        <w:t>d</w:t>
      </w:r>
      <w:r w:rsidR="00593C63" w:rsidRPr="00BF7248">
        <w:rPr>
          <w:rFonts w:ascii="Arial" w:hAnsi="Arial" w:cs="Arial"/>
          <w:sz w:val="24"/>
          <w:szCs w:val="24"/>
        </w:rPr>
        <w:t xml:space="preserve"> to protect the allocations of individual local authorities in cash-terms </w:t>
      </w:r>
      <w:r w:rsidR="00593C63" w:rsidRPr="00BF7248">
        <w:rPr>
          <w:rFonts w:ascii="Arial" w:hAnsi="Arial" w:cs="Arial"/>
          <w:bCs/>
          <w:sz w:val="24"/>
          <w:szCs w:val="24"/>
        </w:rPr>
        <w:t>to promote stability</w:t>
      </w:r>
      <w:r w:rsidR="00825304">
        <w:rPr>
          <w:rFonts w:ascii="Arial" w:hAnsi="Arial" w:cs="Arial"/>
          <w:bCs/>
          <w:sz w:val="24"/>
          <w:szCs w:val="24"/>
        </w:rPr>
        <w:t xml:space="preserve">. </w:t>
      </w:r>
    </w:p>
    <w:p w:rsidR="001552B3" w:rsidRPr="00E25228" w:rsidRDefault="007E399E" w:rsidP="005A27BC">
      <w:pPr>
        <w:pStyle w:val="Paragraphtext"/>
        <w:ind w:left="1134" w:hanging="708"/>
        <w:rPr>
          <w:szCs w:val="24"/>
        </w:rPr>
      </w:pPr>
      <w:r>
        <w:rPr>
          <w:szCs w:val="24"/>
        </w:rPr>
        <w:t>6.3</w:t>
      </w:r>
      <w:r>
        <w:rPr>
          <w:szCs w:val="24"/>
        </w:rPr>
        <w:tab/>
      </w:r>
      <w:r w:rsidR="001552B3" w:rsidRPr="00E25228">
        <w:rPr>
          <w:szCs w:val="24"/>
        </w:rPr>
        <w:t>Transfer of funding for children 0-5 for the year 2015/16 is being handled separately to the core allocations.</w:t>
      </w:r>
    </w:p>
    <w:p w:rsidR="009E7B33" w:rsidRDefault="009E7B33" w:rsidP="00C5689E">
      <w:pPr>
        <w:pStyle w:val="Paragraphtext"/>
        <w:rPr>
          <w:szCs w:val="24"/>
          <w:highlight w:val="yellow"/>
        </w:rPr>
      </w:pPr>
    </w:p>
    <w:p w:rsidR="00D05324" w:rsidRDefault="00D05324" w:rsidP="00C5689E">
      <w:pPr>
        <w:pStyle w:val="Paragraphtext"/>
        <w:rPr>
          <w:szCs w:val="24"/>
          <w:highlight w:val="yellow"/>
        </w:rPr>
      </w:pPr>
    </w:p>
    <w:p w:rsidR="00D05324" w:rsidRDefault="00D05324" w:rsidP="00C5689E">
      <w:pPr>
        <w:pStyle w:val="Paragraphtext"/>
        <w:rPr>
          <w:szCs w:val="24"/>
          <w:highlight w:val="yellow"/>
        </w:rPr>
      </w:pPr>
    </w:p>
    <w:p w:rsidR="00D05324" w:rsidRDefault="00D05324" w:rsidP="00C5689E">
      <w:pPr>
        <w:pStyle w:val="Paragraphtext"/>
        <w:rPr>
          <w:szCs w:val="24"/>
          <w:highlight w:val="yellow"/>
        </w:rPr>
      </w:pPr>
    </w:p>
    <w:p w:rsidR="00D05324" w:rsidRDefault="00D05324" w:rsidP="00C5689E">
      <w:pPr>
        <w:pStyle w:val="Paragraphtext"/>
        <w:rPr>
          <w:szCs w:val="24"/>
          <w:highlight w:val="yellow"/>
        </w:rPr>
      </w:pPr>
    </w:p>
    <w:p w:rsidR="00D05324" w:rsidRDefault="00D05324" w:rsidP="00C5689E">
      <w:pPr>
        <w:pStyle w:val="Paragraphtext"/>
        <w:rPr>
          <w:szCs w:val="24"/>
          <w:highlight w:val="yellow"/>
        </w:rPr>
      </w:pPr>
    </w:p>
    <w:p w:rsidR="00D05324" w:rsidRDefault="00D05324" w:rsidP="00C5689E">
      <w:pPr>
        <w:pStyle w:val="Paragraphtext"/>
        <w:rPr>
          <w:szCs w:val="24"/>
          <w:highlight w:val="yellow"/>
        </w:rPr>
      </w:pPr>
    </w:p>
    <w:p w:rsidR="00D05324" w:rsidRDefault="00D05324" w:rsidP="00C5689E">
      <w:pPr>
        <w:pStyle w:val="Paragraphtext"/>
        <w:rPr>
          <w:szCs w:val="24"/>
          <w:highlight w:val="yellow"/>
        </w:rPr>
      </w:pPr>
    </w:p>
    <w:p w:rsidR="00D05324" w:rsidRDefault="00D05324" w:rsidP="00C5689E">
      <w:pPr>
        <w:pStyle w:val="Paragraphtext"/>
        <w:rPr>
          <w:szCs w:val="24"/>
          <w:highlight w:val="yellow"/>
        </w:rPr>
      </w:pPr>
    </w:p>
    <w:p w:rsidR="00D05324" w:rsidRDefault="00D05324" w:rsidP="00C5689E">
      <w:pPr>
        <w:pStyle w:val="Paragraphtext"/>
        <w:rPr>
          <w:szCs w:val="24"/>
          <w:highlight w:val="yellow"/>
        </w:rPr>
      </w:pPr>
    </w:p>
    <w:p w:rsidR="00D05324" w:rsidRDefault="00D05324" w:rsidP="00C5689E">
      <w:pPr>
        <w:pStyle w:val="Paragraphtext"/>
        <w:rPr>
          <w:szCs w:val="24"/>
          <w:highlight w:val="yellow"/>
        </w:rPr>
      </w:pPr>
    </w:p>
    <w:p w:rsidR="009E7B33" w:rsidRDefault="009E7B33" w:rsidP="00C5689E">
      <w:pPr>
        <w:pStyle w:val="Paragraphtext"/>
        <w:rPr>
          <w:szCs w:val="24"/>
          <w:highlight w:val="yellow"/>
        </w:rPr>
      </w:pPr>
    </w:p>
    <w:p w:rsidR="009E7B33" w:rsidRDefault="009E7B33" w:rsidP="00C5689E">
      <w:pPr>
        <w:pStyle w:val="Paragraphtext"/>
        <w:rPr>
          <w:szCs w:val="24"/>
          <w:highlight w:val="yellow"/>
        </w:rPr>
      </w:pPr>
    </w:p>
    <w:p w:rsidR="009E7B33" w:rsidRDefault="009E7B33" w:rsidP="00C5689E">
      <w:pPr>
        <w:pStyle w:val="Paragraphtext"/>
        <w:rPr>
          <w:szCs w:val="24"/>
          <w:highlight w:val="yellow"/>
        </w:rPr>
      </w:pPr>
    </w:p>
    <w:p w:rsidR="009E7B33" w:rsidRDefault="009E7B33" w:rsidP="00C5689E">
      <w:pPr>
        <w:pStyle w:val="Paragraphtext"/>
        <w:rPr>
          <w:szCs w:val="24"/>
          <w:highlight w:val="yellow"/>
        </w:rPr>
      </w:pPr>
    </w:p>
    <w:p w:rsidR="009E7B33" w:rsidRDefault="009E7B33" w:rsidP="00C5689E">
      <w:pPr>
        <w:pStyle w:val="Paragraphtext"/>
        <w:rPr>
          <w:szCs w:val="24"/>
          <w:highlight w:val="yellow"/>
        </w:rPr>
      </w:pPr>
    </w:p>
    <w:p w:rsidR="009E7B33" w:rsidRDefault="009E7B33" w:rsidP="00C5689E">
      <w:pPr>
        <w:pStyle w:val="Paragraphtext"/>
        <w:rPr>
          <w:szCs w:val="24"/>
          <w:highlight w:val="yellow"/>
        </w:rPr>
      </w:pPr>
    </w:p>
    <w:p w:rsidR="009E7B33" w:rsidRDefault="009E7B33" w:rsidP="00C5689E">
      <w:pPr>
        <w:pStyle w:val="Paragraphtext"/>
        <w:rPr>
          <w:szCs w:val="24"/>
          <w:highlight w:val="yellow"/>
        </w:rPr>
      </w:pPr>
    </w:p>
    <w:p w:rsidR="009E7B33" w:rsidRDefault="009E7B33" w:rsidP="00C5689E">
      <w:pPr>
        <w:pStyle w:val="Paragraphtext"/>
        <w:rPr>
          <w:szCs w:val="24"/>
          <w:highlight w:val="yellow"/>
        </w:rPr>
      </w:pPr>
    </w:p>
    <w:p w:rsidR="001866D3" w:rsidRDefault="001866D3">
      <w:pPr>
        <w:spacing w:before="0" w:after="0" w:line="240" w:lineRule="auto"/>
        <w:rPr>
          <w:rFonts w:cs="Times New Roman"/>
          <w:szCs w:val="24"/>
          <w:highlight w:val="yellow"/>
        </w:rPr>
      </w:pPr>
      <w:r>
        <w:rPr>
          <w:szCs w:val="24"/>
          <w:highlight w:val="yellow"/>
        </w:rPr>
        <w:br w:type="page"/>
      </w:r>
    </w:p>
    <w:p w:rsidR="001866D3" w:rsidRPr="00D0195A" w:rsidRDefault="001866D3" w:rsidP="00C5689E">
      <w:pPr>
        <w:pStyle w:val="Paragraphtext"/>
        <w:rPr>
          <w:szCs w:val="24"/>
          <w:highlight w:val="yellow"/>
        </w:rPr>
      </w:pPr>
    </w:p>
    <w:p w:rsidR="00E859D2" w:rsidRPr="00CC29F0" w:rsidRDefault="00E859D2" w:rsidP="001B60A3">
      <w:pPr>
        <w:pStyle w:val="ChapterHead"/>
        <w:numPr>
          <w:ilvl w:val="0"/>
          <w:numId w:val="26"/>
        </w:numPr>
        <w:rPr>
          <w:b/>
        </w:rPr>
      </w:pPr>
      <w:bookmarkStart w:id="37" w:name="_Toc396307863"/>
      <w:bookmarkStart w:id="38" w:name="_Toc390863851"/>
      <w:r w:rsidRPr="00CC29F0">
        <w:rPr>
          <w:b/>
        </w:rPr>
        <w:t xml:space="preserve">Next </w:t>
      </w:r>
      <w:r w:rsidR="00534CCD" w:rsidRPr="00CC29F0">
        <w:rPr>
          <w:b/>
        </w:rPr>
        <w:t>s</w:t>
      </w:r>
      <w:r w:rsidRPr="00CC29F0">
        <w:rPr>
          <w:b/>
        </w:rPr>
        <w:t>teps</w:t>
      </w:r>
      <w:bookmarkEnd w:id="37"/>
    </w:p>
    <w:bookmarkEnd w:id="38"/>
    <w:p w:rsidR="00E25228" w:rsidRPr="003D73FB" w:rsidRDefault="00E25228" w:rsidP="00516AE8">
      <w:pPr>
        <w:pStyle w:val="Paragraphtext"/>
        <w:rPr>
          <w:sz w:val="22"/>
        </w:rPr>
      </w:pPr>
    </w:p>
    <w:p w:rsidR="003D73FB" w:rsidRPr="00825304" w:rsidRDefault="003D73FB" w:rsidP="00000EA3">
      <w:pPr>
        <w:pStyle w:val="Paragraphtext"/>
        <w:numPr>
          <w:ilvl w:val="1"/>
          <w:numId w:val="20"/>
        </w:numPr>
        <w:ind w:left="1134" w:hanging="708"/>
      </w:pPr>
      <w:r w:rsidRPr="00825304">
        <w:t xml:space="preserve">Respond to the consultation by </w:t>
      </w:r>
      <w:r w:rsidR="00BE20CA" w:rsidRPr="00825304">
        <w:t>23 October</w:t>
      </w:r>
      <w:r w:rsidRPr="00825304">
        <w:t xml:space="preserve"> 2014.  </w:t>
      </w:r>
    </w:p>
    <w:p w:rsidR="00CC29F0" w:rsidRDefault="00CC29F0" w:rsidP="005A27BC">
      <w:pPr>
        <w:pStyle w:val="Paragraphtext"/>
        <w:ind w:hanging="708"/>
      </w:pPr>
    </w:p>
    <w:p w:rsidR="00E859D2" w:rsidRPr="00625A7C" w:rsidRDefault="003D73FB" w:rsidP="005A27BC">
      <w:pPr>
        <w:pStyle w:val="Paragraphtext"/>
        <w:ind w:left="1134" w:hanging="708"/>
        <w:rPr>
          <w:rFonts w:cs="Arial"/>
        </w:rPr>
      </w:pPr>
      <w:r w:rsidRPr="00625A7C">
        <w:rPr>
          <w:rFonts w:cs="Arial"/>
        </w:rPr>
        <w:t>7.2</w:t>
      </w:r>
      <w:r w:rsidRPr="00625A7C">
        <w:rPr>
          <w:rFonts w:cs="Arial"/>
        </w:rPr>
        <w:tab/>
      </w:r>
      <w:r w:rsidR="00E859D2" w:rsidRPr="00625A7C">
        <w:rPr>
          <w:rFonts w:cs="Arial"/>
        </w:rPr>
        <w:t xml:space="preserve">Once responses to the consultation have been received and considered, PHE will write to local authorities with </w:t>
      </w:r>
      <w:r w:rsidR="00694131">
        <w:rPr>
          <w:rFonts w:cs="Arial"/>
        </w:rPr>
        <w:t xml:space="preserve">details </w:t>
      </w:r>
      <w:r w:rsidR="00E859D2" w:rsidRPr="00625A7C">
        <w:rPr>
          <w:rFonts w:cs="Arial"/>
        </w:rPr>
        <w:t>of:</w:t>
      </w:r>
    </w:p>
    <w:p w:rsidR="00625A7C" w:rsidRPr="00625A7C" w:rsidRDefault="00625A7C" w:rsidP="005A27BC">
      <w:pPr>
        <w:pStyle w:val="ListParagraph"/>
        <w:spacing w:line="276" w:lineRule="auto"/>
        <w:ind w:left="0" w:hanging="708"/>
        <w:rPr>
          <w:rFonts w:ascii="Arial" w:hAnsi="Arial" w:cs="Arial"/>
        </w:rPr>
      </w:pPr>
    </w:p>
    <w:p w:rsidR="00E859D2" w:rsidRDefault="003D73FB" w:rsidP="00000EA3">
      <w:pPr>
        <w:pStyle w:val="ListParagraph"/>
        <w:numPr>
          <w:ilvl w:val="0"/>
          <w:numId w:val="21"/>
        </w:numPr>
        <w:spacing w:line="276" w:lineRule="auto"/>
        <w:ind w:left="1842" w:hanging="708"/>
        <w:rPr>
          <w:rFonts w:ascii="Arial" w:hAnsi="Arial" w:cs="Arial"/>
        </w:rPr>
      </w:pPr>
      <w:r w:rsidRPr="00625A7C">
        <w:rPr>
          <w:rFonts w:ascii="Arial" w:hAnsi="Arial" w:cs="Arial"/>
        </w:rPr>
        <w:t>The</w:t>
      </w:r>
      <w:r w:rsidR="00E859D2" w:rsidRPr="00625A7C">
        <w:rPr>
          <w:rFonts w:ascii="Arial" w:hAnsi="Arial" w:cs="Arial"/>
        </w:rPr>
        <w:t xml:space="preserve"> agreed national indicator</w:t>
      </w:r>
      <w:r w:rsidR="0029631B">
        <w:rPr>
          <w:rFonts w:ascii="Arial" w:hAnsi="Arial" w:cs="Arial"/>
        </w:rPr>
        <w:t>;</w:t>
      </w:r>
    </w:p>
    <w:p w:rsidR="00625A7C" w:rsidRPr="00625A7C" w:rsidRDefault="00625A7C" w:rsidP="005A27BC">
      <w:pPr>
        <w:pStyle w:val="ListParagraph"/>
        <w:spacing w:line="276" w:lineRule="auto"/>
        <w:ind w:left="1122" w:hanging="708"/>
        <w:rPr>
          <w:rFonts w:ascii="Arial" w:hAnsi="Arial" w:cs="Arial"/>
        </w:rPr>
      </w:pPr>
    </w:p>
    <w:p w:rsidR="00E859D2" w:rsidRPr="00625A7C" w:rsidRDefault="003D73FB" w:rsidP="00000EA3">
      <w:pPr>
        <w:pStyle w:val="ListParagraph"/>
        <w:numPr>
          <w:ilvl w:val="0"/>
          <w:numId w:val="21"/>
        </w:numPr>
        <w:spacing w:line="276" w:lineRule="auto"/>
        <w:ind w:left="1842" w:hanging="708"/>
        <w:rPr>
          <w:rFonts w:ascii="Arial" w:hAnsi="Arial" w:cs="Arial"/>
        </w:rPr>
      </w:pPr>
      <w:r w:rsidRPr="00825304">
        <w:rPr>
          <w:rFonts w:ascii="Arial" w:hAnsi="Arial" w:cs="Arial"/>
        </w:rPr>
        <w:t>Baselines</w:t>
      </w:r>
      <w:r w:rsidR="00E859D2" w:rsidRPr="00825304">
        <w:rPr>
          <w:rFonts w:ascii="Arial" w:hAnsi="Arial" w:cs="Arial"/>
        </w:rPr>
        <w:t xml:space="preserve"> for each of the </w:t>
      </w:r>
      <w:r w:rsidR="00BE20CA" w:rsidRPr="00825304">
        <w:rPr>
          <w:rFonts w:ascii="Arial" w:hAnsi="Arial" w:cs="Arial"/>
        </w:rPr>
        <w:t xml:space="preserve">34 </w:t>
      </w:r>
      <w:r w:rsidR="00E859D2" w:rsidRPr="00825304">
        <w:rPr>
          <w:rFonts w:ascii="Arial" w:hAnsi="Arial" w:cs="Arial"/>
        </w:rPr>
        <w:t>indicators</w:t>
      </w:r>
      <w:r w:rsidR="00BE20CA" w:rsidRPr="00825304">
        <w:rPr>
          <w:rFonts w:ascii="Arial" w:hAnsi="Arial" w:cs="Arial"/>
        </w:rPr>
        <w:t xml:space="preserve"> offered for 2014/15 HPIS </w:t>
      </w:r>
      <w:r w:rsidR="00E859D2" w:rsidRPr="00825304">
        <w:rPr>
          <w:rFonts w:ascii="Arial" w:hAnsi="Arial" w:cs="Arial"/>
        </w:rPr>
        <w:t xml:space="preserve"> (using the</w:t>
      </w:r>
      <w:r w:rsidR="00E859D2" w:rsidRPr="00625A7C">
        <w:rPr>
          <w:rFonts w:ascii="Arial" w:hAnsi="Arial" w:cs="Arial"/>
        </w:rPr>
        <w:t xml:space="preserve"> most recent PHOF derived data)</w:t>
      </w:r>
      <w:r w:rsidR="0029631B">
        <w:rPr>
          <w:rFonts w:ascii="Arial" w:hAnsi="Arial" w:cs="Arial"/>
        </w:rPr>
        <w:t>;</w:t>
      </w:r>
      <w:r w:rsidR="00E859D2" w:rsidRPr="00625A7C">
        <w:rPr>
          <w:rFonts w:ascii="Arial" w:hAnsi="Arial" w:cs="Arial"/>
        </w:rPr>
        <w:t xml:space="preserve">  </w:t>
      </w:r>
    </w:p>
    <w:p w:rsidR="00625A7C" w:rsidRDefault="00625A7C" w:rsidP="005A27BC">
      <w:pPr>
        <w:pStyle w:val="ListParagraph"/>
        <w:spacing w:line="276" w:lineRule="auto"/>
        <w:ind w:left="1122" w:hanging="708"/>
        <w:rPr>
          <w:rFonts w:ascii="Arial" w:hAnsi="Arial" w:cs="Arial"/>
        </w:rPr>
      </w:pPr>
    </w:p>
    <w:p w:rsidR="005326DE" w:rsidRPr="00625A7C" w:rsidRDefault="003D73FB" w:rsidP="00000EA3">
      <w:pPr>
        <w:pStyle w:val="ListParagraph"/>
        <w:numPr>
          <w:ilvl w:val="0"/>
          <w:numId w:val="21"/>
        </w:numPr>
        <w:spacing w:line="276" w:lineRule="auto"/>
        <w:ind w:left="1842" w:hanging="708"/>
        <w:rPr>
          <w:rFonts w:ascii="Arial" w:hAnsi="Arial" w:cs="Arial"/>
        </w:rPr>
      </w:pPr>
      <w:r w:rsidRPr="00625A7C">
        <w:rPr>
          <w:rFonts w:ascii="Arial" w:hAnsi="Arial" w:cs="Arial"/>
        </w:rPr>
        <w:t>The</w:t>
      </w:r>
      <w:r w:rsidR="00E859D2" w:rsidRPr="00625A7C">
        <w:rPr>
          <w:rFonts w:ascii="Arial" w:hAnsi="Arial" w:cs="Arial"/>
        </w:rPr>
        <w:t xml:space="preserve"> level of improvement to be demonstrated for each potential</w:t>
      </w:r>
      <w:r w:rsidRPr="00625A7C">
        <w:rPr>
          <w:rFonts w:ascii="Arial" w:hAnsi="Arial" w:cs="Arial"/>
        </w:rPr>
        <w:t xml:space="preserve"> indicator</w:t>
      </w:r>
      <w:r w:rsidR="0029631B">
        <w:rPr>
          <w:rFonts w:ascii="Arial" w:hAnsi="Arial" w:cs="Arial"/>
        </w:rPr>
        <w:t>;</w:t>
      </w:r>
      <w:r w:rsidR="00E859D2" w:rsidRPr="00625A7C">
        <w:rPr>
          <w:rFonts w:ascii="Arial" w:hAnsi="Arial" w:cs="Arial"/>
        </w:rPr>
        <w:t xml:space="preserve"> </w:t>
      </w:r>
    </w:p>
    <w:p w:rsidR="00625A7C" w:rsidRDefault="00625A7C" w:rsidP="005A27BC">
      <w:pPr>
        <w:pStyle w:val="ListParagraph"/>
        <w:spacing w:line="276" w:lineRule="auto"/>
        <w:ind w:left="1122" w:hanging="708"/>
        <w:rPr>
          <w:rFonts w:ascii="Arial" w:hAnsi="Arial" w:cs="Arial"/>
        </w:rPr>
      </w:pPr>
    </w:p>
    <w:p w:rsidR="00E859D2" w:rsidRDefault="0029631B" w:rsidP="00000EA3">
      <w:pPr>
        <w:pStyle w:val="ListParagraph"/>
        <w:numPr>
          <w:ilvl w:val="0"/>
          <w:numId w:val="21"/>
        </w:numPr>
        <w:spacing w:line="276" w:lineRule="auto"/>
        <w:ind w:left="1842" w:hanging="708"/>
        <w:rPr>
          <w:rFonts w:ascii="Arial" w:hAnsi="Arial" w:cs="Arial"/>
        </w:rPr>
      </w:pPr>
      <w:r>
        <w:rPr>
          <w:rFonts w:ascii="Arial" w:hAnsi="Arial" w:cs="Arial"/>
        </w:rPr>
        <w:t>T</w:t>
      </w:r>
      <w:r w:rsidR="00E859D2" w:rsidRPr="00625A7C">
        <w:rPr>
          <w:rFonts w:ascii="Arial" w:hAnsi="Arial" w:cs="Arial"/>
        </w:rPr>
        <w:t xml:space="preserve">he process for </w:t>
      </w:r>
      <w:r w:rsidR="00694131">
        <w:rPr>
          <w:rFonts w:ascii="Arial" w:hAnsi="Arial" w:cs="Arial"/>
        </w:rPr>
        <w:t xml:space="preserve">informing PHE of the </w:t>
      </w:r>
      <w:r w:rsidR="00E859D2" w:rsidRPr="00625A7C">
        <w:rPr>
          <w:rFonts w:ascii="Arial" w:hAnsi="Arial" w:cs="Arial"/>
        </w:rPr>
        <w:t>local</w:t>
      </w:r>
      <w:r w:rsidR="00694131">
        <w:rPr>
          <w:rFonts w:ascii="Arial" w:hAnsi="Arial" w:cs="Arial"/>
        </w:rPr>
        <w:t>ly chosen</w:t>
      </w:r>
      <w:r w:rsidR="00E859D2" w:rsidRPr="00625A7C">
        <w:rPr>
          <w:rFonts w:ascii="Arial" w:hAnsi="Arial" w:cs="Arial"/>
        </w:rPr>
        <w:t xml:space="preserve"> indicator and details of how payments</w:t>
      </w:r>
      <w:r w:rsidR="00694131">
        <w:rPr>
          <w:rFonts w:ascii="Arial" w:hAnsi="Arial" w:cs="Arial"/>
        </w:rPr>
        <w:t xml:space="preserve"> will be made</w:t>
      </w:r>
      <w:r>
        <w:rPr>
          <w:rFonts w:ascii="Arial" w:hAnsi="Arial" w:cs="Arial"/>
        </w:rPr>
        <w:t>; and</w:t>
      </w:r>
      <w:r w:rsidR="00E859D2" w:rsidRPr="00625A7C">
        <w:rPr>
          <w:rFonts w:ascii="Arial" w:hAnsi="Arial" w:cs="Arial"/>
        </w:rPr>
        <w:t xml:space="preserve"> </w:t>
      </w:r>
    </w:p>
    <w:p w:rsidR="00625A7C" w:rsidRPr="00625A7C" w:rsidRDefault="00625A7C" w:rsidP="005A27BC">
      <w:pPr>
        <w:pStyle w:val="ListParagraph"/>
        <w:ind w:left="1122" w:hanging="708"/>
        <w:rPr>
          <w:rFonts w:ascii="Arial" w:hAnsi="Arial" w:cs="Arial"/>
        </w:rPr>
      </w:pPr>
    </w:p>
    <w:p w:rsidR="00625A7C" w:rsidRPr="001B0C86" w:rsidRDefault="00625A7C" w:rsidP="00000EA3">
      <w:pPr>
        <w:pStyle w:val="ListParagraph"/>
        <w:numPr>
          <w:ilvl w:val="0"/>
          <w:numId w:val="21"/>
        </w:numPr>
        <w:spacing w:line="276" w:lineRule="auto"/>
        <w:ind w:left="1842" w:hanging="708"/>
        <w:rPr>
          <w:rFonts w:ascii="Arial" w:hAnsi="Arial" w:cs="Arial"/>
          <w:color w:val="000000" w:themeColor="text1"/>
        </w:rPr>
      </w:pPr>
      <w:r w:rsidRPr="001B0C86">
        <w:rPr>
          <w:rFonts w:ascii="Arial" w:hAnsi="Arial" w:cs="Arial"/>
          <w:color w:val="000000" w:themeColor="text1"/>
        </w:rPr>
        <w:t>A summary of the response</w:t>
      </w:r>
      <w:r w:rsidR="00AC66D4" w:rsidRPr="001B0C86">
        <w:rPr>
          <w:rFonts w:ascii="Arial" w:hAnsi="Arial" w:cs="Arial"/>
          <w:color w:val="000000" w:themeColor="text1"/>
        </w:rPr>
        <w:t>s</w:t>
      </w:r>
      <w:r w:rsidRPr="001B0C86">
        <w:rPr>
          <w:rFonts w:ascii="Arial" w:hAnsi="Arial" w:cs="Arial"/>
          <w:color w:val="000000" w:themeColor="text1"/>
        </w:rPr>
        <w:t xml:space="preserve"> to the consultation</w:t>
      </w:r>
      <w:r w:rsidR="00D65622" w:rsidRPr="001B0C86">
        <w:rPr>
          <w:rFonts w:ascii="Arial" w:hAnsi="Arial" w:cs="Arial"/>
          <w:color w:val="000000" w:themeColor="text1"/>
        </w:rPr>
        <w:t xml:space="preserve"> to be published.</w:t>
      </w:r>
    </w:p>
    <w:p w:rsidR="007B55DB" w:rsidRPr="00CD3E94" w:rsidRDefault="007B55DB" w:rsidP="00E25228">
      <w:pPr>
        <w:pStyle w:val="Paragraphtext"/>
      </w:pPr>
      <w:r>
        <w:br w:type="page"/>
      </w:r>
    </w:p>
    <w:p w:rsidR="00C1329A" w:rsidRPr="00CC29F0" w:rsidRDefault="00DE503A" w:rsidP="00516AE8">
      <w:pPr>
        <w:pStyle w:val="ChapterHead"/>
        <w:rPr>
          <w:b/>
        </w:rPr>
      </w:pPr>
      <w:bookmarkStart w:id="39" w:name="_Toc396307864"/>
      <w:r>
        <w:rPr>
          <w:b/>
        </w:rPr>
        <w:lastRenderedPageBreak/>
        <w:t>8</w:t>
      </w:r>
      <w:r w:rsidR="00A36187" w:rsidRPr="00CC29F0">
        <w:rPr>
          <w:b/>
        </w:rPr>
        <w:t xml:space="preserve">. </w:t>
      </w:r>
      <w:r w:rsidR="00306814" w:rsidRPr="00CC29F0">
        <w:rPr>
          <w:b/>
        </w:rPr>
        <w:t>Question</w:t>
      </w:r>
      <w:r w:rsidR="00533C36" w:rsidRPr="00CC29F0">
        <w:rPr>
          <w:b/>
        </w:rPr>
        <w:t xml:space="preserve"> Summ</w:t>
      </w:r>
      <w:r w:rsidR="00306814" w:rsidRPr="00CC29F0">
        <w:rPr>
          <w:b/>
        </w:rPr>
        <w:t>a</w:t>
      </w:r>
      <w:r w:rsidR="00533C36" w:rsidRPr="00CC29F0">
        <w:rPr>
          <w:b/>
        </w:rPr>
        <w:t>ry</w:t>
      </w:r>
      <w:bookmarkEnd w:id="39"/>
    </w:p>
    <w:tbl>
      <w:tblPr>
        <w:tblW w:w="10065" w:type="dxa"/>
        <w:tblInd w:w="109" w:type="dxa"/>
        <w:tblBorders>
          <w:top w:val="single" w:sz="4" w:space="0" w:color="00D1AE"/>
          <w:left w:val="single" w:sz="4" w:space="0" w:color="00D1AE"/>
          <w:bottom w:val="single" w:sz="4" w:space="0" w:color="00D1AE"/>
          <w:right w:val="single" w:sz="4" w:space="0" w:color="00D1AE"/>
          <w:insideH w:val="single" w:sz="4" w:space="0" w:color="00D1AE"/>
          <w:insideV w:val="single" w:sz="4" w:space="0" w:color="00D1AE"/>
        </w:tblBorders>
        <w:tblLook w:val="0000" w:firstRow="0" w:lastRow="0" w:firstColumn="0" w:lastColumn="0" w:noHBand="0" w:noVBand="0"/>
      </w:tblPr>
      <w:tblGrid>
        <w:gridCol w:w="10065"/>
      </w:tblGrid>
      <w:tr w:rsidR="00E3272D" w:rsidTr="009570C6">
        <w:trPr>
          <w:trHeight w:val="897"/>
        </w:trPr>
        <w:tc>
          <w:tcPr>
            <w:tcW w:w="10065" w:type="dxa"/>
          </w:tcPr>
          <w:p w:rsidR="00E3272D" w:rsidRPr="00CC29F0" w:rsidRDefault="00E3272D" w:rsidP="009570C6">
            <w:pPr>
              <w:pStyle w:val="Heading1"/>
              <w:rPr>
                <w:rFonts w:eastAsiaTheme="minorHAnsi"/>
                <w:b/>
              </w:rPr>
            </w:pPr>
            <w:bookmarkStart w:id="40" w:name="_Toc390863853"/>
            <w:bookmarkStart w:id="41" w:name="_Toc396307865"/>
            <w:r w:rsidRPr="00CC29F0">
              <w:rPr>
                <w:rFonts w:eastAsiaTheme="minorHAnsi"/>
                <w:b/>
              </w:rPr>
              <w:t>Question 1</w:t>
            </w:r>
            <w:bookmarkEnd w:id="40"/>
            <w:bookmarkEnd w:id="41"/>
          </w:p>
          <w:p w:rsidR="00E3272D" w:rsidRPr="00BA6883" w:rsidRDefault="00E3272D" w:rsidP="009570C6">
            <w:r w:rsidRPr="00BA6883">
              <w:t xml:space="preserve">Do you agree that successful </w:t>
            </w:r>
            <w:r w:rsidR="009E0E61">
              <w:t>completion of drug</w:t>
            </w:r>
            <w:r w:rsidRPr="00BA6883">
              <w:t xml:space="preserve"> treatment should be used as the pilot national incentive meas</w:t>
            </w:r>
            <w:r w:rsidR="0029631B">
              <w:t>ure?</w:t>
            </w:r>
            <w:r w:rsidRPr="00BA6883">
              <w:t xml:space="preserve"> </w:t>
            </w:r>
          </w:p>
          <w:p w:rsidR="00E3272D" w:rsidRPr="00431E2C" w:rsidRDefault="00CB5476" w:rsidP="009570C6">
            <w:pPr>
              <w:rPr>
                <w:rFonts w:eastAsiaTheme="minorHAnsi"/>
                <w:szCs w:val="24"/>
              </w:rPr>
            </w:pPr>
            <w:sdt>
              <w:sdtPr>
                <w:rPr>
                  <w:rFonts w:eastAsiaTheme="minorHAnsi"/>
                  <w:szCs w:val="24"/>
                </w:rPr>
                <w:id w:val="1836181086"/>
                <w14:checkbox>
                  <w14:checked w14:val="0"/>
                  <w14:checkedState w14:val="2612" w14:font="MS Gothic"/>
                  <w14:uncheckedState w14:val="2610" w14:font="MS Gothic"/>
                </w14:checkbox>
              </w:sdtPr>
              <w:sdtEndPr/>
              <w:sdtContent>
                <w:r w:rsidR="00E3272D" w:rsidRPr="00431E2C">
                  <w:rPr>
                    <w:rFonts w:ascii="MS Gothic" w:eastAsia="MS Gothic" w:hAnsi="MS Gothic" w:cs="MS Gothic" w:hint="eastAsia"/>
                    <w:szCs w:val="24"/>
                  </w:rPr>
                  <w:t>☐</w:t>
                </w:r>
              </w:sdtContent>
            </w:sdt>
            <w:r w:rsidR="00E3272D" w:rsidRPr="00431E2C">
              <w:rPr>
                <w:rFonts w:eastAsiaTheme="minorHAnsi"/>
                <w:szCs w:val="24"/>
              </w:rPr>
              <w:t xml:space="preserve">Yes </w:t>
            </w:r>
          </w:p>
          <w:p w:rsidR="00E3272D" w:rsidRPr="00431E2C" w:rsidRDefault="00CB5476" w:rsidP="009570C6">
            <w:pPr>
              <w:rPr>
                <w:rFonts w:eastAsiaTheme="minorHAnsi"/>
                <w:szCs w:val="24"/>
              </w:rPr>
            </w:pPr>
            <w:sdt>
              <w:sdtPr>
                <w:rPr>
                  <w:rFonts w:eastAsiaTheme="minorHAnsi"/>
                  <w:szCs w:val="24"/>
                </w:rPr>
                <w:id w:val="411202802"/>
                <w14:checkbox>
                  <w14:checked w14:val="0"/>
                  <w14:checkedState w14:val="2612" w14:font="MS Gothic"/>
                  <w14:uncheckedState w14:val="2610" w14:font="MS Gothic"/>
                </w14:checkbox>
              </w:sdtPr>
              <w:sdtEndPr/>
              <w:sdtContent>
                <w:r w:rsidR="00E3272D" w:rsidRPr="00DC29AB">
                  <w:rPr>
                    <w:rFonts w:ascii="MS Gothic" w:eastAsia="MS Gothic" w:hAnsi="MS Gothic" w:cs="MS Gothic"/>
                    <w:szCs w:val="24"/>
                  </w:rPr>
                  <w:t>☐</w:t>
                </w:r>
              </w:sdtContent>
            </w:sdt>
            <w:r w:rsidR="00E3272D" w:rsidRPr="00DC29AB">
              <w:rPr>
                <w:rFonts w:eastAsiaTheme="minorHAnsi"/>
                <w:szCs w:val="24"/>
              </w:rPr>
              <w:t xml:space="preserve"> </w:t>
            </w:r>
            <w:r w:rsidR="00E3272D" w:rsidRPr="00431E2C">
              <w:rPr>
                <w:rFonts w:eastAsiaTheme="minorHAnsi"/>
                <w:szCs w:val="24"/>
              </w:rPr>
              <w:t>No</w:t>
            </w:r>
          </w:p>
          <w:p w:rsidR="00E3272D" w:rsidRPr="00BA6883" w:rsidRDefault="00E3272D" w:rsidP="009570C6">
            <w:pPr>
              <w:rPr>
                <w:rFonts w:eastAsiaTheme="minorHAnsi"/>
              </w:rPr>
            </w:pPr>
            <w:r w:rsidRPr="00BA6883">
              <w:rPr>
                <w:rFonts w:eastAsiaTheme="minorHAnsi"/>
              </w:rPr>
              <w:t>If you have answered no, please explain why</w:t>
            </w:r>
          </w:p>
          <w:p w:rsidR="00D05324" w:rsidRDefault="00D05324" w:rsidP="009570C6">
            <w:pPr>
              <w:rPr>
                <w:rFonts w:eastAsiaTheme="minorHAnsi"/>
              </w:rPr>
            </w:pPr>
          </w:p>
          <w:p w:rsidR="00D05324" w:rsidRDefault="00D05324" w:rsidP="009570C6">
            <w:pPr>
              <w:rPr>
                <w:rFonts w:eastAsiaTheme="minorHAnsi"/>
              </w:rPr>
            </w:pPr>
          </w:p>
          <w:p w:rsidR="00D05324" w:rsidRDefault="00D05324" w:rsidP="009570C6">
            <w:pPr>
              <w:rPr>
                <w:rFonts w:eastAsiaTheme="minorHAnsi"/>
              </w:rPr>
            </w:pPr>
          </w:p>
          <w:p w:rsidR="009E7B33" w:rsidRDefault="009E7B33" w:rsidP="009570C6">
            <w:pPr>
              <w:rPr>
                <w:rFonts w:eastAsiaTheme="minorHAnsi"/>
              </w:rPr>
            </w:pPr>
          </w:p>
        </w:tc>
      </w:tr>
    </w:tbl>
    <w:p w:rsidR="00E3272D" w:rsidRPr="00C56298" w:rsidRDefault="00E3272D" w:rsidP="00C1329A">
      <w:pPr>
        <w:pStyle w:val="Paragraphtext"/>
        <w:rPr>
          <w:sz w:val="22"/>
        </w:rPr>
      </w:pPr>
    </w:p>
    <w:tbl>
      <w:tblPr>
        <w:tblW w:w="10065" w:type="dxa"/>
        <w:tblInd w:w="109" w:type="dxa"/>
        <w:tblBorders>
          <w:top w:val="single" w:sz="4" w:space="0" w:color="00D1AE"/>
          <w:left w:val="single" w:sz="4" w:space="0" w:color="00D1AE"/>
          <w:bottom w:val="single" w:sz="4" w:space="0" w:color="00D1AE"/>
          <w:right w:val="single" w:sz="4" w:space="0" w:color="00D1AE"/>
          <w:insideH w:val="single" w:sz="4" w:space="0" w:color="00D1AE"/>
          <w:insideV w:val="single" w:sz="4" w:space="0" w:color="00D1AE"/>
        </w:tblBorders>
        <w:tblLook w:val="0000" w:firstRow="0" w:lastRow="0" w:firstColumn="0" w:lastColumn="0" w:noHBand="0" w:noVBand="0"/>
      </w:tblPr>
      <w:tblGrid>
        <w:gridCol w:w="10065"/>
      </w:tblGrid>
      <w:tr w:rsidR="00E3272D" w:rsidTr="009570C6">
        <w:trPr>
          <w:trHeight w:val="897"/>
        </w:trPr>
        <w:tc>
          <w:tcPr>
            <w:tcW w:w="10065" w:type="dxa"/>
          </w:tcPr>
          <w:p w:rsidR="00E3272D" w:rsidRPr="00CC29F0" w:rsidRDefault="00E3272D" w:rsidP="009570C6">
            <w:pPr>
              <w:pStyle w:val="Heading1"/>
              <w:rPr>
                <w:rFonts w:eastAsiaTheme="minorHAnsi"/>
                <w:b/>
              </w:rPr>
            </w:pPr>
            <w:bookmarkStart w:id="42" w:name="_Toc390863854"/>
            <w:bookmarkStart w:id="43" w:name="_Toc396307866"/>
            <w:r w:rsidRPr="00CC29F0">
              <w:rPr>
                <w:rFonts w:eastAsiaTheme="minorHAnsi"/>
                <w:b/>
              </w:rPr>
              <w:t>Question 2</w:t>
            </w:r>
            <w:bookmarkEnd w:id="42"/>
            <w:bookmarkEnd w:id="43"/>
          </w:p>
          <w:p w:rsidR="00D65622" w:rsidRDefault="00CC29F0" w:rsidP="009570C6">
            <w:pPr>
              <w:rPr>
                <w:rFonts w:eastAsiaTheme="minorHAnsi"/>
              </w:rPr>
            </w:pPr>
            <w:r w:rsidRPr="00CC29F0">
              <w:rPr>
                <w:rFonts w:eastAsiaTheme="minorHAnsi"/>
              </w:rPr>
              <w:t>What threshold should we adopt for demonstrating progress, balancing statistical significance with robustness for successful completion of drug treatment?</w:t>
            </w:r>
          </w:p>
          <w:p w:rsidR="00D05324" w:rsidRDefault="00D05324" w:rsidP="009570C6">
            <w:pPr>
              <w:rPr>
                <w:rFonts w:eastAsiaTheme="minorHAnsi"/>
              </w:rPr>
            </w:pPr>
          </w:p>
          <w:p w:rsidR="00D05324" w:rsidRDefault="00D05324" w:rsidP="009570C6">
            <w:pPr>
              <w:rPr>
                <w:rFonts w:eastAsiaTheme="minorHAnsi"/>
              </w:rPr>
            </w:pPr>
          </w:p>
          <w:p w:rsidR="00D05324" w:rsidRDefault="00D05324" w:rsidP="009570C6">
            <w:pPr>
              <w:rPr>
                <w:rFonts w:eastAsiaTheme="minorHAnsi"/>
              </w:rPr>
            </w:pPr>
          </w:p>
          <w:p w:rsidR="009E7B33" w:rsidRDefault="009E7B33" w:rsidP="009570C6">
            <w:pPr>
              <w:rPr>
                <w:rFonts w:eastAsiaTheme="minorHAnsi"/>
              </w:rPr>
            </w:pPr>
          </w:p>
        </w:tc>
      </w:tr>
    </w:tbl>
    <w:p w:rsidR="00E3272D" w:rsidRDefault="00E3272D" w:rsidP="00C1329A">
      <w:pPr>
        <w:pStyle w:val="Paragraphtext"/>
      </w:pPr>
    </w:p>
    <w:tbl>
      <w:tblPr>
        <w:tblW w:w="0" w:type="auto"/>
        <w:tblInd w:w="108" w:type="dxa"/>
        <w:tblBorders>
          <w:top w:val="single" w:sz="4" w:space="0" w:color="00D1AE"/>
          <w:left w:val="single" w:sz="4" w:space="0" w:color="00D1AE"/>
          <w:bottom w:val="single" w:sz="4" w:space="0" w:color="00D1AE"/>
          <w:right w:val="single" w:sz="4" w:space="0" w:color="00D1AE"/>
          <w:insideH w:val="single" w:sz="4" w:space="0" w:color="00D1AE"/>
          <w:insideV w:val="single" w:sz="4" w:space="0" w:color="00D1AE"/>
        </w:tblBorders>
        <w:tblLook w:val="0000" w:firstRow="0" w:lastRow="0" w:firstColumn="0" w:lastColumn="0" w:noHBand="0" w:noVBand="0"/>
      </w:tblPr>
      <w:tblGrid>
        <w:gridCol w:w="10065"/>
      </w:tblGrid>
      <w:tr w:rsidR="00E3272D" w:rsidTr="00E3272D">
        <w:trPr>
          <w:trHeight w:val="2075"/>
        </w:trPr>
        <w:tc>
          <w:tcPr>
            <w:tcW w:w="10065" w:type="dxa"/>
          </w:tcPr>
          <w:p w:rsidR="00E3272D" w:rsidRPr="00CC29F0" w:rsidRDefault="00E3272D" w:rsidP="009570C6">
            <w:pPr>
              <w:pStyle w:val="Heading1"/>
              <w:rPr>
                <w:rFonts w:eastAsiaTheme="minorHAnsi"/>
                <w:b/>
              </w:rPr>
            </w:pPr>
            <w:bookmarkStart w:id="44" w:name="_Toc390863855"/>
            <w:bookmarkStart w:id="45" w:name="_Toc396307867"/>
            <w:r w:rsidRPr="00CC29F0">
              <w:rPr>
                <w:rFonts w:eastAsiaTheme="minorHAnsi"/>
                <w:b/>
              </w:rPr>
              <w:t>Question 3 (LAs only)</w:t>
            </w:r>
            <w:bookmarkEnd w:id="44"/>
            <w:bookmarkEnd w:id="45"/>
          </w:p>
          <w:p w:rsidR="00C779C7" w:rsidRDefault="00C779C7" w:rsidP="003C05C1">
            <w:pPr>
              <w:rPr>
                <w:rFonts w:eastAsiaTheme="minorHAnsi"/>
              </w:rPr>
            </w:pPr>
            <w:r w:rsidRPr="00382180">
              <w:rPr>
                <w:rFonts w:eastAsiaTheme="minorHAnsi"/>
              </w:rPr>
              <w:t xml:space="preserve">Which PHOF measure from the list at </w:t>
            </w:r>
            <w:r w:rsidRPr="00A17FFC">
              <w:rPr>
                <w:rFonts w:eastAsiaTheme="minorHAnsi"/>
              </w:rPr>
              <w:t xml:space="preserve">Annex </w:t>
            </w:r>
            <w:r>
              <w:rPr>
                <w:rFonts w:eastAsiaTheme="minorHAnsi"/>
              </w:rPr>
              <w:t>A</w:t>
            </w:r>
            <w:r w:rsidRPr="00382180">
              <w:rPr>
                <w:rFonts w:eastAsiaTheme="minorHAnsi"/>
              </w:rPr>
              <w:t>, would you</w:t>
            </w:r>
            <w:r>
              <w:rPr>
                <w:rFonts w:eastAsiaTheme="minorHAnsi"/>
              </w:rPr>
              <w:t xml:space="preserve"> be likely</w:t>
            </w:r>
            <w:r w:rsidRPr="00382180">
              <w:rPr>
                <w:rFonts w:eastAsiaTheme="minorHAnsi"/>
              </w:rPr>
              <w:t xml:space="preserve"> </w:t>
            </w:r>
            <w:r>
              <w:rPr>
                <w:rFonts w:eastAsiaTheme="minorHAnsi"/>
              </w:rPr>
              <w:t xml:space="preserve">to </w:t>
            </w:r>
            <w:r w:rsidRPr="00382180">
              <w:rPr>
                <w:rFonts w:eastAsiaTheme="minorHAnsi"/>
              </w:rPr>
              <w:t>select for a local measure of attainment</w:t>
            </w:r>
            <w:r>
              <w:rPr>
                <w:rFonts w:eastAsiaTheme="minorHAnsi"/>
              </w:rPr>
              <w:t xml:space="preserve"> when the scheme is formally launched, or would you accept the default adult smoking prevalence</w:t>
            </w:r>
            <w:r w:rsidRPr="00382180">
              <w:rPr>
                <w:rFonts w:eastAsiaTheme="minorHAnsi"/>
              </w:rPr>
              <w:t>? </w:t>
            </w:r>
          </w:p>
          <w:p w:rsidR="00D05324" w:rsidRDefault="00D05324" w:rsidP="009570C6">
            <w:pPr>
              <w:rPr>
                <w:rFonts w:eastAsiaTheme="minorHAnsi"/>
              </w:rPr>
            </w:pPr>
          </w:p>
          <w:p w:rsidR="00D05324" w:rsidRDefault="00D05324" w:rsidP="009570C6">
            <w:pPr>
              <w:rPr>
                <w:rFonts w:eastAsiaTheme="minorHAnsi"/>
              </w:rPr>
            </w:pPr>
          </w:p>
          <w:p w:rsidR="00D05324" w:rsidRDefault="00D05324" w:rsidP="009570C6">
            <w:pPr>
              <w:rPr>
                <w:rFonts w:eastAsiaTheme="minorHAnsi"/>
              </w:rPr>
            </w:pPr>
          </w:p>
          <w:p w:rsidR="00D65622" w:rsidRPr="00382180" w:rsidRDefault="00D65622" w:rsidP="009570C6">
            <w:pPr>
              <w:rPr>
                <w:rFonts w:eastAsiaTheme="minorHAnsi"/>
              </w:rPr>
            </w:pPr>
          </w:p>
        </w:tc>
      </w:tr>
    </w:tbl>
    <w:p w:rsidR="00A36187" w:rsidRDefault="00A36187" w:rsidP="00C1329A">
      <w:pPr>
        <w:pStyle w:val="Paragraphtext"/>
      </w:pPr>
    </w:p>
    <w:tbl>
      <w:tblPr>
        <w:tblW w:w="0" w:type="auto"/>
        <w:tblInd w:w="108" w:type="dxa"/>
        <w:tblBorders>
          <w:top w:val="single" w:sz="4" w:space="0" w:color="00D1AE"/>
          <w:left w:val="single" w:sz="4" w:space="0" w:color="00D1AE"/>
          <w:bottom w:val="single" w:sz="4" w:space="0" w:color="00D1AE"/>
          <w:right w:val="single" w:sz="4" w:space="0" w:color="00D1AE"/>
          <w:insideH w:val="single" w:sz="4" w:space="0" w:color="00D1AE"/>
          <w:insideV w:val="single" w:sz="4" w:space="0" w:color="00D1AE"/>
        </w:tblBorders>
        <w:tblLook w:val="0000" w:firstRow="0" w:lastRow="0" w:firstColumn="0" w:lastColumn="0" w:noHBand="0" w:noVBand="0"/>
      </w:tblPr>
      <w:tblGrid>
        <w:gridCol w:w="10065"/>
      </w:tblGrid>
      <w:tr w:rsidR="00A36187" w:rsidTr="00E3272D">
        <w:trPr>
          <w:trHeight w:val="2075"/>
        </w:trPr>
        <w:tc>
          <w:tcPr>
            <w:tcW w:w="10065" w:type="dxa"/>
          </w:tcPr>
          <w:p w:rsidR="00A36187" w:rsidRPr="00B2544E" w:rsidRDefault="00A36187" w:rsidP="009570C6">
            <w:pPr>
              <w:pStyle w:val="Heading1"/>
              <w:rPr>
                <w:rFonts w:eastAsiaTheme="minorHAnsi"/>
                <w:b/>
              </w:rPr>
            </w:pPr>
            <w:bookmarkStart w:id="46" w:name="_Toc390863856"/>
            <w:bookmarkStart w:id="47" w:name="_Toc396307868"/>
            <w:r w:rsidRPr="00B2544E">
              <w:rPr>
                <w:rFonts w:eastAsiaTheme="minorHAnsi"/>
                <w:b/>
              </w:rPr>
              <w:lastRenderedPageBreak/>
              <w:t>Question 4 (LAs only)</w:t>
            </w:r>
            <w:bookmarkEnd w:id="46"/>
            <w:bookmarkEnd w:id="47"/>
            <w:r w:rsidR="00E25228" w:rsidRPr="00B2544E">
              <w:rPr>
                <w:rFonts w:eastAsiaTheme="minorHAnsi"/>
                <w:b/>
              </w:rPr>
              <w:t xml:space="preserve"> </w:t>
            </w:r>
          </w:p>
          <w:p w:rsidR="00D65622" w:rsidRDefault="00D65622" w:rsidP="00D65622">
            <w:pPr>
              <w:rPr>
                <w:rFonts w:eastAsiaTheme="minorHAnsi"/>
              </w:rPr>
            </w:pPr>
            <w:r>
              <w:rPr>
                <w:rFonts w:eastAsiaTheme="minorHAnsi"/>
              </w:rPr>
              <w:t xml:space="preserve">Do you agree that smoking prevalence adults over 18s’ should be used as the default indicator where no choice has been made from the list of approved indicators? </w:t>
            </w:r>
          </w:p>
          <w:p w:rsidR="00D65622" w:rsidRPr="00382180" w:rsidRDefault="00CB5476" w:rsidP="00D65622">
            <w:pPr>
              <w:rPr>
                <w:rFonts w:eastAsiaTheme="minorHAnsi"/>
              </w:rPr>
            </w:pPr>
            <w:sdt>
              <w:sdtPr>
                <w:rPr>
                  <w:rFonts w:eastAsiaTheme="minorHAnsi"/>
                </w:rPr>
                <w:id w:val="43492094"/>
                <w14:checkbox>
                  <w14:checked w14:val="0"/>
                  <w14:checkedState w14:val="2612" w14:font="MS Gothic"/>
                  <w14:uncheckedState w14:val="2610" w14:font="MS Gothic"/>
                </w14:checkbox>
              </w:sdtPr>
              <w:sdtEndPr/>
              <w:sdtContent>
                <w:r w:rsidR="00D65622">
                  <w:rPr>
                    <w:rFonts w:ascii="MS Gothic" w:eastAsia="MS Gothic" w:hAnsi="MS Gothic" w:hint="eastAsia"/>
                  </w:rPr>
                  <w:t>☐</w:t>
                </w:r>
              </w:sdtContent>
            </w:sdt>
            <w:r w:rsidR="00D65622" w:rsidRPr="00382180">
              <w:rPr>
                <w:rFonts w:eastAsiaTheme="minorHAnsi"/>
              </w:rPr>
              <w:t xml:space="preserve"> Yes</w:t>
            </w:r>
          </w:p>
          <w:p w:rsidR="00D65622" w:rsidRDefault="00CB5476" w:rsidP="00D65622">
            <w:pPr>
              <w:rPr>
                <w:rFonts w:eastAsiaTheme="minorHAnsi"/>
              </w:rPr>
            </w:pPr>
            <w:sdt>
              <w:sdtPr>
                <w:rPr>
                  <w:rFonts w:eastAsiaTheme="minorHAnsi"/>
                </w:rPr>
                <w:id w:val="988369866"/>
                <w14:checkbox>
                  <w14:checked w14:val="0"/>
                  <w14:checkedState w14:val="2612" w14:font="MS Gothic"/>
                  <w14:uncheckedState w14:val="2610" w14:font="MS Gothic"/>
                </w14:checkbox>
              </w:sdtPr>
              <w:sdtEndPr/>
              <w:sdtContent>
                <w:r w:rsidR="00D65622" w:rsidRPr="00382180">
                  <w:rPr>
                    <w:rFonts w:ascii="MS Gothic" w:eastAsia="MS Gothic" w:hAnsi="MS Gothic" w:cs="MS Gothic" w:hint="eastAsia"/>
                  </w:rPr>
                  <w:t>☐</w:t>
                </w:r>
              </w:sdtContent>
            </w:sdt>
            <w:r w:rsidR="00D65622" w:rsidRPr="00382180">
              <w:rPr>
                <w:rFonts w:eastAsiaTheme="minorHAnsi"/>
              </w:rPr>
              <w:t xml:space="preserve"> No</w:t>
            </w:r>
          </w:p>
          <w:p w:rsidR="00D65622" w:rsidRPr="00382180" w:rsidRDefault="00D65622" w:rsidP="00D65622">
            <w:pPr>
              <w:rPr>
                <w:rFonts w:eastAsiaTheme="minorHAnsi"/>
              </w:rPr>
            </w:pPr>
            <w:r w:rsidRPr="00382180">
              <w:rPr>
                <w:rFonts w:eastAsiaTheme="minorHAnsi"/>
              </w:rPr>
              <w:t>What threshold would balance attainability and robustness?</w:t>
            </w:r>
          </w:p>
          <w:p w:rsidR="00D05324" w:rsidRDefault="00D05324" w:rsidP="009570C6">
            <w:pPr>
              <w:rPr>
                <w:rFonts w:eastAsiaTheme="minorHAnsi"/>
              </w:rPr>
            </w:pPr>
          </w:p>
          <w:p w:rsidR="00D05324" w:rsidRDefault="00D05324" w:rsidP="009570C6">
            <w:pPr>
              <w:rPr>
                <w:rFonts w:eastAsiaTheme="minorHAnsi"/>
              </w:rPr>
            </w:pPr>
          </w:p>
          <w:p w:rsidR="00D05324" w:rsidRPr="00382180" w:rsidRDefault="00D05324" w:rsidP="009570C6">
            <w:pPr>
              <w:rPr>
                <w:rFonts w:eastAsiaTheme="minorHAnsi"/>
              </w:rPr>
            </w:pPr>
          </w:p>
        </w:tc>
      </w:tr>
    </w:tbl>
    <w:p w:rsidR="00A36187" w:rsidRDefault="00A36187" w:rsidP="00C1329A">
      <w:pPr>
        <w:pStyle w:val="Paragraphtext"/>
      </w:pPr>
    </w:p>
    <w:tbl>
      <w:tblPr>
        <w:tblW w:w="0" w:type="auto"/>
        <w:tblInd w:w="112" w:type="dxa"/>
        <w:tblBorders>
          <w:top w:val="single" w:sz="4" w:space="0" w:color="00D1AE"/>
          <w:left w:val="single" w:sz="4" w:space="0" w:color="00D1AE"/>
          <w:bottom w:val="single" w:sz="4" w:space="0" w:color="00D1AE"/>
          <w:right w:val="single" w:sz="4" w:space="0" w:color="00D1AE"/>
          <w:insideH w:val="single" w:sz="4" w:space="0" w:color="00D1AE"/>
          <w:insideV w:val="single" w:sz="4" w:space="0" w:color="00D1AE"/>
        </w:tblBorders>
        <w:tblLook w:val="0000" w:firstRow="0" w:lastRow="0" w:firstColumn="0" w:lastColumn="0" w:noHBand="0" w:noVBand="0"/>
      </w:tblPr>
      <w:tblGrid>
        <w:gridCol w:w="10061"/>
      </w:tblGrid>
      <w:tr w:rsidR="00A36187" w:rsidTr="00E3272D">
        <w:trPr>
          <w:trHeight w:val="930"/>
        </w:trPr>
        <w:tc>
          <w:tcPr>
            <w:tcW w:w="10061" w:type="dxa"/>
          </w:tcPr>
          <w:p w:rsidR="00A36187" w:rsidRPr="00B2544E" w:rsidRDefault="00A36187" w:rsidP="009570C6">
            <w:pPr>
              <w:pStyle w:val="Heading1"/>
              <w:rPr>
                <w:b/>
              </w:rPr>
            </w:pPr>
            <w:bookmarkStart w:id="48" w:name="_Toc390863857"/>
            <w:bookmarkStart w:id="49" w:name="_Toc396307869"/>
            <w:r w:rsidRPr="00B2544E">
              <w:rPr>
                <w:b/>
              </w:rPr>
              <w:t>Question 5</w:t>
            </w:r>
            <w:bookmarkEnd w:id="48"/>
            <w:r w:rsidR="00B2544E">
              <w:rPr>
                <w:b/>
              </w:rPr>
              <w:t xml:space="preserve"> (LAs only)</w:t>
            </w:r>
            <w:bookmarkEnd w:id="49"/>
          </w:p>
          <w:p w:rsidR="003C05C1" w:rsidRPr="00BA6883" w:rsidRDefault="003C05C1" w:rsidP="003C05C1">
            <w:pPr>
              <w:rPr>
                <w:rFonts w:eastAsiaTheme="minorHAnsi"/>
              </w:rPr>
            </w:pPr>
            <w:r>
              <w:rPr>
                <w:rFonts w:eastAsiaTheme="minorHAnsi"/>
              </w:rPr>
              <w:t>For future years LAs will have additional flexibilities</w:t>
            </w:r>
            <w:r w:rsidRPr="00BA6883">
              <w:rPr>
                <w:rFonts w:eastAsiaTheme="minorHAnsi"/>
              </w:rPr>
              <w:t xml:space="preserve"> </w:t>
            </w:r>
            <w:r>
              <w:rPr>
                <w:rFonts w:eastAsiaTheme="minorHAnsi"/>
              </w:rPr>
              <w:t>to develop their own local indicator.  W</w:t>
            </w:r>
            <w:r w:rsidRPr="00BA6883">
              <w:rPr>
                <w:rFonts w:eastAsiaTheme="minorHAnsi"/>
              </w:rPr>
              <w:t xml:space="preserve">ould you </w:t>
            </w:r>
            <w:r>
              <w:rPr>
                <w:rFonts w:eastAsiaTheme="minorHAnsi"/>
              </w:rPr>
              <w:t xml:space="preserve">have developed your own </w:t>
            </w:r>
            <w:r w:rsidRPr="00BA6883">
              <w:rPr>
                <w:rFonts w:eastAsiaTheme="minorHAnsi"/>
              </w:rPr>
              <w:t xml:space="preserve">local </w:t>
            </w:r>
            <w:r>
              <w:rPr>
                <w:rFonts w:eastAsiaTheme="minorHAnsi"/>
              </w:rPr>
              <w:t xml:space="preserve">indicator and progress </w:t>
            </w:r>
            <w:r w:rsidRPr="00BA6883">
              <w:rPr>
                <w:rFonts w:eastAsiaTheme="minorHAnsi"/>
              </w:rPr>
              <w:t>measure this year</w:t>
            </w:r>
            <w:r>
              <w:rPr>
                <w:rFonts w:eastAsiaTheme="minorHAnsi"/>
              </w:rPr>
              <w:t>, had this flexibility been available</w:t>
            </w:r>
            <w:r w:rsidRPr="00BA6883">
              <w:rPr>
                <w:rFonts w:eastAsiaTheme="minorHAnsi"/>
              </w:rPr>
              <w:t xml:space="preserve">?  </w:t>
            </w:r>
          </w:p>
          <w:p w:rsidR="003C05C1" w:rsidRPr="00382180" w:rsidRDefault="00CB5476" w:rsidP="003C05C1">
            <w:pPr>
              <w:rPr>
                <w:rFonts w:eastAsiaTheme="minorHAnsi"/>
              </w:rPr>
            </w:pPr>
            <w:sdt>
              <w:sdtPr>
                <w:rPr>
                  <w:rFonts w:eastAsiaTheme="minorHAnsi"/>
                </w:rPr>
                <w:id w:val="44494980"/>
                <w14:checkbox>
                  <w14:checked w14:val="0"/>
                  <w14:checkedState w14:val="2612" w14:font="MS Gothic"/>
                  <w14:uncheckedState w14:val="2610" w14:font="MS Gothic"/>
                </w14:checkbox>
              </w:sdtPr>
              <w:sdtEndPr/>
              <w:sdtContent>
                <w:r w:rsidR="003C05C1">
                  <w:rPr>
                    <w:rFonts w:ascii="MS Gothic" w:eastAsia="MS Gothic" w:hAnsi="MS Gothic" w:hint="eastAsia"/>
                  </w:rPr>
                  <w:t>☐</w:t>
                </w:r>
              </w:sdtContent>
            </w:sdt>
            <w:r w:rsidR="003C05C1" w:rsidRPr="00382180">
              <w:rPr>
                <w:rFonts w:eastAsiaTheme="minorHAnsi"/>
              </w:rPr>
              <w:t xml:space="preserve"> Yes</w:t>
            </w:r>
          </w:p>
          <w:p w:rsidR="003C05C1" w:rsidRDefault="00CB5476" w:rsidP="003C05C1">
            <w:pPr>
              <w:rPr>
                <w:rFonts w:eastAsiaTheme="minorHAnsi"/>
              </w:rPr>
            </w:pPr>
            <w:sdt>
              <w:sdtPr>
                <w:rPr>
                  <w:rFonts w:eastAsiaTheme="minorHAnsi"/>
                </w:rPr>
                <w:id w:val="1944489385"/>
                <w14:checkbox>
                  <w14:checked w14:val="0"/>
                  <w14:checkedState w14:val="2612" w14:font="MS Gothic"/>
                  <w14:uncheckedState w14:val="2610" w14:font="MS Gothic"/>
                </w14:checkbox>
              </w:sdtPr>
              <w:sdtEndPr/>
              <w:sdtContent>
                <w:r w:rsidR="003C05C1" w:rsidRPr="00382180">
                  <w:rPr>
                    <w:rFonts w:ascii="MS Gothic" w:eastAsia="MS Gothic" w:hAnsi="MS Gothic" w:cs="MS Gothic" w:hint="eastAsia"/>
                  </w:rPr>
                  <w:t>☐</w:t>
                </w:r>
              </w:sdtContent>
            </w:sdt>
            <w:r w:rsidR="003C05C1" w:rsidRPr="00382180">
              <w:rPr>
                <w:rFonts w:eastAsiaTheme="minorHAnsi"/>
              </w:rPr>
              <w:t xml:space="preserve"> No</w:t>
            </w:r>
          </w:p>
          <w:p w:rsidR="003C05C1" w:rsidRPr="00382180" w:rsidRDefault="003C05C1" w:rsidP="003C05C1">
            <w:pPr>
              <w:rPr>
                <w:rFonts w:eastAsiaTheme="minorHAnsi"/>
              </w:rPr>
            </w:pPr>
          </w:p>
          <w:p w:rsidR="003C05C1" w:rsidRDefault="003C05C1" w:rsidP="003C05C1">
            <w:pPr>
              <w:rPr>
                <w:rFonts w:eastAsiaTheme="minorHAnsi"/>
              </w:rPr>
            </w:pPr>
            <w:r w:rsidRPr="00BA6883">
              <w:rPr>
                <w:rFonts w:eastAsiaTheme="minorHAnsi"/>
              </w:rPr>
              <w:t xml:space="preserve">If yes, </w:t>
            </w:r>
            <w:r>
              <w:rPr>
                <w:rFonts w:eastAsiaTheme="minorHAnsi"/>
              </w:rPr>
              <w:t xml:space="preserve">what sort of indicator would you have developed? </w:t>
            </w:r>
          </w:p>
          <w:p w:rsidR="00D05324" w:rsidRDefault="00D05324" w:rsidP="00D05324">
            <w:pPr>
              <w:pStyle w:val="Paragraphtext"/>
            </w:pPr>
          </w:p>
          <w:p w:rsidR="00D05324" w:rsidRDefault="00D05324" w:rsidP="00D05324">
            <w:pPr>
              <w:pStyle w:val="Paragraphtext"/>
            </w:pPr>
          </w:p>
          <w:p w:rsidR="009E7B33" w:rsidRDefault="009E7B33" w:rsidP="00D05324">
            <w:pPr>
              <w:pStyle w:val="Paragraphtext"/>
            </w:pPr>
          </w:p>
        </w:tc>
      </w:tr>
    </w:tbl>
    <w:p w:rsidR="003C05C1" w:rsidRDefault="003C05C1" w:rsidP="00D05324">
      <w:pPr>
        <w:pStyle w:val="ListBullet"/>
        <w:numPr>
          <w:ilvl w:val="0"/>
          <w:numId w:val="0"/>
        </w:numPr>
      </w:pPr>
    </w:p>
    <w:tbl>
      <w:tblPr>
        <w:tblW w:w="0" w:type="auto"/>
        <w:tblInd w:w="112" w:type="dxa"/>
        <w:tblBorders>
          <w:top w:val="single" w:sz="4" w:space="0" w:color="00D1AE"/>
          <w:left w:val="single" w:sz="4" w:space="0" w:color="00D1AE"/>
          <w:bottom w:val="single" w:sz="4" w:space="0" w:color="00D1AE"/>
          <w:right w:val="single" w:sz="4" w:space="0" w:color="00D1AE"/>
          <w:insideH w:val="single" w:sz="4" w:space="0" w:color="00D1AE"/>
          <w:insideV w:val="single" w:sz="4" w:space="0" w:color="00D1AE"/>
        </w:tblBorders>
        <w:tblLook w:val="0000" w:firstRow="0" w:lastRow="0" w:firstColumn="0" w:lastColumn="0" w:noHBand="0" w:noVBand="0"/>
      </w:tblPr>
      <w:tblGrid>
        <w:gridCol w:w="10140"/>
      </w:tblGrid>
      <w:tr w:rsidR="003C05C1" w:rsidTr="00D65622">
        <w:trPr>
          <w:trHeight w:val="3136"/>
        </w:trPr>
        <w:tc>
          <w:tcPr>
            <w:tcW w:w="10140" w:type="dxa"/>
          </w:tcPr>
          <w:p w:rsidR="003C05C1" w:rsidRDefault="003C05C1" w:rsidP="002A2F2E">
            <w:pPr>
              <w:pStyle w:val="Heading1"/>
            </w:pPr>
            <w:bookmarkStart w:id="50" w:name="_Toc396307870"/>
            <w:r>
              <w:t>Question 6</w:t>
            </w:r>
            <w:bookmarkEnd w:id="50"/>
          </w:p>
          <w:p w:rsidR="003C05C1" w:rsidRDefault="003C05C1" w:rsidP="002A2F2E">
            <w:pPr>
              <w:pStyle w:val="Paragraphtext"/>
            </w:pPr>
            <w:r w:rsidRPr="00F725F3">
              <w:t xml:space="preserve">Do you agree that we should adopt an approach based on </w:t>
            </w:r>
            <w:r>
              <w:t xml:space="preserve">point </w:t>
            </w:r>
            <w:r w:rsidRPr="00F725F3">
              <w:t>shares from a fixed pot, maximising the amount we can pay for progress, even though this means a lack of certainty on exactly how much the incentive for progress will be</w:t>
            </w:r>
            <w:r>
              <w:t xml:space="preserve"> for each local authority</w:t>
            </w:r>
            <w:r w:rsidRPr="00F725F3">
              <w:t>?</w:t>
            </w:r>
          </w:p>
          <w:p w:rsidR="003C05C1" w:rsidRDefault="00CB5476" w:rsidP="002A2F2E">
            <w:pPr>
              <w:pStyle w:val="Paragraphtext"/>
            </w:pPr>
            <w:sdt>
              <w:sdtPr>
                <w:id w:val="238841962"/>
                <w14:checkbox>
                  <w14:checked w14:val="0"/>
                  <w14:checkedState w14:val="2612" w14:font="MS Gothic"/>
                  <w14:uncheckedState w14:val="2610" w14:font="MS Gothic"/>
                </w14:checkbox>
              </w:sdtPr>
              <w:sdtEndPr/>
              <w:sdtContent>
                <w:r w:rsidR="003C05C1">
                  <w:rPr>
                    <w:rFonts w:ascii="MS Gothic" w:eastAsia="MS Gothic" w:hAnsi="MS Gothic" w:hint="eastAsia"/>
                  </w:rPr>
                  <w:t>☐</w:t>
                </w:r>
              </w:sdtContent>
            </w:sdt>
            <w:r w:rsidR="003C05C1">
              <w:t xml:space="preserve"> Yes</w:t>
            </w:r>
          </w:p>
          <w:p w:rsidR="003C05C1" w:rsidRDefault="00CB5476" w:rsidP="002A2F2E">
            <w:pPr>
              <w:pStyle w:val="Paragraphtext"/>
            </w:pPr>
            <w:sdt>
              <w:sdtPr>
                <w:id w:val="-380792126"/>
                <w14:checkbox>
                  <w14:checked w14:val="0"/>
                  <w14:checkedState w14:val="2612" w14:font="MS Gothic"/>
                  <w14:uncheckedState w14:val="2610" w14:font="MS Gothic"/>
                </w14:checkbox>
              </w:sdtPr>
              <w:sdtEndPr/>
              <w:sdtContent>
                <w:r w:rsidR="003C05C1">
                  <w:rPr>
                    <w:rFonts w:ascii="MS Gothic" w:eastAsia="MS Gothic" w:hAnsi="MS Gothic" w:hint="eastAsia"/>
                  </w:rPr>
                  <w:t>☐</w:t>
                </w:r>
              </w:sdtContent>
            </w:sdt>
            <w:r w:rsidR="003C05C1">
              <w:t xml:space="preserve"> No</w:t>
            </w:r>
          </w:p>
          <w:p w:rsidR="00B2544E" w:rsidRPr="003C73BD" w:rsidRDefault="00B2544E" w:rsidP="00B2544E">
            <w:pPr>
              <w:pStyle w:val="Paragraphtext"/>
            </w:pPr>
            <w:r w:rsidRPr="003C73BD">
              <w:t>If no</w:t>
            </w:r>
            <w:r w:rsidR="00864FEE" w:rsidRPr="003C73BD">
              <w:t xml:space="preserve">, </w:t>
            </w:r>
            <w:r w:rsidRPr="003C73BD">
              <w:t xml:space="preserve">what other methodology do you suggest </w:t>
            </w:r>
          </w:p>
          <w:p w:rsidR="009E7B33" w:rsidRDefault="009E7B33" w:rsidP="00D65622">
            <w:pPr>
              <w:pStyle w:val="Paragraphtext"/>
            </w:pPr>
          </w:p>
          <w:p w:rsidR="00D05324" w:rsidRDefault="00D05324" w:rsidP="00D65622">
            <w:pPr>
              <w:pStyle w:val="Paragraphtext"/>
            </w:pPr>
          </w:p>
          <w:p w:rsidR="009E7B33" w:rsidRDefault="009E7B33" w:rsidP="00D65622">
            <w:pPr>
              <w:pStyle w:val="Paragraphtext"/>
            </w:pPr>
          </w:p>
        </w:tc>
      </w:tr>
    </w:tbl>
    <w:p w:rsidR="009E7B33" w:rsidRDefault="009E7B33" w:rsidP="00EB2EBC">
      <w:pPr>
        <w:pStyle w:val="ListBullet"/>
        <w:numPr>
          <w:ilvl w:val="0"/>
          <w:numId w:val="0"/>
        </w:numPr>
      </w:pPr>
    </w:p>
    <w:p w:rsidR="00C56298" w:rsidRDefault="00C56298" w:rsidP="003C05C1">
      <w:pPr>
        <w:pStyle w:val="Paragraphtext"/>
      </w:pPr>
    </w:p>
    <w:tbl>
      <w:tblPr>
        <w:tblW w:w="0" w:type="auto"/>
        <w:tblInd w:w="108" w:type="dxa"/>
        <w:tblBorders>
          <w:top w:val="single" w:sz="4" w:space="0" w:color="00D1AE"/>
          <w:left w:val="single" w:sz="4" w:space="0" w:color="00D1AE"/>
          <w:bottom w:val="single" w:sz="4" w:space="0" w:color="00D1AE"/>
          <w:right w:val="single" w:sz="4" w:space="0" w:color="00D1AE"/>
          <w:insideH w:val="single" w:sz="4" w:space="0" w:color="00D1AE"/>
          <w:insideV w:val="single" w:sz="4" w:space="0" w:color="00D1AE"/>
        </w:tblBorders>
        <w:tblLook w:val="0000" w:firstRow="0" w:lastRow="0" w:firstColumn="0" w:lastColumn="0" w:noHBand="0" w:noVBand="0"/>
      </w:tblPr>
      <w:tblGrid>
        <w:gridCol w:w="10065"/>
      </w:tblGrid>
      <w:tr w:rsidR="00C1329A" w:rsidTr="007D189E">
        <w:trPr>
          <w:trHeight w:val="475"/>
        </w:trPr>
        <w:tc>
          <w:tcPr>
            <w:tcW w:w="10065" w:type="dxa"/>
          </w:tcPr>
          <w:p w:rsidR="00C1329A" w:rsidRPr="00C06A12" w:rsidRDefault="00AC0651" w:rsidP="000D4D22">
            <w:pPr>
              <w:pStyle w:val="Heading1"/>
              <w:rPr>
                <w:b/>
              </w:rPr>
            </w:pPr>
            <w:bookmarkStart w:id="51" w:name="_Toc389119575"/>
            <w:bookmarkStart w:id="52" w:name="_Toc390699483"/>
            <w:bookmarkStart w:id="53" w:name="_Toc390863860"/>
            <w:bookmarkStart w:id="54" w:name="_Toc396307871"/>
            <w:r w:rsidRPr="00C06A12">
              <w:rPr>
                <w:b/>
              </w:rPr>
              <w:lastRenderedPageBreak/>
              <w:t>Optional</w:t>
            </w:r>
            <w:bookmarkEnd w:id="51"/>
            <w:bookmarkEnd w:id="52"/>
            <w:bookmarkEnd w:id="53"/>
            <w:bookmarkEnd w:id="54"/>
            <w:r w:rsidRPr="00C06A12">
              <w:rPr>
                <w:b/>
              </w:rPr>
              <w:t xml:space="preserve"> </w:t>
            </w:r>
          </w:p>
        </w:tc>
      </w:tr>
      <w:tr w:rsidR="00AC0651" w:rsidTr="007D189E">
        <w:trPr>
          <w:trHeight w:val="475"/>
        </w:trPr>
        <w:tc>
          <w:tcPr>
            <w:tcW w:w="10065" w:type="dxa"/>
          </w:tcPr>
          <w:p w:rsidR="00AC0651" w:rsidRDefault="00AC0651" w:rsidP="00C1329A">
            <w:r>
              <w:t>Your name :</w:t>
            </w:r>
          </w:p>
        </w:tc>
      </w:tr>
      <w:tr w:rsidR="00AC0651" w:rsidTr="007D189E">
        <w:trPr>
          <w:trHeight w:val="475"/>
        </w:trPr>
        <w:tc>
          <w:tcPr>
            <w:tcW w:w="10065" w:type="dxa"/>
          </w:tcPr>
          <w:p w:rsidR="00AC0651" w:rsidRDefault="00AC0651" w:rsidP="00C1329A">
            <w:r>
              <w:t>Local Authority / Organisation</w:t>
            </w:r>
          </w:p>
        </w:tc>
      </w:tr>
      <w:tr w:rsidR="00AC0651" w:rsidTr="007D189E">
        <w:trPr>
          <w:trHeight w:val="475"/>
        </w:trPr>
        <w:tc>
          <w:tcPr>
            <w:tcW w:w="10065" w:type="dxa"/>
          </w:tcPr>
          <w:p w:rsidR="00AC0651" w:rsidRDefault="00AC0651" w:rsidP="00C1329A">
            <w:r>
              <w:t>Email address</w:t>
            </w:r>
          </w:p>
        </w:tc>
      </w:tr>
      <w:tr w:rsidR="00AC0651" w:rsidTr="007D189E">
        <w:trPr>
          <w:trHeight w:val="475"/>
        </w:trPr>
        <w:tc>
          <w:tcPr>
            <w:tcW w:w="10065" w:type="dxa"/>
          </w:tcPr>
          <w:p w:rsidR="00AC0651" w:rsidRDefault="00AC0651" w:rsidP="00C1329A">
            <w:r>
              <w:t>Contact Number :</w:t>
            </w:r>
          </w:p>
        </w:tc>
      </w:tr>
      <w:tr w:rsidR="00AC0651" w:rsidTr="007D189E">
        <w:trPr>
          <w:trHeight w:val="475"/>
        </w:trPr>
        <w:tc>
          <w:tcPr>
            <w:tcW w:w="10065" w:type="dxa"/>
          </w:tcPr>
          <w:p w:rsidR="00AC0651" w:rsidRDefault="00AC0651" w:rsidP="00C1329A">
            <w:r>
              <w:t>Would you like notification of publication?  Yes / No</w:t>
            </w:r>
          </w:p>
        </w:tc>
      </w:tr>
    </w:tbl>
    <w:p w:rsidR="00C1329A" w:rsidRDefault="00C1329A" w:rsidP="00C1329A"/>
    <w:p w:rsidR="00E3272D" w:rsidRDefault="00E3272D" w:rsidP="00D65622">
      <w:pPr>
        <w:pStyle w:val="Paragraphtext"/>
      </w:pPr>
      <w:r>
        <w:t xml:space="preserve">Thank you for answering this </w:t>
      </w:r>
      <w:r w:rsidR="00093D98">
        <w:t xml:space="preserve">technical </w:t>
      </w:r>
      <w:r>
        <w:t>consultation - your time and views are appreciated.</w:t>
      </w:r>
    </w:p>
    <w:p w:rsidR="00C1329A" w:rsidRDefault="00E3272D" w:rsidP="00CE488B">
      <w:pPr>
        <w:pStyle w:val="Paragraphtext"/>
        <w:rPr>
          <w:rStyle w:val="Hyperlink"/>
          <w:rFonts w:ascii="Arial" w:hAnsi="Arial" w:cs="Arial"/>
          <w:szCs w:val="24"/>
        </w:rPr>
      </w:pPr>
      <w:r>
        <w:t xml:space="preserve">We will publish </w:t>
      </w:r>
      <w:r w:rsidR="00EB62DE">
        <w:t>feedback of the technical consultation. I</w:t>
      </w:r>
      <w:r>
        <w:t xml:space="preserve">n the meantime you have any queries, please do not hesitate to contact </w:t>
      </w:r>
      <w:r w:rsidR="00093D98">
        <w:t xml:space="preserve">us </w:t>
      </w:r>
      <w:r>
        <w:t xml:space="preserve">via the health premium incentive scheme mailbox </w:t>
      </w:r>
      <w:hyperlink r:id="rId24" w:history="1">
        <w:r w:rsidRPr="002D7943">
          <w:rPr>
            <w:rStyle w:val="Hyperlink"/>
            <w:rFonts w:ascii="Arial" w:hAnsi="Arial" w:cs="Arial"/>
            <w:szCs w:val="24"/>
          </w:rPr>
          <w:t>Healthpremiumincentivescheme@dh.gsi.gov.uk</w:t>
        </w:r>
      </w:hyperlink>
    </w:p>
    <w:p w:rsidR="00D65622" w:rsidRDefault="00D65622" w:rsidP="00D65622">
      <w:pPr>
        <w:pStyle w:val="NoSpacing"/>
        <w:rPr>
          <w:rFonts w:ascii="Arial" w:eastAsia="Times New Roman" w:hAnsi="Arial" w:cs="Times New Roman"/>
          <w:sz w:val="24"/>
          <w:szCs w:val="20"/>
        </w:rPr>
      </w:pPr>
      <w:r>
        <w:rPr>
          <w:rFonts w:ascii="Arial" w:eastAsia="Times New Roman" w:hAnsi="Arial" w:cs="Times New Roman"/>
          <w:sz w:val="24"/>
          <w:szCs w:val="20"/>
        </w:rPr>
        <w:br w:type="page"/>
      </w:r>
    </w:p>
    <w:p w:rsidR="00726E05" w:rsidRPr="00A41046" w:rsidRDefault="00534CCD" w:rsidP="00A41046">
      <w:pPr>
        <w:pStyle w:val="NoSpacing"/>
        <w:jc w:val="right"/>
        <w:rPr>
          <w:rFonts w:cs="Times New Roman"/>
          <w:color w:val="00D1AE"/>
          <w:sz w:val="56"/>
        </w:rPr>
      </w:pPr>
      <w:r>
        <w:rPr>
          <w:rFonts w:cs="Times New Roman"/>
          <w:color w:val="00D1AE"/>
          <w:sz w:val="56"/>
        </w:rPr>
        <w:lastRenderedPageBreak/>
        <w:t>Annex A</w:t>
      </w:r>
    </w:p>
    <w:tbl>
      <w:tblPr>
        <w:tblStyle w:val="TableGrid"/>
        <w:tblpPr w:leftFromText="180" w:rightFromText="180" w:horzAnchor="margin" w:tblpY="750"/>
        <w:tblW w:w="10064" w:type="dxa"/>
        <w:tblLayout w:type="fixed"/>
        <w:tblLook w:val="0000" w:firstRow="0" w:lastRow="0" w:firstColumn="0" w:lastColumn="0" w:noHBand="0" w:noVBand="0"/>
      </w:tblPr>
      <w:tblGrid>
        <w:gridCol w:w="1841"/>
        <w:gridCol w:w="8223"/>
      </w:tblGrid>
      <w:tr w:rsidR="00534CCD" w:rsidRPr="0053498E" w:rsidTr="00534CCD">
        <w:trPr>
          <w:trHeight w:val="262"/>
        </w:trPr>
        <w:tc>
          <w:tcPr>
            <w:tcW w:w="10064" w:type="dxa"/>
            <w:gridSpan w:val="2"/>
            <w:tcBorders>
              <w:top w:val="nil"/>
              <w:left w:val="nil"/>
              <w:right w:val="nil"/>
            </w:tcBorders>
            <w:shd w:val="clear" w:color="auto" w:fill="auto"/>
            <w:vAlign w:val="center"/>
          </w:tcPr>
          <w:p w:rsidR="00534CCD" w:rsidRPr="00534CCD" w:rsidRDefault="00534CCD" w:rsidP="00534CCD">
            <w:pPr>
              <w:shd w:val="clear" w:color="auto" w:fill="FFFFFF" w:themeFill="background1"/>
              <w:jc w:val="right"/>
              <w:rPr>
                <w:color w:val="000000" w:themeColor="text1"/>
                <w:sz w:val="28"/>
                <w:szCs w:val="28"/>
              </w:rPr>
            </w:pPr>
            <w:r w:rsidRPr="00534CCD">
              <w:rPr>
                <w:color w:val="000000" w:themeColor="text1"/>
                <w:sz w:val="28"/>
                <w:szCs w:val="28"/>
              </w:rPr>
              <w:t xml:space="preserve">Health premium Incentive selected indicators </w:t>
            </w:r>
          </w:p>
        </w:tc>
      </w:tr>
      <w:tr w:rsidR="00534CCD" w:rsidRPr="0053498E" w:rsidTr="00E00754">
        <w:trPr>
          <w:trHeight w:val="262"/>
        </w:trPr>
        <w:tc>
          <w:tcPr>
            <w:tcW w:w="1841" w:type="dxa"/>
            <w:shd w:val="clear" w:color="auto" w:fill="auto"/>
            <w:vAlign w:val="center"/>
          </w:tcPr>
          <w:p w:rsidR="00534CCD" w:rsidRPr="004D77F9" w:rsidRDefault="00534CCD" w:rsidP="00534CCD">
            <w:pPr>
              <w:shd w:val="clear" w:color="auto" w:fill="FFFFFF" w:themeFill="background1"/>
              <w:tabs>
                <w:tab w:val="left" w:pos="-1526"/>
              </w:tabs>
              <w:ind w:right="-108"/>
              <w:rPr>
                <w:b/>
                <w:color w:val="00D1AE"/>
                <w:sz w:val="28"/>
                <w:szCs w:val="28"/>
              </w:rPr>
            </w:pPr>
            <w:r w:rsidRPr="004D77F9">
              <w:rPr>
                <w:b/>
                <w:color w:val="00D1AE"/>
                <w:sz w:val="28"/>
                <w:szCs w:val="28"/>
              </w:rPr>
              <w:t>PHOF Indicator ref:</w:t>
            </w:r>
          </w:p>
        </w:tc>
        <w:tc>
          <w:tcPr>
            <w:tcW w:w="8223" w:type="dxa"/>
            <w:shd w:val="clear" w:color="auto" w:fill="auto"/>
            <w:vAlign w:val="center"/>
          </w:tcPr>
          <w:p w:rsidR="00534CCD" w:rsidRPr="00B222B8" w:rsidRDefault="00534CCD" w:rsidP="00534CCD">
            <w:pPr>
              <w:shd w:val="clear" w:color="auto" w:fill="FFFFFF" w:themeFill="background1"/>
              <w:jc w:val="center"/>
              <w:rPr>
                <w:color w:val="00D1AE"/>
                <w:sz w:val="28"/>
                <w:szCs w:val="28"/>
              </w:rPr>
            </w:pPr>
            <w:r w:rsidRPr="00B222B8">
              <w:rPr>
                <w:color w:val="00D1AE"/>
                <w:sz w:val="28"/>
                <w:szCs w:val="28"/>
              </w:rPr>
              <w:t>Indicator description</w:t>
            </w:r>
          </w:p>
        </w:tc>
      </w:tr>
      <w:tr w:rsidR="00534CCD" w:rsidRPr="0053498E" w:rsidTr="00E00754">
        <w:trPr>
          <w:trHeight w:val="262"/>
        </w:trPr>
        <w:tc>
          <w:tcPr>
            <w:tcW w:w="1841" w:type="dxa"/>
          </w:tcPr>
          <w:p w:rsidR="00534CCD" w:rsidRPr="00942FE7" w:rsidRDefault="00534CCD" w:rsidP="00534CCD">
            <w:pPr>
              <w:shd w:val="clear" w:color="auto" w:fill="FFFFFF" w:themeFill="background1"/>
              <w:tabs>
                <w:tab w:val="left" w:pos="-1526"/>
              </w:tabs>
              <w:ind w:right="-108"/>
              <w:jc w:val="center"/>
              <w:rPr>
                <w:szCs w:val="24"/>
              </w:rPr>
            </w:pPr>
            <w:r w:rsidRPr="00942FE7">
              <w:rPr>
                <w:szCs w:val="24"/>
              </w:rPr>
              <w:t>0.1 ii</w:t>
            </w:r>
          </w:p>
        </w:tc>
        <w:tc>
          <w:tcPr>
            <w:tcW w:w="8223" w:type="dxa"/>
          </w:tcPr>
          <w:p w:rsidR="00534CCD" w:rsidRPr="00942FE7" w:rsidRDefault="00534CCD" w:rsidP="00534CCD">
            <w:pPr>
              <w:shd w:val="clear" w:color="auto" w:fill="FFFFFF" w:themeFill="background1"/>
              <w:rPr>
                <w:szCs w:val="24"/>
              </w:rPr>
            </w:pPr>
            <w:r w:rsidRPr="00942FE7">
              <w:rPr>
                <w:szCs w:val="24"/>
              </w:rPr>
              <w:t>Life Expectancy at Birth</w:t>
            </w:r>
          </w:p>
        </w:tc>
      </w:tr>
      <w:tr w:rsidR="00534CCD" w:rsidRPr="0053498E" w:rsidTr="00E00754">
        <w:trPr>
          <w:trHeight w:val="420"/>
        </w:trPr>
        <w:tc>
          <w:tcPr>
            <w:tcW w:w="1841" w:type="dxa"/>
          </w:tcPr>
          <w:p w:rsidR="00534CCD" w:rsidRPr="00942FE7" w:rsidRDefault="00534CCD" w:rsidP="00534CCD">
            <w:pPr>
              <w:shd w:val="clear" w:color="auto" w:fill="FFFFFF" w:themeFill="background1"/>
              <w:tabs>
                <w:tab w:val="left" w:pos="-1526"/>
              </w:tabs>
              <w:ind w:right="-108"/>
              <w:jc w:val="center"/>
              <w:rPr>
                <w:szCs w:val="24"/>
              </w:rPr>
            </w:pPr>
            <w:r w:rsidRPr="00942FE7">
              <w:rPr>
                <w:szCs w:val="24"/>
              </w:rPr>
              <w:t>1.01</w:t>
            </w:r>
          </w:p>
        </w:tc>
        <w:tc>
          <w:tcPr>
            <w:tcW w:w="8223" w:type="dxa"/>
          </w:tcPr>
          <w:p w:rsidR="00534CCD" w:rsidRPr="00942FE7" w:rsidRDefault="00534CCD" w:rsidP="00534CCD">
            <w:pPr>
              <w:shd w:val="clear" w:color="auto" w:fill="FFFFFF" w:themeFill="background1"/>
              <w:rPr>
                <w:szCs w:val="24"/>
              </w:rPr>
            </w:pPr>
            <w:r w:rsidRPr="00942FE7">
              <w:rPr>
                <w:szCs w:val="24"/>
              </w:rPr>
              <w:t>Children in poverty - Percentage of children in relative poverty (living in households where income is less than 60 per cent of median household income before housing costs)</w:t>
            </w:r>
          </w:p>
        </w:tc>
      </w:tr>
      <w:tr w:rsidR="00534CCD" w:rsidRPr="0053498E" w:rsidTr="00E00754">
        <w:trPr>
          <w:trHeight w:val="64"/>
        </w:trPr>
        <w:tc>
          <w:tcPr>
            <w:tcW w:w="1841" w:type="dxa"/>
          </w:tcPr>
          <w:p w:rsidR="00534CCD" w:rsidRPr="00942FE7" w:rsidRDefault="00534CCD" w:rsidP="00534CCD">
            <w:pPr>
              <w:shd w:val="clear" w:color="auto" w:fill="FFFFFF" w:themeFill="background1"/>
              <w:tabs>
                <w:tab w:val="left" w:pos="-1526"/>
              </w:tabs>
              <w:ind w:right="-108"/>
              <w:jc w:val="center"/>
              <w:rPr>
                <w:szCs w:val="24"/>
              </w:rPr>
            </w:pPr>
            <w:r w:rsidRPr="00942FE7">
              <w:rPr>
                <w:szCs w:val="24"/>
              </w:rPr>
              <w:t>1.03</w:t>
            </w:r>
          </w:p>
        </w:tc>
        <w:tc>
          <w:tcPr>
            <w:tcW w:w="8223" w:type="dxa"/>
          </w:tcPr>
          <w:p w:rsidR="00534CCD" w:rsidRPr="00942FE7" w:rsidRDefault="00534CCD" w:rsidP="00534CCD">
            <w:pPr>
              <w:shd w:val="clear" w:color="auto" w:fill="FFFFFF" w:themeFill="background1"/>
              <w:rPr>
                <w:szCs w:val="24"/>
              </w:rPr>
            </w:pPr>
            <w:r w:rsidRPr="00942FE7">
              <w:rPr>
                <w:szCs w:val="24"/>
              </w:rPr>
              <w:t>Pupil absence - Percentage of half days missed by pupils due to overall absence (including authorised and unauthorised absence)</w:t>
            </w:r>
          </w:p>
        </w:tc>
      </w:tr>
      <w:tr w:rsidR="00534CCD" w:rsidRPr="0053498E" w:rsidTr="00E00754">
        <w:trPr>
          <w:trHeight w:val="64"/>
        </w:trPr>
        <w:tc>
          <w:tcPr>
            <w:tcW w:w="1841" w:type="dxa"/>
          </w:tcPr>
          <w:p w:rsidR="00534CCD" w:rsidRPr="00472FDE" w:rsidRDefault="00534CCD" w:rsidP="00534CCD">
            <w:pPr>
              <w:shd w:val="clear" w:color="auto" w:fill="FFFFFF" w:themeFill="background1"/>
              <w:tabs>
                <w:tab w:val="left" w:pos="-1526"/>
              </w:tabs>
              <w:ind w:right="-108"/>
              <w:jc w:val="center"/>
              <w:rPr>
                <w:i/>
                <w:strike/>
                <w:szCs w:val="24"/>
              </w:rPr>
            </w:pPr>
            <w:r w:rsidRPr="00472FDE">
              <w:rPr>
                <w:i/>
                <w:strike/>
                <w:szCs w:val="24"/>
              </w:rPr>
              <w:t xml:space="preserve">1.04 </w:t>
            </w:r>
            <w:proofErr w:type="spellStart"/>
            <w:r w:rsidRPr="00472FDE">
              <w:rPr>
                <w:i/>
                <w:strike/>
                <w:szCs w:val="24"/>
              </w:rPr>
              <w:t>i</w:t>
            </w:r>
            <w:proofErr w:type="spellEnd"/>
          </w:p>
        </w:tc>
        <w:tc>
          <w:tcPr>
            <w:tcW w:w="8223" w:type="dxa"/>
          </w:tcPr>
          <w:p w:rsidR="00534CCD" w:rsidRPr="00472FDE" w:rsidRDefault="00534CCD" w:rsidP="00F00DF3">
            <w:pPr>
              <w:shd w:val="clear" w:color="auto" w:fill="FFFFFF" w:themeFill="background1"/>
              <w:rPr>
                <w:i/>
                <w:strike/>
                <w:szCs w:val="24"/>
              </w:rPr>
            </w:pPr>
            <w:r w:rsidRPr="00472FDE">
              <w:rPr>
                <w:i/>
                <w:strike/>
                <w:szCs w:val="24"/>
              </w:rPr>
              <w:t xml:space="preserve">First-time entrants to the youth justice system -  Rate of 10-17 year olds receiving their first reprimand, warning or conviction per 100,000 population </w:t>
            </w:r>
            <w:r w:rsidRPr="00F00DF3">
              <w:rPr>
                <w:rFonts w:asciiTheme="minorHAnsi" w:hAnsiTheme="minorHAnsi" w:cstheme="minorHAnsi"/>
                <w:b/>
                <w:i/>
                <w:color w:val="002060"/>
                <w:sz w:val="22"/>
                <w:szCs w:val="24"/>
              </w:rPr>
              <w:t xml:space="preserve"> This indicator attracts incentives from DCLG ‘</w:t>
            </w:r>
            <w:r w:rsidRPr="00F00DF3">
              <w:rPr>
                <w:rFonts w:asciiTheme="minorHAnsi" w:eastAsia="Times New Roman" w:hAnsiTheme="minorHAnsi" w:cstheme="minorHAnsi"/>
                <w:b/>
                <w:i/>
                <w:color w:val="002060"/>
                <w:sz w:val="22"/>
                <w:szCs w:val="24"/>
              </w:rPr>
              <w:t xml:space="preserve">green for Troubled Families’ with payments to local authorities. </w:t>
            </w:r>
            <w:r w:rsidRPr="00F00DF3">
              <w:rPr>
                <w:rFonts w:asciiTheme="minorHAnsi" w:eastAsia="Times New Roman" w:hAnsiTheme="minorHAnsi" w:cstheme="minorHAnsi"/>
                <w:b/>
                <w:color w:val="002060"/>
                <w:sz w:val="22"/>
                <w:szCs w:val="24"/>
              </w:rPr>
              <w:t>Excluded</w:t>
            </w:r>
          </w:p>
        </w:tc>
      </w:tr>
      <w:tr w:rsidR="00534CCD" w:rsidRPr="0053498E" w:rsidTr="00E00754">
        <w:trPr>
          <w:trHeight w:val="262"/>
        </w:trPr>
        <w:tc>
          <w:tcPr>
            <w:tcW w:w="1841" w:type="dxa"/>
          </w:tcPr>
          <w:p w:rsidR="00534CCD" w:rsidRPr="00942FE7" w:rsidRDefault="00534CCD" w:rsidP="00534CCD">
            <w:pPr>
              <w:shd w:val="clear" w:color="auto" w:fill="FFFFFF" w:themeFill="background1"/>
              <w:tabs>
                <w:tab w:val="left" w:pos="-1526"/>
              </w:tabs>
              <w:ind w:right="-108"/>
              <w:jc w:val="center"/>
              <w:rPr>
                <w:szCs w:val="24"/>
              </w:rPr>
            </w:pPr>
            <w:r w:rsidRPr="00942FE7">
              <w:rPr>
                <w:szCs w:val="24"/>
              </w:rPr>
              <w:t>1.05</w:t>
            </w:r>
          </w:p>
        </w:tc>
        <w:tc>
          <w:tcPr>
            <w:tcW w:w="8223" w:type="dxa"/>
          </w:tcPr>
          <w:p w:rsidR="00534CCD" w:rsidRPr="00942FE7" w:rsidRDefault="00534CCD" w:rsidP="00534CCD">
            <w:pPr>
              <w:shd w:val="clear" w:color="auto" w:fill="FFFFFF" w:themeFill="background1"/>
              <w:rPr>
                <w:szCs w:val="24"/>
              </w:rPr>
            </w:pPr>
            <w:r w:rsidRPr="00942FE7">
              <w:rPr>
                <w:szCs w:val="24"/>
              </w:rPr>
              <w:t>Percentage of 16-18 year olds not in education, employment or training (NEET)</w:t>
            </w:r>
          </w:p>
        </w:tc>
      </w:tr>
      <w:tr w:rsidR="00534CCD" w:rsidRPr="0053498E" w:rsidTr="00E00754">
        <w:trPr>
          <w:trHeight w:val="262"/>
        </w:trPr>
        <w:tc>
          <w:tcPr>
            <w:tcW w:w="1841" w:type="dxa"/>
          </w:tcPr>
          <w:p w:rsidR="00534CCD" w:rsidRPr="00942FE7" w:rsidRDefault="00534CCD" w:rsidP="00534CCD">
            <w:pPr>
              <w:shd w:val="clear" w:color="auto" w:fill="FFFFFF" w:themeFill="background1"/>
              <w:tabs>
                <w:tab w:val="left" w:pos="-1526"/>
              </w:tabs>
              <w:ind w:right="-108"/>
              <w:jc w:val="center"/>
              <w:rPr>
                <w:szCs w:val="24"/>
              </w:rPr>
            </w:pPr>
            <w:r w:rsidRPr="00942FE7">
              <w:rPr>
                <w:szCs w:val="24"/>
              </w:rPr>
              <w:t xml:space="preserve">1.06 </w:t>
            </w:r>
            <w:proofErr w:type="spellStart"/>
            <w:r w:rsidRPr="00942FE7">
              <w:rPr>
                <w:szCs w:val="24"/>
              </w:rPr>
              <w:t>i</w:t>
            </w:r>
            <w:proofErr w:type="spellEnd"/>
          </w:p>
        </w:tc>
        <w:tc>
          <w:tcPr>
            <w:tcW w:w="8223" w:type="dxa"/>
          </w:tcPr>
          <w:p w:rsidR="00534CCD" w:rsidRPr="00942FE7" w:rsidRDefault="00534CCD" w:rsidP="00534CCD">
            <w:pPr>
              <w:shd w:val="clear" w:color="auto" w:fill="FFFFFF" w:themeFill="background1"/>
              <w:rPr>
                <w:szCs w:val="24"/>
              </w:rPr>
            </w:pPr>
            <w:r w:rsidRPr="00942FE7">
              <w:rPr>
                <w:szCs w:val="24"/>
              </w:rPr>
              <w:t>Percentage of all adults with a learning disability who are known to the council, who are recorded as living in their own home or with their family</w:t>
            </w:r>
          </w:p>
        </w:tc>
      </w:tr>
      <w:tr w:rsidR="00534CCD" w:rsidRPr="0053498E" w:rsidTr="00E00754">
        <w:trPr>
          <w:trHeight w:val="262"/>
        </w:trPr>
        <w:tc>
          <w:tcPr>
            <w:tcW w:w="1841" w:type="dxa"/>
          </w:tcPr>
          <w:p w:rsidR="00534CCD" w:rsidRPr="00942FE7" w:rsidRDefault="00534CCD" w:rsidP="00534CCD">
            <w:pPr>
              <w:shd w:val="clear" w:color="auto" w:fill="FFFFFF" w:themeFill="background1"/>
              <w:tabs>
                <w:tab w:val="left" w:pos="-1526"/>
              </w:tabs>
              <w:ind w:right="-108"/>
              <w:jc w:val="center"/>
              <w:rPr>
                <w:szCs w:val="24"/>
              </w:rPr>
            </w:pPr>
            <w:r w:rsidRPr="00942FE7">
              <w:rPr>
                <w:szCs w:val="24"/>
              </w:rPr>
              <w:t xml:space="preserve">1.12 </w:t>
            </w:r>
            <w:proofErr w:type="spellStart"/>
            <w:r w:rsidRPr="00942FE7">
              <w:rPr>
                <w:szCs w:val="24"/>
              </w:rPr>
              <w:t>i</w:t>
            </w:r>
            <w:proofErr w:type="spellEnd"/>
          </w:p>
        </w:tc>
        <w:tc>
          <w:tcPr>
            <w:tcW w:w="8223" w:type="dxa"/>
          </w:tcPr>
          <w:p w:rsidR="00534CCD" w:rsidRPr="00942FE7" w:rsidRDefault="00534CCD" w:rsidP="00534CCD">
            <w:pPr>
              <w:shd w:val="clear" w:color="auto" w:fill="FFFFFF" w:themeFill="background1"/>
              <w:rPr>
                <w:szCs w:val="24"/>
              </w:rPr>
            </w:pPr>
            <w:r w:rsidRPr="00942FE7">
              <w:rPr>
                <w:szCs w:val="24"/>
              </w:rPr>
              <w:t>Age-standardised rate of emergency hospital admissions for violence per 100,000 population</w:t>
            </w:r>
          </w:p>
        </w:tc>
      </w:tr>
      <w:tr w:rsidR="00534CCD" w:rsidRPr="0053498E" w:rsidTr="00E00754">
        <w:trPr>
          <w:trHeight w:val="537"/>
        </w:trPr>
        <w:tc>
          <w:tcPr>
            <w:tcW w:w="1841" w:type="dxa"/>
          </w:tcPr>
          <w:p w:rsidR="00534CCD" w:rsidRPr="00942FE7" w:rsidRDefault="00534CCD" w:rsidP="00534CCD">
            <w:pPr>
              <w:shd w:val="clear" w:color="auto" w:fill="FFFFFF" w:themeFill="background1"/>
              <w:tabs>
                <w:tab w:val="left" w:pos="-1526"/>
              </w:tabs>
              <w:ind w:right="-108"/>
              <w:jc w:val="center"/>
              <w:rPr>
                <w:szCs w:val="24"/>
              </w:rPr>
            </w:pPr>
            <w:r w:rsidRPr="00942FE7">
              <w:rPr>
                <w:szCs w:val="24"/>
              </w:rPr>
              <w:t>1.12 ii</w:t>
            </w:r>
          </w:p>
        </w:tc>
        <w:tc>
          <w:tcPr>
            <w:tcW w:w="8223" w:type="dxa"/>
          </w:tcPr>
          <w:p w:rsidR="00534CCD" w:rsidRPr="00942FE7" w:rsidRDefault="00534CCD" w:rsidP="00534CCD">
            <w:pPr>
              <w:shd w:val="clear" w:color="auto" w:fill="FFFFFF" w:themeFill="background1"/>
              <w:rPr>
                <w:szCs w:val="24"/>
              </w:rPr>
            </w:pPr>
            <w:r w:rsidRPr="00942FE7">
              <w:rPr>
                <w:szCs w:val="24"/>
              </w:rPr>
              <w:t>Rate of violence against the person offences based on police recorded crime data, per 1,000 population</w:t>
            </w:r>
          </w:p>
        </w:tc>
      </w:tr>
      <w:tr w:rsidR="00534CCD" w:rsidRPr="0053498E" w:rsidTr="00E00754">
        <w:trPr>
          <w:trHeight w:val="262"/>
        </w:trPr>
        <w:tc>
          <w:tcPr>
            <w:tcW w:w="1841" w:type="dxa"/>
          </w:tcPr>
          <w:p w:rsidR="00534CCD" w:rsidRPr="00BF7248" w:rsidRDefault="00534CCD" w:rsidP="00534CCD">
            <w:pPr>
              <w:shd w:val="clear" w:color="auto" w:fill="FFFFFF" w:themeFill="background1"/>
              <w:tabs>
                <w:tab w:val="left" w:pos="-1526"/>
              </w:tabs>
              <w:ind w:right="-108"/>
              <w:jc w:val="center"/>
              <w:rPr>
                <w:i/>
                <w:strike/>
                <w:szCs w:val="24"/>
              </w:rPr>
            </w:pPr>
            <w:r w:rsidRPr="00BF7248">
              <w:rPr>
                <w:i/>
                <w:strike/>
                <w:szCs w:val="24"/>
              </w:rPr>
              <w:t xml:space="preserve">1.13 </w:t>
            </w:r>
            <w:proofErr w:type="spellStart"/>
            <w:r w:rsidRPr="00BF7248">
              <w:rPr>
                <w:i/>
                <w:strike/>
                <w:szCs w:val="24"/>
              </w:rPr>
              <w:t>i</w:t>
            </w:r>
            <w:proofErr w:type="spellEnd"/>
          </w:p>
        </w:tc>
        <w:tc>
          <w:tcPr>
            <w:tcW w:w="8223" w:type="dxa"/>
          </w:tcPr>
          <w:p w:rsidR="00F00DF3" w:rsidRDefault="00534CCD" w:rsidP="00534CCD">
            <w:pPr>
              <w:shd w:val="clear" w:color="auto" w:fill="FFFFFF" w:themeFill="background1"/>
              <w:rPr>
                <w:i/>
                <w:strike/>
                <w:szCs w:val="24"/>
              </w:rPr>
            </w:pPr>
            <w:r w:rsidRPr="00BF7248">
              <w:rPr>
                <w:i/>
                <w:strike/>
                <w:szCs w:val="24"/>
              </w:rPr>
              <w:t>Re-offending  % of offenders who reoffend f</w:t>
            </w:r>
            <w:r w:rsidR="00F00DF3">
              <w:rPr>
                <w:i/>
                <w:strike/>
                <w:szCs w:val="24"/>
              </w:rPr>
              <w:t xml:space="preserve">rom a rolling 12 months cohort </w:t>
            </w:r>
          </w:p>
          <w:p w:rsidR="00534CCD" w:rsidRPr="00BF7248" w:rsidRDefault="00534CCD" w:rsidP="00534CCD">
            <w:pPr>
              <w:shd w:val="clear" w:color="auto" w:fill="FFFFFF" w:themeFill="background1"/>
              <w:rPr>
                <w:i/>
                <w:strike/>
                <w:szCs w:val="24"/>
              </w:rPr>
            </w:pPr>
            <w:r w:rsidRPr="00F00DF3">
              <w:rPr>
                <w:rFonts w:asciiTheme="minorHAnsi" w:hAnsiTheme="minorHAnsi" w:cstheme="minorHAnsi"/>
                <w:b/>
                <w:i/>
                <w:color w:val="002060"/>
                <w:sz w:val="22"/>
                <w:szCs w:val="24"/>
              </w:rPr>
              <w:t xml:space="preserve">This indicator </w:t>
            </w:r>
            <w:r w:rsidRPr="00F00DF3">
              <w:rPr>
                <w:rFonts w:asciiTheme="minorHAnsi" w:eastAsia="Times New Roman" w:hAnsiTheme="minorHAnsi" w:cstheme="minorHAnsi"/>
                <w:b/>
                <w:i/>
                <w:color w:val="002060"/>
                <w:sz w:val="22"/>
                <w:szCs w:val="24"/>
              </w:rPr>
              <w:t xml:space="preserve">attracts incentives from </w:t>
            </w:r>
            <w:proofErr w:type="spellStart"/>
            <w:r w:rsidRPr="00F00DF3">
              <w:rPr>
                <w:rFonts w:asciiTheme="minorHAnsi" w:eastAsia="Times New Roman" w:hAnsiTheme="minorHAnsi" w:cstheme="minorHAnsi"/>
                <w:b/>
                <w:i/>
                <w:color w:val="002060"/>
                <w:sz w:val="22"/>
                <w:szCs w:val="24"/>
              </w:rPr>
              <w:t>MoJ</w:t>
            </w:r>
            <w:proofErr w:type="spellEnd"/>
            <w:r w:rsidRPr="00F00DF3">
              <w:rPr>
                <w:rFonts w:asciiTheme="minorHAnsi" w:eastAsia="Times New Roman" w:hAnsiTheme="minorHAnsi" w:cstheme="minorHAnsi"/>
                <w:b/>
                <w:i/>
                <w:color w:val="002060"/>
                <w:sz w:val="22"/>
                <w:szCs w:val="24"/>
              </w:rPr>
              <w:t>, with payments to providers of probation services - the new Community Rehabilitation Companies</w:t>
            </w:r>
            <w:r w:rsidRPr="00F00DF3">
              <w:rPr>
                <w:rFonts w:asciiTheme="minorHAnsi" w:hAnsiTheme="minorHAnsi" w:cstheme="minorHAnsi"/>
                <w:b/>
                <w:i/>
                <w:color w:val="002060"/>
                <w:sz w:val="22"/>
                <w:szCs w:val="24"/>
              </w:rPr>
              <w:t xml:space="preserve">. </w:t>
            </w:r>
            <w:r w:rsidRPr="00F00DF3">
              <w:rPr>
                <w:rFonts w:asciiTheme="minorHAnsi" w:hAnsiTheme="minorHAnsi" w:cstheme="minorHAnsi"/>
                <w:b/>
                <w:color w:val="002060"/>
                <w:sz w:val="22"/>
                <w:szCs w:val="24"/>
              </w:rPr>
              <w:t>Excluded</w:t>
            </w:r>
          </w:p>
        </w:tc>
      </w:tr>
      <w:tr w:rsidR="00534CCD" w:rsidRPr="0053498E" w:rsidTr="00F00DF3">
        <w:trPr>
          <w:trHeight w:val="1030"/>
        </w:trPr>
        <w:tc>
          <w:tcPr>
            <w:tcW w:w="1841" w:type="dxa"/>
          </w:tcPr>
          <w:p w:rsidR="00534CCD" w:rsidRPr="00BF7248" w:rsidRDefault="00534CCD" w:rsidP="00534CCD">
            <w:pPr>
              <w:shd w:val="clear" w:color="auto" w:fill="FFFFFF" w:themeFill="background1"/>
              <w:tabs>
                <w:tab w:val="left" w:pos="-1526"/>
              </w:tabs>
              <w:ind w:right="-108"/>
              <w:jc w:val="center"/>
              <w:rPr>
                <w:i/>
                <w:strike/>
                <w:szCs w:val="24"/>
              </w:rPr>
            </w:pPr>
            <w:r w:rsidRPr="00BF7248">
              <w:rPr>
                <w:i/>
                <w:strike/>
                <w:szCs w:val="24"/>
              </w:rPr>
              <w:t>1.13 ii</w:t>
            </w:r>
          </w:p>
        </w:tc>
        <w:tc>
          <w:tcPr>
            <w:tcW w:w="8223" w:type="dxa"/>
          </w:tcPr>
          <w:p w:rsidR="00F00DF3" w:rsidRDefault="00534CCD" w:rsidP="00534CCD">
            <w:pPr>
              <w:shd w:val="clear" w:color="auto" w:fill="FFFFFF" w:themeFill="background1"/>
              <w:rPr>
                <w:i/>
                <w:strike/>
                <w:color w:val="002060"/>
                <w:szCs w:val="24"/>
              </w:rPr>
            </w:pPr>
            <w:r w:rsidRPr="00BF7248">
              <w:rPr>
                <w:i/>
                <w:strike/>
                <w:szCs w:val="24"/>
              </w:rPr>
              <w:t xml:space="preserve">Re-offending - Average no of re-offenders committed per offender from a rolling 12 month </w:t>
            </w:r>
            <w:proofErr w:type="gramStart"/>
            <w:r w:rsidRPr="00BF7248">
              <w:rPr>
                <w:i/>
                <w:strike/>
                <w:szCs w:val="24"/>
              </w:rPr>
              <w:t>cohort</w:t>
            </w:r>
            <w:r w:rsidRPr="00BF7248">
              <w:rPr>
                <w:i/>
                <w:strike/>
                <w:color w:val="002060"/>
                <w:szCs w:val="24"/>
              </w:rPr>
              <w:t xml:space="preserve"> </w:t>
            </w:r>
            <w:r w:rsidR="00F00DF3">
              <w:rPr>
                <w:i/>
                <w:strike/>
                <w:color w:val="002060"/>
                <w:szCs w:val="24"/>
              </w:rPr>
              <w:t>.</w:t>
            </w:r>
            <w:proofErr w:type="gramEnd"/>
          </w:p>
          <w:p w:rsidR="00534CCD" w:rsidRPr="00BF7248" w:rsidRDefault="00534CCD" w:rsidP="00534CCD">
            <w:pPr>
              <w:shd w:val="clear" w:color="auto" w:fill="FFFFFF" w:themeFill="background1"/>
              <w:rPr>
                <w:i/>
                <w:strike/>
                <w:szCs w:val="24"/>
              </w:rPr>
            </w:pPr>
            <w:r w:rsidRPr="00F00DF3">
              <w:rPr>
                <w:rFonts w:asciiTheme="minorHAnsi" w:hAnsiTheme="minorHAnsi" w:cstheme="minorHAnsi"/>
                <w:b/>
                <w:i/>
                <w:color w:val="002060"/>
                <w:sz w:val="22"/>
                <w:szCs w:val="24"/>
              </w:rPr>
              <w:t xml:space="preserve">This indicator </w:t>
            </w:r>
            <w:r w:rsidRPr="00F00DF3">
              <w:rPr>
                <w:rFonts w:asciiTheme="minorHAnsi" w:eastAsia="Times New Roman" w:hAnsiTheme="minorHAnsi" w:cstheme="minorHAnsi"/>
                <w:b/>
                <w:i/>
                <w:color w:val="002060"/>
                <w:sz w:val="22"/>
                <w:szCs w:val="24"/>
              </w:rPr>
              <w:t xml:space="preserve">attracts incentives from </w:t>
            </w:r>
            <w:proofErr w:type="spellStart"/>
            <w:r w:rsidRPr="00F00DF3">
              <w:rPr>
                <w:rFonts w:asciiTheme="minorHAnsi" w:eastAsia="Times New Roman" w:hAnsiTheme="minorHAnsi" w:cstheme="minorHAnsi"/>
                <w:b/>
                <w:i/>
                <w:color w:val="002060"/>
                <w:sz w:val="22"/>
                <w:szCs w:val="24"/>
              </w:rPr>
              <w:t>MoJ</w:t>
            </w:r>
            <w:proofErr w:type="spellEnd"/>
            <w:r w:rsidRPr="00F00DF3">
              <w:rPr>
                <w:rFonts w:asciiTheme="minorHAnsi" w:eastAsia="Times New Roman" w:hAnsiTheme="minorHAnsi" w:cstheme="minorHAnsi"/>
                <w:b/>
                <w:i/>
                <w:color w:val="002060"/>
                <w:sz w:val="22"/>
                <w:szCs w:val="24"/>
              </w:rPr>
              <w:t>, with payments to providers of probation services - the new Community Rehabilitation Companies</w:t>
            </w:r>
            <w:r w:rsidRPr="00F00DF3">
              <w:rPr>
                <w:rFonts w:asciiTheme="minorHAnsi" w:hAnsiTheme="minorHAnsi" w:cstheme="minorHAnsi"/>
                <w:b/>
                <w:i/>
                <w:color w:val="002060"/>
                <w:sz w:val="22"/>
                <w:szCs w:val="24"/>
              </w:rPr>
              <w:t xml:space="preserve">. </w:t>
            </w:r>
            <w:r w:rsidRPr="00F00DF3">
              <w:rPr>
                <w:rFonts w:asciiTheme="minorHAnsi" w:hAnsiTheme="minorHAnsi" w:cstheme="minorHAnsi"/>
                <w:b/>
                <w:color w:val="002060"/>
                <w:sz w:val="22"/>
                <w:szCs w:val="24"/>
              </w:rPr>
              <w:t>Excluded</w:t>
            </w:r>
          </w:p>
        </w:tc>
      </w:tr>
      <w:tr w:rsidR="00534CCD" w:rsidRPr="0053498E" w:rsidTr="00E00754">
        <w:trPr>
          <w:trHeight w:val="262"/>
        </w:trPr>
        <w:tc>
          <w:tcPr>
            <w:tcW w:w="1841" w:type="dxa"/>
          </w:tcPr>
          <w:p w:rsidR="00534CCD" w:rsidRPr="00942FE7" w:rsidRDefault="00534CCD" w:rsidP="00534CCD">
            <w:pPr>
              <w:shd w:val="clear" w:color="auto" w:fill="FFFFFF" w:themeFill="background1"/>
              <w:tabs>
                <w:tab w:val="left" w:pos="-1526"/>
              </w:tabs>
              <w:ind w:right="-108"/>
              <w:jc w:val="center"/>
              <w:rPr>
                <w:szCs w:val="24"/>
              </w:rPr>
            </w:pPr>
            <w:r w:rsidRPr="00942FE7">
              <w:rPr>
                <w:szCs w:val="24"/>
              </w:rPr>
              <w:t>1.15 ii</w:t>
            </w:r>
          </w:p>
        </w:tc>
        <w:tc>
          <w:tcPr>
            <w:tcW w:w="8223" w:type="dxa"/>
          </w:tcPr>
          <w:p w:rsidR="00534CCD" w:rsidRPr="00942FE7" w:rsidRDefault="00534CCD" w:rsidP="00534CCD">
            <w:pPr>
              <w:shd w:val="clear" w:color="auto" w:fill="FFFFFF" w:themeFill="background1"/>
              <w:rPr>
                <w:szCs w:val="24"/>
              </w:rPr>
            </w:pPr>
            <w:r w:rsidRPr="00942FE7">
              <w:rPr>
                <w:szCs w:val="24"/>
              </w:rPr>
              <w:t>Statutory homelessness / Household in temporary accommodation</w:t>
            </w:r>
          </w:p>
        </w:tc>
      </w:tr>
      <w:tr w:rsidR="00534CCD" w:rsidRPr="0053498E" w:rsidTr="00E00754">
        <w:trPr>
          <w:trHeight w:val="262"/>
        </w:trPr>
        <w:tc>
          <w:tcPr>
            <w:tcW w:w="1841" w:type="dxa"/>
          </w:tcPr>
          <w:p w:rsidR="00534CCD" w:rsidRPr="00942FE7" w:rsidRDefault="00534CCD" w:rsidP="00534CCD">
            <w:pPr>
              <w:shd w:val="clear" w:color="auto" w:fill="FFFFFF" w:themeFill="background1"/>
              <w:tabs>
                <w:tab w:val="left" w:pos="-1526"/>
              </w:tabs>
              <w:ind w:right="-108"/>
              <w:jc w:val="center"/>
              <w:rPr>
                <w:szCs w:val="24"/>
              </w:rPr>
            </w:pPr>
            <w:r w:rsidRPr="00942FE7">
              <w:rPr>
                <w:szCs w:val="24"/>
              </w:rPr>
              <w:t>2.01</w:t>
            </w:r>
          </w:p>
        </w:tc>
        <w:tc>
          <w:tcPr>
            <w:tcW w:w="8223" w:type="dxa"/>
          </w:tcPr>
          <w:p w:rsidR="00534CCD" w:rsidRPr="00942FE7" w:rsidRDefault="00534CCD" w:rsidP="00534CCD">
            <w:pPr>
              <w:shd w:val="clear" w:color="auto" w:fill="FFFFFF" w:themeFill="background1"/>
              <w:rPr>
                <w:szCs w:val="24"/>
              </w:rPr>
            </w:pPr>
            <w:r w:rsidRPr="00942FE7">
              <w:rPr>
                <w:szCs w:val="24"/>
              </w:rPr>
              <w:t>Percentage of all live births at term with low birth weight</w:t>
            </w:r>
          </w:p>
        </w:tc>
      </w:tr>
      <w:tr w:rsidR="00534CCD" w:rsidRPr="0053498E" w:rsidTr="00E00754">
        <w:trPr>
          <w:trHeight w:val="262"/>
        </w:trPr>
        <w:tc>
          <w:tcPr>
            <w:tcW w:w="1841" w:type="dxa"/>
          </w:tcPr>
          <w:p w:rsidR="00534CCD" w:rsidRPr="00942FE7" w:rsidRDefault="00534CCD" w:rsidP="00534CCD">
            <w:pPr>
              <w:shd w:val="clear" w:color="auto" w:fill="FFFFFF" w:themeFill="background1"/>
              <w:tabs>
                <w:tab w:val="left" w:pos="-1526"/>
              </w:tabs>
              <w:ind w:right="-108"/>
              <w:jc w:val="center"/>
              <w:rPr>
                <w:szCs w:val="24"/>
              </w:rPr>
            </w:pPr>
            <w:r w:rsidRPr="00942FE7">
              <w:rPr>
                <w:szCs w:val="24"/>
              </w:rPr>
              <w:t>2.04</w:t>
            </w:r>
          </w:p>
        </w:tc>
        <w:tc>
          <w:tcPr>
            <w:tcW w:w="8223" w:type="dxa"/>
          </w:tcPr>
          <w:p w:rsidR="00534CCD" w:rsidRPr="00942FE7" w:rsidRDefault="00534CCD" w:rsidP="00534CCD">
            <w:pPr>
              <w:shd w:val="clear" w:color="auto" w:fill="FFFFFF" w:themeFill="background1"/>
              <w:rPr>
                <w:szCs w:val="24"/>
              </w:rPr>
            </w:pPr>
            <w:r w:rsidRPr="00942FE7">
              <w:rPr>
                <w:szCs w:val="24"/>
              </w:rPr>
              <w:t>Under 18 conception rate per 1,000 population</w:t>
            </w:r>
          </w:p>
        </w:tc>
      </w:tr>
      <w:tr w:rsidR="00534CCD" w:rsidRPr="0053498E" w:rsidTr="00E00754">
        <w:trPr>
          <w:trHeight w:val="262"/>
        </w:trPr>
        <w:tc>
          <w:tcPr>
            <w:tcW w:w="1841" w:type="dxa"/>
          </w:tcPr>
          <w:p w:rsidR="00534CCD" w:rsidRPr="00942FE7" w:rsidRDefault="00534CCD" w:rsidP="00534CCD">
            <w:pPr>
              <w:shd w:val="clear" w:color="auto" w:fill="FFFFFF" w:themeFill="background1"/>
              <w:tabs>
                <w:tab w:val="left" w:pos="-1526"/>
              </w:tabs>
              <w:ind w:right="-108"/>
              <w:jc w:val="center"/>
              <w:rPr>
                <w:szCs w:val="24"/>
              </w:rPr>
            </w:pPr>
            <w:r w:rsidRPr="00942FE7">
              <w:rPr>
                <w:szCs w:val="24"/>
              </w:rPr>
              <w:t>2.06</w:t>
            </w:r>
          </w:p>
        </w:tc>
        <w:tc>
          <w:tcPr>
            <w:tcW w:w="8223" w:type="dxa"/>
          </w:tcPr>
          <w:p w:rsidR="00534CCD" w:rsidRPr="00942FE7" w:rsidRDefault="00534CCD" w:rsidP="00534CCD">
            <w:pPr>
              <w:shd w:val="clear" w:color="auto" w:fill="FFFFFF" w:themeFill="background1"/>
              <w:rPr>
                <w:szCs w:val="24"/>
              </w:rPr>
            </w:pPr>
            <w:r w:rsidRPr="00942FE7">
              <w:rPr>
                <w:szCs w:val="24"/>
              </w:rPr>
              <w:t>Excess weight in 4-5 and 10-11 year olds</w:t>
            </w:r>
          </w:p>
        </w:tc>
      </w:tr>
      <w:tr w:rsidR="00534CCD" w:rsidRPr="0053498E" w:rsidTr="00E00754">
        <w:trPr>
          <w:trHeight w:val="262"/>
        </w:trPr>
        <w:tc>
          <w:tcPr>
            <w:tcW w:w="1841" w:type="dxa"/>
          </w:tcPr>
          <w:p w:rsidR="00534CCD" w:rsidRPr="00942FE7" w:rsidRDefault="00534CCD" w:rsidP="00534CCD">
            <w:pPr>
              <w:shd w:val="clear" w:color="auto" w:fill="FFFFFF" w:themeFill="background1"/>
              <w:tabs>
                <w:tab w:val="left" w:pos="-1526"/>
              </w:tabs>
              <w:ind w:right="-108"/>
              <w:jc w:val="center"/>
              <w:rPr>
                <w:szCs w:val="24"/>
              </w:rPr>
            </w:pPr>
            <w:r w:rsidRPr="00942FE7">
              <w:rPr>
                <w:szCs w:val="24"/>
              </w:rPr>
              <w:lastRenderedPageBreak/>
              <w:t>2.07i</w:t>
            </w:r>
          </w:p>
        </w:tc>
        <w:tc>
          <w:tcPr>
            <w:tcW w:w="8223" w:type="dxa"/>
          </w:tcPr>
          <w:p w:rsidR="00534CCD" w:rsidRPr="00942FE7" w:rsidRDefault="00534CCD" w:rsidP="00534CCD">
            <w:pPr>
              <w:shd w:val="clear" w:color="auto" w:fill="FFFFFF" w:themeFill="background1"/>
              <w:rPr>
                <w:szCs w:val="24"/>
              </w:rPr>
            </w:pPr>
            <w:r w:rsidRPr="00942FE7">
              <w:rPr>
                <w:szCs w:val="24"/>
              </w:rPr>
              <w:t>Hospital admissions for unintentional and deliberate injuries in children age 0-14</w:t>
            </w:r>
          </w:p>
        </w:tc>
      </w:tr>
      <w:tr w:rsidR="00534CCD" w:rsidRPr="0053498E" w:rsidTr="00E00754">
        <w:trPr>
          <w:trHeight w:val="262"/>
        </w:trPr>
        <w:tc>
          <w:tcPr>
            <w:tcW w:w="1841" w:type="dxa"/>
          </w:tcPr>
          <w:p w:rsidR="00534CCD" w:rsidRPr="00942FE7" w:rsidRDefault="00534CCD" w:rsidP="00534CCD">
            <w:pPr>
              <w:shd w:val="clear" w:color="auto" w:fill="FFFFFF" w:themeFill="background1"/>
              <w:tabs>
                <w:tab w:val="left" w:pos="-1526"/>
              </w:tabs>
              <w:ind w:right="-108"/>
              <w:jc w:val="center"/>
              <w:rPr>
                <w:szCs w:val="24"/>
              </w:rPr>
            </w:pPr>
            <w:r w:rsidRPr="00942FE7">
              <w:rPr>
                <w:szCs w:val="24"/>
              </w:rPr>
              <w:t>2.07ii</w:t>
            </w:r>
          </w:p>
        </w:tc>
        <w:tc>
          <w:tcPr>
            <w:tcW w:w="8223" w:type="dxa"/>
          </w:tcPr>
          <w:p w:rsidR="00534CCD" w:rsidRPr="00942FE7" w:rsidRDefault="00534CCD" w:rsidP="00534CCD">
            <w:pPr>
              <w:shd w:val="clear" w:color="auto" w:fill="FFFFFF" w:themeFill="background1"/>
              <w:rPr>
                <w:szCs w:val="24"/>
              </w:rPr>
            </w:pPr>
            <w:r w:rsidRPr="00942FE7">
              <w:rPr>
                <w:szCs w:val="24"/>
              </w:rPr>
              <w:t>Hospital admissions for unintentional and deliberate injuries in young people age 15-24</w:t>
            </w:r>
          </w:p>
        </w:tc>
      </w:tr>
      <w:tr w:rsidR="00534CCD" w:rsidRPr="0053498E" w:rsidTr="00E00754">
        <w:trPr>
          <w:trHeight w:val="262"/>
        </w:trPr>
        <w:tc>
          <w:tcPr>
            <w:tcW w:w="1841" w:type="dxa"/>
          </w:tcPr>
          <w:p w:rsidR="00534CCD" w:rsidRPr="00942FE7" w:rsidRDefault="00534CCD" w:rsidP="00534CCD">
            <w:pPr>
              <w:shd w:val="clear" w:color="auto" w:fill="FFFFFF" w:themeFill="background1"/>
              <w:tabs>
                <w:tab w:val="left" w:pos="-1526"/>
              </w:tabs>
              <w:ind w:right="-108"/>
              <w:jc w:val="center"/>
              <w:rPr>
                <w:szCs w:val="24"/>
              </w:rPr>
            </w:pPr>
            <w:r w:rsidRPr="00942FE7">
              <w:rPr>
                <w:szCs w:val="24"/>
              </w:rPr>
              <w:t>2.13i</w:t>
            </w:r>
          </w:p>
        </w:tc>
        <w:tc>
          <w:tcPr>
            <w:tcW w:w="8223" w:type="dxa"/>
          </w:tcPr>
          <w:p w:rsidR="00534CCD" w:rsidRPr="00942FE7" w:rsidRDefault="00534CCD" w:rsidP="00534CCD">
            <w:pPr>
              <w:shd w:val="clear" w:color="auto" w:fill="FFFFFF" w:themeFill="background1"/>
              <w:rPr>
                <w:szCs w:val="24"/>
              </w:rPr>
            </w:pPr>
            <w:r w:rsidRPr="00942FE7">
              <w:rPr>
                <w:szCs w:val="24"/>
              </w:rPr>
              <w:t>Physically active adults</w:t>
            </w:r>
          </w:p>
        </w:tc>
      </w:tr>
      <w:tr w:rsidR="00534CCD" w:rsidRPr="0053498E" w:rsidTr="00E00754">
        <w:trPr>
          <w:trHeight w:val="262"/>
        </w:trPr>
        <w:tc>
          <w:tcPr>
            <w:tcW w:w="1841" w:type="dxa"/>
          </w:tcPr>
          <w:p w:rsidR="00534CCD" w:rsidRPr="00942FE7" w:rsidRDefault="00534CCD" w:rsidP="00534CCD">
            <w:pPr>
              <w:shd w:val="clear" w:color="auto" w:fill="FFFFFF" w:themeFill="background1"/>
              <w:tabs>
                <w:tab w:val="left" w:pos="-1526"/>
              </w:tabs>
              <w:ind w:right="-108"/>
              <w:jc w:val="center"/>
              <w:rPr>
                <w:szCs w:val="24"/>
              </w:rPr>
            </w:pPr>
            <w:r w:rsidRPr="00942FE7">
              <w:rPr>
                <w:szCs w:val="24"/>
              </w:rPr>
              <w:t>2.13ii</w:t>
            </w:r>
          </w:p>
        </w:tc>
        <w:tc>
          <w:tcPr>
            <w:tcW w:w="8223" w:type="dxa"/>
          </w:tcPr>
          <w:p w:rsidR="00534CCD" w:rsidRPr="00942FE7" w:rsidRDefault="00534CCD" w:rsidP="00534CCD">
            <w:pPr>
              <w:shd w:val="clear" w:color="auto" w:fill="FFFFFF" w:themeFill="background1"/>
              <w:rPr>
                <w:szCs w:val="24"/>
              </w:rPr>
            </w:pPr>
            <w:r w:rsidRPr="00942FE7">
              <w:rPr>
                <w:szCs w:val="24"/>
              </w:rPr>
              <w:t>Physically inactive adults</w:t>
            </w:r>
          </w:p>
        </w:tc>
      </w:tr>
      <w:tr w:rsidR="00534CCD" w:rsidRPr="0053498E" w:rsidTr="00E00754">
        <w:trPr>
          <w:trHeight w:val="262"/>
        </w:trPr>
        <w:tc>
          <w:tcPr>
            <w:tcW w:w="1841" w:type="dxa"/>
          </w:tcPr>
          <w:p w:rsidR="00534CCD" w:rsidRPr="00F00DF3" w:rsidRDefault="00534CCD" w:rsidP="00534CCD">
            <w:pPr>
              <w:shd w:val="clear" w:color="auto" w:fill="FFFFFF" w:themeFill="background1"/>
              <w:tabs>
                <w:tab w:val="left" w:pos="-1526"/>
              </w:tabs>
              <w:ind w:right="-108"/>
              <w:jc w:val="center"/>
              <w:rPr>
                <w:b/>
                <w:i/>
                <w:szCs w:val="24"/>
              </w:rPr>
            </w:pPr>
            <w:r w:rsidRPr="00F00DF3">
              <w:rPr>
                <w:b/>
                <w:i/>
                <w:szCs w:val="24"/>
              </w:rPr>
              <w:t>2.14</w:t>
            </w:r>
          </w:p>
        </w:tc>
        <w:tc>
          <w:tcPr>
            <w:tcW w:w="8223" w:type="dxa"/>
          </w:tcPr>
          <w:p w:rsidR="00534CCD" w:rsidRPr="00F00DF3" w:rsidRDefault="00534CCD" w:rsidP="00F00DF3">
            <w:pPr>
              <w:shd w:val="clear" w:color="auto" w:fill="FFFFFF" w:themeFill="background1"/>
              <w:rPr>
                <w:b/>
                <w:i/>
                <w:szCs w:val="24"/>
              </w:rPr>
            </w:pPr>
            <w:r w:rsidRPr="00F00DF3">
              <w:rPr>
                <w:b/>
                <w:i/>
                <w:szCs w:val="24"/>
              </w:rPr>
              <w:t xml:space="preserve">Smoking prevalence –Adults aged 18 and over </w:t>
            </w:r>
            <w:r w:rsidRPr="00F00DF3">
              <w:rPr>
                <w:b/>
                <w:i/>
                <w:color w:val="002060"/>
                <w:szCs w:val="24"/>
              </w:rPr>
              <w:t>(</w:t>
            </w:r>
            <w:r w:rsidR="00F00DF3" w:rsidRPr="00F00DF3">
              <w:rPr>
                <w:b/>
                <w:i/>
                <w:color w:val="002060"/>
                <w:szCs w:val="24"/>
              </w:rPr>
              <w:t>D</w:t>
            </w:r>
            <w:r w:rsidRPr="00F00DF3">
              <w:rPr>
                <w:b/>
                <w:i/>
                <w:color w:val="002060"/>
                <w:szCs w:val="24"/>
              </w:rPr>
              <w:t>efault local indicator)</w:t>
            </w:r>
          </w:p>
        </w:tc>
      </w:tr>
      <w:tr w:rsidR="00534CCD" w:rsidRPr="0053498E" w:rsidTr="00E00754">
        <w:trPr>
          <w:trHeight w:val="262"/>
        </w:trPr>
        <w:tc>
          <w:tcPr>
            <w:tcW w:w="1841" w:type="dxa"/>
          </w:tcPr>
          <w:p w:rsidR="00534CCD" w:rsidRPr="00F00DF3" w:rsidRDefault="00534CCD" w:rsidP="00534CCD">
            <w:pPr>
              <w:shd w:val="clear" w:color="auto" w:fill="FFFFFF" w:themeFill="background1"/>
              <w:tabs>
                <w:tab w:val="left" w:pos="-1526"/>
              </w:tabs>
              <w:ind w:right="-108"/>
              <w:jc w:val="center"/>
              <w:rPr>
                <w:b/>
                <w:i/>
                <w:szCs w:val="24"/>
              </w:rPr>
            </w:pPr>
            <w:r w:rsidRPr="00F00DF3">
              <w:rPr>
                <w:b/>
                <w:i/>
                <w:szCs w:val="24"/>
              </w:rPr>
              <w:t>2.15</w:t>
            </w:r>
          </w:p>
        </w:tc>
        <w:tc>
          <w:tcPr>
            <w:tcW w:w="8223" w:type="dxa"/>
          </w:tcPr>
          <w:p w:rsidR="00534CCD" w:rsidRPr="00F00DF3" w:rsidRDefault="00534CCD" w:rsidP="00534CCD">
            <w:pPr>
              <w:shd w:val="clear" w:color="auto" w:fill="FFFFFF" w:themeFill="background1"/>
              <w:rPr>
                <w:b/>
                <w:i/>
                <w:szCs w:val="24"/>
              </w:rPr>
            </w:pPr>
            <w:r w:rsidRPr="00F00DF3">
              <w:rPr>
                <w:b/>
                <w:i/>
                <w:szCs w:val="24"/>
              </w:rPr>
              <w:t xml:space="preserve">Successful completion of drug treatment </w:t>
            </w:r>
            <w:r w:rsidRPr="00F00DF3">
              <w:rPr>
                <w:b/>
                <w:i/>
                <w:color w:val="002060"/>
                <w:szCs w:val="24"/>
              </w:rPr>
              <w:t>(National indicator)</w:t>
            </w:r>
          </w:p>
        </w:tc>
      </w:tr>
      <w:tr w:rsidR="00534CCD" w:rsidRPr="0053498E" w:rsidTr="00F00DF3">
        <w:trPr>
          <w:trHeight w:val="503"/>
        </w:trPr>
        <w:tc>
          <w:tcPr>
            <w:tcW w:w="1841" w:type="dxa"/>
          </w:tcPr>
          <w:p w:rsidR="00534CCD" w:rsidRPr="00942FE7" w:rsidRDefault="00534CCD" w:rsidP="00534CCD">
            <w:pPr>
              <w:shd w:val="clear" w:color="auto" w:fill="FFFFFF" w:themeFill="background1"/>
              <w:tabs>
                <w:tab w:val="left" w:pos="-1526"/>
              </w:tabs>
              <w:ind w:right="-108"/>
              <w:jc w:val="center"/>
              <w:rPr>
                <w:szCs w:val="24"/>
              </w:rPr>
            </w:pPr>
            <w:r w:rsidRPr="00942FE7">
              <w:rPr>
                <w:szCs w:val="24"/>
              </w:rPr>
              <w:t>2.20 ii</w:t>
            </w:r>
          </w:p>
        </w:tc>
        <w:tc>
          <w:tcPr>
            <w:tcW w:w="8223" w:type="dxa"/>
          </w:tcPr>
          <w:p w:rsidR="00534CCD" w:rsidRPr="00942FE7" w:rsidRDefault="00534CCD" w:rsidP="00534CCD">
            <w:pPr>
              <w:shd w:val="clear" w:color="auto" w:fill="FFFFFF" w:themeFill="background1"/>
              <w:rPr>
                <w:szCs w:val="24"/>
              </w:rPr>
            </w:pPr>
            <w:r w:rsidRPr="00942FE7">
              <w:rPr>
                <w:szCs w:val="24"/>
              </w:rPr>
              <w:t>The percentage of women in a population eligible for cervical screening at a given point in time who were screened adequately within a specified period</w:t>
            </w:r>
          </w:p>
        </w:tc>
      </w:tr>
      <w:tr w:rsidR="00534CCD" w:rsidRPr="0053498E" w:rsidTr="00E00754">
        <w:trPr>
          <w:trHeight w:val="262"/>
        </w:trPr>
        <w:tc>
          <w:tcPr>
            <w:tcW w:w="1841" w:type="dxa"/>
          </w:tcPr>
          <w:p w:rsidR="00534CCD" w:rsidRPr="00942FE7" w:rsidRDefault="00534CCD" w:rsidP="00534CCD">
            <w:pPr>
              <w:shd w:val="clear" w:color="auto" w:fill="FFFFFF" w:themeFill="background1"/>
              <w:tabs>
                <w:tab w:val="left" w:pos="-1526"/>
              </w:tabs>
              <w:ind w:right="-108"/>
              <w:jc w:val="center"/>
              <w:rPr>
                <w:szCs w:val="24"/>
              </w:rPr>
            </w:pPr>
            <w:r w:rsidRPr="00942FE7">
              <w:rPr>
                <w:szCs w:val="24"/>
              </w:rPr>
              <w:t xml:space="preserve">2.22 </w:t>
            </w:r>
            <w:proofErr w:type="spellStart"/>
            <w:r w:rsidRPr="00942FE7">
              <w:rPr>
                <w:szCs w:val="24"/>
              </w:rPr>
              <w:t>i</w:t>
            </w:r>
            <w:proofErr w:type="spellEnd"/>
          </w:p>
        </w:tc>
        <w:tc>
          <w:tcPr>
            <w:tcW w:w="8223" w:type="dxa"/>
          </w:tcPr>
          <w:p w:rsidR="00534CCD" w:rsidRPr="00942FE7" w:rsidRDefault="00534CCD" w:rsidP="00534CCD">
            <w:pPr>
              <w:shd w:val="clear" w:color="auto" w:fill="FFFFFF" w:themeFill="background1"/>
              <w:rPr>
                <w:szCs w:val="24"/>
              </w:rPr>
            </w:pPr>
            <w:r w:rsidRPr="00942FE7">
              <w:rPr>
                <w:szCs w:val="24"/>
              </w:rPr>
              <w:t xml:space="preserve">Percentage of eligible population aged 40-74 offered an NHS Health Check in the financial year </w:t>
            </w:r>
          </w:p>
        </w:tc>
      </w:tr>
      <w:tr w:rsidR="00534CCD" w:rsidRPr="0053498E" w:rsidTr="00E00754">
        <w:trPr>
          <w:trHeight w:val="262"/>
        </w:trPr>
        <w:tc>
          <w:tcPr>
            <w:tcW w:w="1841" w:type="dxa"/>
          </w:tcPr>
          <w:p w:rsidR="00534CCD" w:rsidRPr="00942FE7" w:rsidRDefault="00534CCD" w:rsidP="00534CCD">
            <w:pPr>
              <w:shd w:val="clear" w:color="auto" w:fill="FFFFFF" w:themeFill="background1"/>
              <w:tabs>
                <w:tab w:val="left" w:pos="-1526"/>
              </w:tabs>
              <w:ind w:right="-108"/>
              <w:jc w:val="center"/>
              <w:rPr>
                <w:szCs w:val="24"/>
              </w:rPr>
            </w:pPr>
            <w:r w:rsidRPr="00942FE7">
              <w:rPr>
                <w:szCs w:val="24"/>
              </w:rPr>
              <w:t>2.22 ii</w:t>
            </w:r>
          </w:p>
        </w:tc>
        <w:tc>
          <w:tcPr>
            <w:tcW w:w="8223" w:type="dxa"/>
          </w:tcPr>
          <w:p w:rsidR="00534CCD" w:rsidRPr="00942FE7" w:rsidRDefault="00534CCD" w:rsidP="00534CCD">
            <w:pPr>
              <w:shd w:val="clear" w:color="auto" w:fill="FFFFFF" w:themeFill="background1"/>
              <w:rPr>
                <w:szCs w:val="24"/>
              </w:rPr>
            </w:pPr>
            <w:r w:rsidRPr="00942FE7">
              <w:rPr>
                <w:szCs w:val="24"/>
              </w:rPr>
              <w:t xml:space="preserve">Percentage of eligible population aged 40-74 offered an NHS Health Check who received an NHS Health Check in the financial year </w:t>
            </w:r>
          </w:p>
        </w:tc>
      </w:tr>
      <w:tr w:rsidR="00534CCD" w:rsidRPr="0053498E" w:rsidTr="00E00754">
        <w:trPr>
          <w:trHeight w:val="262"/>
        </w:trPr>
        <w:tc>
          <w:tcPr>
            <w:tcW w:w="1841" w:type="dxa"/>
          </w:tcPr>
          <w:p w:rsidR="00534CCD" w:rsidRPr="00942FE7" w:rsidRDefault="00534CCD" w:rsidP="00534CCD">
            <w:pPr>
              <w:shd w:val="clear" w:color="auto" w:fill="FFFFFF" w:themeFill="background1"/>
              <w:tabs>
                <w:tab w:val="left" w:pos="-1526"/>
              </w:tabs>
              <w:ind w:right="-108"/>
              <w:jc w:val="center"/>
              <w:rPr>
                <w:szCs w:val="24"/>
              </w:rPr>
            </w:pPr>
            <w:r w:rsidRPr="00942FE7">
              <w:rPr>
                <w:szCs w:val="24"/>
              </w:rPr>
              <w:t xml:space="preserve">2.24 </w:t>
            </w:r>
            <w:proofErr w:type="spellStart"/>
            <w:r w:rsidRPr="00942FE7">
              <w:rPr>
                <w:szCs w:val="24"/>
              </w:rPr>
              <w:t>i</w:t>
            </w:r>
            <w:proofErr w:type="spellEnd"/>
          </w:p>
        </w:tc>
        <w:tc>
          <w:tcPr>
            <w:tcW w:w="8223" w:type="dxa"/>
          </w:tcPr>
          <w:p w:rsidR="00534CCD" w:rsidRPr="00942FE7" w:rsidRDefault="00534CCD" w:rsidP="00534CCD">
            <w:pPr>
              <w:shd w:val="clear" w:color="auto" w:fill="FFFFFF" w:themeFill="background1"/>
              <w:rPr>
                <w:szCs w:val="24"/>
              </w:rPr>
            </w:pPr>
            <w:r w:rsidRPr="00942FE7">
              <w:rPr>
                <w:szCs w:val="24"/>
              </w:rPr>
              <w:t>Age-sex standardised rate of emergency hospital admissions for injuries due to falls in persons aged 65 and over per 100,000 population</w:t>
            </w:r>
          </w:p>
        </w:tc>
      </w:tr>
      <w:tr w:rsidR="00534CCD" w:rsidRPr="0053498E" w:rsidTr="00E00754">
        <w:trPr>
          <w:trHeight w:val="262"/>
        </w:trPr>
        <w:tc>
          <w:tcPr>
            <w:tcW w:w="1841" w:type="dxa"/>
          </w:tcPr>
          <w:p w:rsidR="00534CCD" w:rsidRPr="00942FE7" w:rsidRDefault="00534CCD" w:rsidP="00534CCD">
            <w:pPr>
              <w:shd w:val="clear" w:color="auto" w:fill="FFFFFF" w:themeFill="background1"/>
              <w:tabs>
                <w:tab w:val="left" w:pos="-1526"/>
              </w:tabs>
              <w:ind w:right="-108"/>
              <w:jc w:val="center"/>
              <w:rPr>
                <w:szCs w:val="24"/>
              </w:rPr>
            </w:pPr>
            <w:r w:rsidRPr="00942FE7">
              <w:rPr>
                <w:szCs w:val="24"/>
              </w:rPr>
              <w:t xml:space="preserve">3.03 </w:t>
            </w:r>
            <w:proofErr w:type="spellStart"/>
            <w:r w:rsidRPr="00942FE7">
              <w:rPr>
                <w:szCs w:val="24"/>
              </w:rPr>
              <w:t>i</w:t>
            </w:r>
            <w:proofErr w:type="spellEnd"/>
          </w:p>
        </w:tc>
        <w:tc>
          <w:tcPr>
            <w:tcW w:w="8223" w:type="dxa"/>
          </w:tcPr>
          <w:p w:rsidR="00534CCD" w:rsidRPr="00942FE7" w:rsidRDefault="00534CCD" w:rsidP="00534CCD">
            <w:pPr>
              <w:shd w:val="clear" w:color="auto" w:fill="FFFFFF" w:themeFill="background1"/>
              <w:rPr>
                <w:szCs w:val="24"/>
              </w:rPr>
            </w:pPr>
            <w:r w:rsidRPr="00942FE7">
              <w:rPr>
                <w:szCs w:val="24"/>
              </w:rPr>
              <w:t>Hepatitis B vaccination coverage (1 and 2 year olds)</w:t>
            </w:r>
          </w:p>
        </w:tc>
      </w:tr>
      <w:tr w:rsidR="00534CCD" w:rsidRPr="0053498E" w:rsidTr="00E00754">
        <w:trPr>
          <w:trHeight w:val="262"/>
        </w:trPr>
        <w:tc>
          <w:tcPr>
            <w:tcW w:w="1841" w:type="dxa"/>
          </w:tcPr>
          <w:p w:rsidR="00534CCD" w:rsidRPr="00942FE7" w:rsidRDefault="00534CCD" w:rsidP="00534CCD">
            <w:pPr>
              <w:shd w:val="clear" w:color="auto" w:fill="FFFFFF" w:themeFill="background1"/>
              <w:tabs>
                <w:tab w:val="left" w:pos="-1526"/>
              </w:tabs>
              <w:ind w:right="-108"/>
              <w:jc w:val="center"/>
              <w:rPr>
                <w:szCs w:val="24"/>
              </w:rPr>
            </w:pPr>
            <w:r w:rsidRPr="00942FE7">
              <w:rPr>
                <w:szCs w:val="24"/>
              </w:rPr>
              <w:t>3.03 iii</w:t>
            </w:r>
          </w:p>
        </w:tc>
        <w:tc>
          <w:tcPr>
            <w:tcW w:w="8223" w:type="dxa"/>
          </w:tcPr>
          <w:p w:rsidR="00534CCD" w:rsidRPr="00942FE7" w:rsidRDefault="00534CCD" w:rsidP="00534CCD">
            <w:pPr>
              <w:shd w:val="clear" w:color="auto" w:fill="FFFFFF" w:themeFill="background1"/>
              <w:rPr>
                <w:szCs w:val="24"/>
              </w:rPr>
            </w:pPr>
            <w:proofErr w:type="spellStart"/>
            <w:r w:rsidRPr="00942FE7">
              <w:rPr>
                <w:szCs w:val="24"/>
              </w:rPr>
              <w:t>DTaP</w:t>
            </w:r>
            <w:proofErr w:type="spellEnd"/>
            <w:r w:rsidRPr="00942FE7">
              <w:rPr>
                <w:szCs w:val="24"/>
              </w:rPr>
              <w:t>/IPV/</w:t>
            </w:r>
            <w:proofErr w:type="spellStart"/>
            <w:r w:rsidRPr="00942FE7">
              <w:rPr>
                <w:szCs w:val="24"/>
              </w:rPr>
              <w:t>Hib</w:t>
            </w:r>
            <w:proofErr w:type="spellEnd"/>
            <w:r w:rsidRPr="00942FE7">
              <w:rPr>
                <w:szCs w:val="24"/>
              </w:rPr>
              <w:t xml:space="preserve"> vaccination coverage (1, 2 and 5 year olds)</w:t>
            </w:r>
          </w:p>
        </w:tc>
      </w:tr>
      <w:tr w:rsidR="00534CCD" w:rsidRPr="0053498E" w:rsidTr="00E00754">
        <w:trPr>
          <w:trHeight w:val="262"/>
        </w:trPr>
        <w:tc>
          <w:tcPr>
            <w:tcW w:w="1841" w:type="dxa"/>
          </w:tcPr>
          <w:p w:rsidR="00534CCD" w:rsidRPr="00942FE7" w:rsidRDefault="00534CCD" w:rsidP="00534CCD">
            <w:pPr>
              <w:shd w:val="clear" w:color="auto" w:fill="FFFFFF" w:themeFill="background1"/>
              <w:tabs>
                <w:tab w:val="left" w:pos="-1526"/>
              </w:tabs>
              <w:ind w:right="-108"/>
              <w:jc w:val="center"/>
              <w:rPr>
                <w:szCs w:val="24"/>
              </w:rPr>
            </w:pPr>
            <w:r w:rsidRPr="00942FE7">
              <w:rPr>
                <w:szCs w:val="24"/>
              </w:rPr>
              <w:t>3.03 iv</w:t>
            </w:r>
          </w:p>
        </w:tc>
        <w:tc>
          <w:tcPr>
            <w:tcW w:w="8223" w:type="dxa"/>
          </w:tcPr>
          <w:p w:rsidR="00534CCD" w:rsidRPr="00942FE7" w:rsidRDefault="00534CCD" w:rsidP="00534CCD">
            <w:pPr>
              <w:shd w:val="clear" w:color="auto" w:fill="FFFFFF" w:themeFill="background1"/>
              <w:rPr>
                <w:szCs w:val="24"/>
              </w:rPr>
            </w:pPr>
            <w:proofErr w:type="spellStart"/>
            <w:r w:rsidRPr="00942FE7">
              <w:rPr>
                <w:szCs w:val="24"/>
              </w:rPr>
              <w:t>MenC</w:t>
            </w:r>
            <w:proofErr w:type="spellEnd"/>
            <w:r w:rsidRPr="00942FE7">
              <w:rPr>
                <w:szCs w:val="24"/>
              </w:rPr>
              <w:t xml:space="preserve"> vaccination coverage (1 year olds)</w:t>
            </w:r>
          </w:p>
        </w:tc>
      </w:tr>
      <w:tr w:rsidR="00534CCD" w:rsidRPr="0053498E" w:rsidTr="00E00754">
        <w:trPr>
          <w:trHeight w:val="262"/>
        </w:trPr>
        <w:tc>
          <w:tcPr>
            <w:tcW w:w="1841" w:type="dxa"/>
          </w:tcPr>
          <w:p w:rsidR="00534CCD" w:rsidRPr="00942FE7" w:rsidRDefault="00534CCD" w:rsidP="00534CCD">
            <w:pPr>
              <w:shd w:val="clear" w:color="auto" w:fill="FFFFFF" w:themeFill="background1"/>
              <w:tabs>
                <w:tab w:val="left" w:pos="-1526"/>
              </w:tabs>
              <w:ind w:right="-108"/>
              <w:jc w:val="center"/>
              <w:rPr>
                <w:szCs w:val="24"/>
              </w:rPr>
            </w:pPr>
            <w:r w:rsidRPr="00942FE7">
              <w:rPr>
                <w:szCs w:val="24"/>
              </w:rPr>
              <w:t>3.03 v</w:t>
            </w:r>
          </w:p>
        </w:tc>
        <w:tc>
          <w:tcPr>
            <w:tcW w:w="8223" w:type="dxa"/>
          </w:tcPr>
          <w:p w:rsidR="00534CCD" w:rsidRPr="00942FE7" w:rsidRDefault="00534CCD" w:rsidP="00534CCD">
            <w:pPr>
              <w:shd w:val="clear" w:color="auto" w:fill="FFFFFF" w:themeFill="background1"/>
              <w:rPr>
                <w:szCs w:val="24"/>
              </w:rPr>
            </w:pPr>
            <w:r w:rsidRPr="00942FE7">
              <w:rPr>
                <w:szCs w:val="24"/>
              </w:rPr>
              <w:t>PCV vaccination coverage (1 year olds)</w:t>
            </w:r>
          </w:p>
        </w:tc>
      </w:tr>
      <w:tr w:rsidR="00534CCD" w:rsidRPr="0053498E" w:rsidTr="00E00754">
        <w:trPr>
          <w:trHeight w:val="262"/>
        </w:trPr>
        <w:tc>
          <w:tcPr>
            <w:tcW w:w="1841" w:type="dxa"/>
          </w:tcPr>
          <w:p w:rsidR="00534CCD" w:rsidRPr="00942FE7" w:rsidRDefault="00534CCD" w:rsidP="00534CCD">
            <w:pPr>
              <w:shd w:val="clear" w:color="auto" w:fill="FFFFFF" w:themeFill="background1"/>
              <w:tabs>
                <w:tab w:val="left" w:pos="-1526"/>
              </w:tabs>
              <w:ind w:right="-108"/>
              <w:jc w:val="center"/>
              <w:rPr>
                <w:szCs w:val="24"/>
              </w:rPr>
            </w:pPr>
            <w:r w:rsidRPr="00942FE7">
              <w:rPr>
                <w:szCs w:val="24"/>
              </w:rPr>
              <w:t>3.03 vi</w:t>
            </w:r>
          </w:p>
        </w:tc>
        <w:tc>
          <w:tcPr>
            <w:tcW w:w="8223" w:type="dxa"/>
          </w:tcPr>
          <w:p w:rsidR="00534CCD" w:rsidRPr="00942FE7" w:rsidRDefault="00534CCD" w:rsidP="00534CCD">
            <w:pPr>
              <w:shd w:val="clear" w:color="auto" w:fill="FFFFFF" w:themeFill="background1"/>
              <w:rPr>
                <w:szCs w:val="24"/>
              </w:rPr>
            </w:pPr>
            <w:proofErr w:type="spellStart"/>
            <w:r w:rsidRPr="00942FE7">
              <w:rPr>
                <w:szCs w:val="24"/>
              </w:rPr>
              <w:t>Hib</w:t>
            </w:r>
            <w:proofErr w:type="spellEnd"/>
            <w:r w:rsidRPr="00942FE7">
              <w:rPr>
                <w:szCs w:val="24"/>
              </w:rPr>
              <w:t>/</w:t>
            </w:r>
            <w:proofErr w:type="spellStart"/>
            <w:r w:rsidRPr="00942FE7">
              <w:rPr>
                <w:szCs w:val="24"/>
              </w:rPr>
              <w:t>MenC</w:t>
            </w:r>
            <w:proofErr w:type="spellEnd"/>
            <w:r w:rsidRPr="00942FE7">
              <w:rPr>
                <w:szCs w:val="24"/>
              </w:rPr>
              <w:t xml:space="preserve"> booster vaccination coverage (2 and 5 year olds)</w:t>
            </w:r>
          </w:p>
        </w:tc>
      </w:tr>
      <w:tr w:rsidR="00534CCD" w:rsidRPr="0053498E" w:rsidTr="00E00754">
        <w:trPr>
          <w:trHeight w:val="262"/>
        </w:trPr>
        <w:tc>
          <w:tcPr>
            <w:tcW w:w="1841" w:type="dxa"/>
          </w:tcPr>
          <w:p w:rsidR="00534CCD" w:rsidRPr="00942FE7" w:rsidRDefault="00534CCD" w:rsidP="00534CCD">
            <w:pPr>
              <w:shd w:val="clear" w:color="auto" w:fill="FFFFFF" w:themeFill="background1"/>
              <w:tabs>
                <w:tab w:val="left" w:pos="-1526"/>
              </w:tabs>
              <w:ind w:right="-108"/>
              <w:jc w:val="center"/>
              <w:rPr>
                <w:szCs w:val="24"/>
              </w:rPr>
            </w:pPr>
            <w:r w:rsidRPr="00942FE7">
              <w:rPr>
                <w:szCs w:val="24"/>
              </w:rPr>
              <w:t>3.03 vii</w:t>
            </w:r>
          </w:p>
        </w:tc>
        <w:tc>
          <w:tcPr>
            <w:tcW w:w="8223" w:type="dxa"/>
          </w:tcPr>
          <w:p w:rsidR="00534CCD" w:rsidRPr="00942FE7" w:rsidRDefault="00534CCD" w:rsidP="00534CCD">
            <w:pPr>
              <w:shd w:val="clear" w:color="auto" w:fill="FFFFFF" w:themeFill="background1"/>
              <w:rPr>
                <w:szCs w:val="24"/>
              </w:rPr>
            </w:pPr>
            <w:r w:rsidRPr="00942FE7">
              <w:rPr>
                <w:szCs w:val="24"/>
              </w:rPr>
              <w:t>PCV booster vaccination coverage (2 year olds)</w:t>
            </w:r>
          </w:p>
        </w:tc>
      </w:tr>
      <w:tr w:rsidR="00534CCD" w:rsidRPr="0053498E" w:rsidTr="00E00754">
        <w:trPr>
          <w:trHeight w:val="262"/>
        </w:trPr>
        <w:tc>
          <w:tcPr>
            <w:tcW w:w="1841" w:type="dxa"/>
          </w:tcPr>
          <w:p w:rsidR="00534CCD" w:rsidRPr="00942FE7" w:rsidRDefault="00534CCD" w:rsidP="00534CCD">
            <w:pPr>
              <w:shd w:val="clear" w:color="auto" w:fill="FFFFFF" w:themeFill="background1"/>
              <w:tabs>
                <w:tab w:val="left" w:pos="-1526"/>
              </w:tabs>
              <w:ind w:right="-108"/>
              <w:jc w:val="center"/>
              <w:rPr>
                <w:szCs w:val="24"/>
              </w:rPr>
            </w:pPr>
            <w:r w:rsidRPr="00942FE7">
              <w:rPr>
                <w:szCs w:val="24"/>
              </w:rPr>
              <w:t>3.03 viii</w:t>
            </w:r>
          </w:p>
        </w:tc>
        <w:tc>
          <w:tcPr>
            <w:tcW w:w="8223" w:type="dxa"/>
          </w:tcPr>
          <w:p w:rsidR="00534CCD" w:rsidRPr="00942FE7" w:rsidRDefault="00534CCD" w:rsidP="00534CCD">
            <w:pPr>
              <w:shd w:val="clear" w:color="auto" w:fill="FFFFFF" w:themeFill="background1"/>
              <w:rPr>
                <w:szCs w:val="24"/>
              </w:rPr>
            </w:pPr>
            <w:r w:rsidRPr="00942FE7">
              <w:rPr>
                <w:szCs w:val="24"/>
              </w:rPr>
              <w:t>MMR vaccination coverage for one dose (2 year olds)</w:t>
            </w:r>
          </w:p>
        </w:tc>
      </w:tr>
      <w:tr w:rsidR="00534CCD" w:rsidRPr="0053498E" w:rsidTr="00E00754">
        <w:trPr>
          <w:trHeight w:val="262"/>
        </w:trPr>
        <w:tc>
          <w:tcPr>
            <w:tcW w:w="1841" w:type="dxa"/>
          </w:tcPr>
          <w:p w:rsidR="00534CCD" w:rsidRPr="00942FE7" w:rsidRDefault="00534CCD" w:rsidP="00534CCD">
            <w:pPr>
              <w:shd w:val="clear" w:color="auto" w:fill="FFFFFF" w:themeFill="background1"/>
              <w:tabs>
                <w:tab w:val="left" w:pos="-1526"/>
              </w:tabs>
              <w:ind w:right="-108"/>
              <w:jc w:val="center"/>
              <w:rPr>
                <w:szCs w:val="24"/>
              </w:rPr>
            </w:pPr>
            <w:r w:rsidRPr="00942FE7">
              <w:rPr>
                <w:szCs w:val="24"/>
              </w:rPr>
              <w:t>3.03 ix</w:t>
            </w:r>
          </w:p>
        </w:tc>
        <w:tc>
          <w:tcPr>
            <w:tcW w:w="8223" w:type="dxa"/>
          </w:tcPr>
          <w:p w:rsidR="00534CCD" w:rsidRPr="00942FE7" w:rsidRDefault="00534CCD" w:rsidP="00534CCD">
            <w:pPr>
              <w:shd w:val="clear" w:color="auto" w:fill="FFFFFF" w:themeFill="background1"/>
              <w:rPr>
                <w:szCs w:val="24"/>
              </w:rPr>
            </w:pPr>
            <w:r w:rsidRPr="00942FE7">
              <w:rPr>
                <w:szCs w:val="24"/>
              </w:rPr>
              <w:t>MMR vaccination coverage for one dose (5 year olds)</w:t>
            </w:r>
          </w:p>
        </w:tc>
      </w:tr>
      <w:tr w:rsidR="00534CCD" w:rsidRPr="0053498E" w:rsidTr="00E00754">
        <w:trPr>
          <w:trHeight w:val="262"/>
        </w:trPr>
        <w:tc>
          <w:tcPr>
            <w:tcW w:w="1841" w:type="dxa"/>
          </w:tcPr>
          <w:p w:rsidR="00534CCD" w:rsidRPr="00942FE7" w:rsidRDefault="00534CCD" w:rsidP="00534CCD">
            <w:pPr>
              <w:shd w:val="clear" w:color="auto" w:fill="FFFFFF" w:themeFill="background1"/>
              <w:tabs>
                <w:tab w:val="left" w:pos="-1526"/>
              </w:tabs>
              <w:ind w:right="-108"/>
              <w:jc w:val="center"/>
              <w:rPr>
                <w:szCs w:val="24"/>
              </w:rPr>
            </w:pPr>
            <w:r w:rsidRPr="00942FE7">
              <w:rPr>
                <w:szCs w:val="24"/>
              </w:rPr>
              <w:t>3.03 x</w:t>
            </w:r>
          </w:p>
        </w:tc>
        <w:tc>
          <w:tcPr>
            <w:tcW w:w="8223" w:type="dxa"/>
          </w:tcPr>
          <w:p w:rsidR="00534CCD" w:rsidRPr="00942FE7" w:rsidRDefault="00534CCD" w:rsidP="00534CCD">
            <w:pPr>
              <w:shd w:val="clear" w:color="auto" w:fill="FFFFFF" w:themeFill="background1"/>
              <w:rPr>
                <w:szCs w:val="24"/>
              </w:rPr>
            </w:pPr>
            <w:r w:rsidRPr="00942FE7">
              <w:rPr>
                <w:szCs w:val="24"/>
              </w:rPr>
              <w:t>MMR vaccination coverage for two doses (5 year olds)</w:t>
            </w:r>
          </w:p>
        </w:tc>
      </w:tr>
      <w:tr w:rsidR="00534CCD" w:rsidRPr="0053498E" w:rsidTr="00E00754">
        <w:trPr>
          <w:trHeight w:val="262"/>
        </w:trPr>
        <w:tc>
          <w:tcPr>
            <w:tcW w:w="1841" w:type="dxa"/>
          </w:tcPr>
          <w:p w:rsidR="00534CCD" w:rsidRPr="00942FE7" w:rsidRDefault="00534CCD" w:rsidP="00534CCD">
            <w:pPr>
              <w:shd w:val="clear" w:color="auto" w:fill="FFFFFF" w:themeFill="background1"/>
              <w:tabs>
                <w:tab w:val="left" w:pos="-1526"/>
              </w:tabs>
              <w:ind w:right="-108"/>
              <w:jc w:val="center"/>
              <w:rPr>
                <w:szCs w:val="24"/>
              </w:rPr>
            </w:pPr>
            <w:r w:rsidRPr="00942FE7">
              <w:rPr>
                <w:szCs w:val="24"/>
              </w:rPr>
              <w:t>3.03 xii</w:t>
            </w:r>
          </w:p>
        </w:tc>
        <w:tc>
          <w:tcPr>
            <w:tcW w:w="8223" w:type="dxa"/>
          </w:tcPr>
          <w:p w:rsidR="00534CCD" w:rsidRPr="00942FE7" w:rsidRDefault="00534CCD" w:rsidP="00534CCD">
            <w:pPr>
              <w:shd w:val="clear" w:color="auto" w:fill="FFFFFF" w:themeFill="background1"/>
              <w:rPr>
                <w:szCs w:val="24"/>
              </w:rPr>
            </w:pPr>
            <w:r w:rsidRPr="00942FE7">
              <w:rPr>
                <w:szCs w:val="24"/>
              </w:rPr>
              <w:t>HPV vaccination coverage (females 12-13 year olds)</w:t>
            </w:r>
          </w:p>
        </w:tc>
      </w:tr>
      <w:tr w:rsidR="00534CCD" w:rsidRPr="0053498E" w:rsidTr="00E00754">
        <w:trPr>
          <w:trHeight w:val="262"/>
        </w:trPr>
        <w:tc>
          <w:tcPr>
            <w:tcW w:w="1841" w:type="dxa"/>
          </w:tcPr>
          <w:p w:rsidR="00534CCD" w:rsidRPr="00942FE7" w:rsidRDefault="00534CCD" w:rsidP="00534CCD">
            <w:pPr>
              <w:shd w:val="clear" w:color="auto" w:fill="FFFFFF" w:themeFill="background1"/>
              <w:tabs>
                <w:tab w:val="left" w:pos="-1526"/>
              </w:tabs>
              <w:ind w:right="-108"/>
              <w:jc w:val="center"/>
              <w:rPr>
                <w:szCs w:val="24"/>
              </w:rPr>
            </w:pPr>
            <w:r w:rsidRPr="00942FE7">
              <w:rPr>
                <w:szCs w:val="24"/>
              </w:rPr>
              <w:t>3.03 xiii</w:t>
            </w:r>
          </w:p>
        </w:tc>
        <w:tc>
          <w:tcPr>
            <w:tcW w:w="8223" w:type="dxa"/>
          </w:tcPr>
          <w:p w:rsidR="00534CCD" w:rsidRPr="00942FE7" w:rsidRDefault="00534CCD" w:rsidP="00534CCD">
            <w:pPr>
              <w:shd w:val="clear" w:color="auto" w:fill="FFFFFF" w:themeFill="background1"/>
              <w:rPr>
                <w:szCs w:val="24"/>
              </w:rPr>
            </w:pPr>
            <w:r w:rsidRPr="00942FE7">
              <w:rPr>
                <w:szCs w:val="24"/>
              </w:rPr>
              <w:t>PPV vaccination coverage (aged 65 and over)</w:t>
            </w:r>
          </w:p>
        </w:tc>
      </w:tr>
      <w:tr w:rsidR="00534CCD" w:rsidRPr="0053498E" w:rsidTr="00E00754">
        <w:trPr>
          <w:trHeight w:val="262"/>
        </w:trPr>
        <w:tc>
          <w:tcPr>
            <w:tcW w:w="1841" w:type="dxa"/>
          </w:tcPr>
          <w:p w:rsidR="00534CCD" w:rsidRPr="00942FE7" w:rsidRDefault="00534CCD" w:rsidP="00534CCD">
            <w:pPr>
              <w:shd w:val="clear" w:color="auto" w:fill="FFFFFF" w:themeFill="background1"/>
              <w:tabs>
                <w:tab w:val="left" w:pos="-1526"/>
              </w:tabs>
              <w:ind w:right="-108"/>
              <w:jc w:val="center"/>
              <w:rPr>
                <w:szCs w:val="24"/>
              </w:rPr>
            </w:pPr>
            <w:r w:rsidRPr="00942FE7">
              <w:rPr>
                <w:szCs w:val="24"/>
              </w:rPr>
              <w:t>3.03 xiv</w:t>
            </w:r>
          </w:p>
        </w:tc>
        <w:tc>
          <w:tcPr>
            <w:tcW w:w="8223" w:type="dxa"/>
          </w:tcPr>
          <w:p w:rsidR="00534CCD" w:rsidRPr="00942FE7" w:rsidRDefault="00534CCD" w:rsidP="00534CCD">
            <w:pPr>
              <w:shd w:val="clear" w:color="auto" w:fill="FFFFFF" w:themeFill="background1"/>
              <w:rPr>
                <w:szCs w:val="24"/>
              </w:rPr>
            </w:pPr>
            <w:r w:rsidRPr="00942FE7">
              <w:rPr>
                <w:szCs w:val="24"/>
              </w:rPr>
              <w:t>Flu vaccination coverage (aged 65 and over)</w:t>
            </w:r>
          </w:p>
        </w:tc>
      </w:tr>
      <w:tr w:rsidR="001B6A41" w:rsidRPr="003C73BD" w:rsidTr="00CF4AB1">
        <w:trPr>
          <w:trHeight w:val="262"/>
        </w:trPr>
        <w:tc>
          <w:tcPr>
            <w:tcW w:w="1841" w:type="dxa"/>
            <w:tcBorders>
              <w:bottom w:val="nil"/>
            </w:tcBorders>
          </w:tcPr>
          <w:p w:rsidR="00534CCD" w:rsidRPr="003C73BD" w:rsidRDefault="00534CCD" w:rsidP="00534CCD">
            <w:pPr>
              <w:shd w:val="clear" w:color="auto" w:fill="FFFFFF" w:themeFill="background1"/>
              <w:tabs>
                <w:tab w:val="left" w:pos="-1526"/>
              </w:tabs>
              <w:ind w:right="-108"/>
              <w:jc w:val="center"/>
              <w:rPr>
                <w:szCs w:val="24"/>
              </w:rPr>
            </w:pPr>
            <w:r w:rsidRPr="003C73BD">
              <w:rPr>
                <w:szCs w:val="24"/>
              </w:rPr>
              <w:lastRenderedPageBreak/>
              <w:t>3.03 xv</w:t>
            </w:r>
          </w:p>
        </w:tc>
        <w:tc>
          <w:tcPr>
            <w:tcW w:w="8223" w:type="dxa"/>
            <w:tcBorders>
              <w:bottom w:val="nil"/>
            </w:tcBorders>
          </w:tcPr>
          <w:p w:rsidR="00534CCD" w:rsidRPr="003C73BD" w:rsidRDefault="00534CCD" w:rsidP="00534CCD">
            <w:pPr>
              <w:shd w:val="clear" w:color="auto" w:fill="FFFFFF" w:themeFill="background1"/>
              <w:rPr>
                <w:szCs w:val="24"/>
              </w:rPr>
            </w:pPr>
            <w:r w:rsidRPr="003C73BD">
              <w:rPr>
                <w:szCs w:val="24"/>
              </w:rPr>
              <w:t>Flu vaccination coverage (at risk individuals from age six months to under 65 years, excluding pregnant women)</w:t>
            </w:r>
          </w:p>
        </w:tc>
      </w:tr>
      <w:tr w:rsidR="003F7581" w:rsidRPr="003C73BD" w:rsidTr="00CF4AB1">
        <w:trPr>
          <w:trHeight w:val="262"/>
        </w:trPr>
        <w:tc>
          <w:tcPr>
            <w:tcW w:w="1841" w:type="dxa"/>
            <w:tcBorders>
              <w:bottom w:val="nil"/>
            </w:tcBorders>
          </w:tcPr>
          <w:p w:rsidR="003F7581" w:rsidRPr="003C73BD" w:rsidRDefault="003F7581" w:rsidP="003F7581">
            <w:pPr>
              <w:shd w:val="clear" w:color="auto" w:fill="FFFFFF" w:themeFill="background1"/>
              <w:tabs>
                <w:tab w:val="left" w:pos="-1526"/>
              </w:tabs>
              <w:ind w:right="-108"/>
              <w:jc w:val="center"/>
              <w:rPr>
                <w:i/>
                <w:strike/>
                <w:szCs w:val="24"/>
              </w:rPr>
            </w:pPr>
            <w:r w:rsidRPr="003C73BD">
              <w:rPr>
                <w:i/>
                <w:strike/>
                <w:szCs w:val="24"/>
              </w:rPr>
              <w:t>4.01</w:t>
            </w:r>
          </w:p>
        </w:tc>
        <w:tc>
          <w:tcPr>
            <w:tcW w:w="8223" w:type="dxa"/>
            <w:tcBorders>
              <w:bottom w:val="nil"/>
            </w:tcBorders>
          </w:tcPr>
          <w:p w:rsidR="003F7581" w:rsidRPr="003C73BD" w:rsidRDefault="003F7581" w:rsidP="003F7581">
            <w:pPr>
              <w:shd w:val="clear" w:color="auto" w:fill="FFFFFF" w:themeFill="background1"/>
              <w:rPr>
                <w:i/>
                <w:strike/>
                <w:szCs w:val="24"/>
              </w:rPr>
            </w:pPr>
            <w:r w:rsidRPr="003C73BD">
              <w:rPr>
                <w:i/>
                <w:strike/>
                <w:szCs w:val="24"/>
              </w:rPr>
              <w:t>Crude rate of infant deaths (persons aged &lt; 1 year) per 1,000 live births</w:t>
            </w:r>
          </w:p>
        </w:tc>
      </w:tr>
      <w:tr w:rsidR="003F7581" w:rsidRPr="003C73BD" w:rsidTr="00CF4AB1">
        <w:trPr>
          <w:trHeight w:val="262"/>
        </w:trPr>
        <w:tc>
          <w:tcPr>
            <w:tcW w:w="1841" w:type="dxa"/>
            <w:tcBorders>
              <w:bottom w:val="nil"/>
            </w:tcBorders>
          </w:tcPr>
          <w:p w:rsidR="003F7581" w:rsidRPr="003C73BD" w:rsidRDefault="003F7581" w:rsidP="003F7581">
            <w:pPr>
              <w:shd w:val="clear" w:color="auto" w:fill="FFFFFF" w:themeFill="background1"/>
              <w:tabs>
                <w:tab w:val="left" w:pos="-1526"/>
              </w:tabs>
              <w:ind w:right="-108"/>
              <w:jc w:val="center"/>
              <w:rPr>
                <w:i/>
                <w:strike/>
                <w:szCs w:val="24"/>
              </w:rPr>
            </w:pPr>
            <w:r w:rsidRPr="003C73BD">
              <w:rPr>
                <w:i/>
                <w:strike/>
                <w:szCs w:val="24"/>
              </w:rPr>
              <w:t>4.03</w:t>
            </w:r>
          </w:p>
        </w:tc>
        <w:tc>
          <w:tcPr>
            <w:tcW w:w="8223" w:type="dxa"/>
            <w:tcBorders>
              <w:bottom w:val="nil"/>
            </w:tcBorders>
          </w:tcPr>
          <w:p w:rsidR="003F7581" w:rsidRPr="003C73BD" w:rsidRDefault="003F7581" w:rsidP="003F7581">
            <w:pPr>
              <w:shd w:val="clear" w:color="auto" w:fill="FFFFFF" w:themeFill="background1"/>
              <w:rPr>
                <w:i/>
                <w:strike/>
                <w:szCs w:val="24"/>
              </w:rPr>
            </w:pPr>
            <w:r w:rsidRPr="003C73BD">
              <w:rPr>
                <w:i/>
                <w:strike/>
                <w:szCs w:val="24"/>
              </w:rPr>
              <w:t>Age-standardised rate of mortality from causes considered preventable per 100,000 population</w:t>
            </w:r>
          </w:p>
        </w:tc>
      </w:tr>
      <w:tr w:rsidR="003F7581" w:rsidRPr="003C73BD" w:rsidTr="00CF4AB1">
        <w:trPr>
          <w:trHeight w:val="262"/>
        </w:trPr>
        <w:tc>
          <w:tcPr>
            <w:tcW w:w="1841" w:type="dxa"/>
            <w:tcBorders>
              <w:bottom w:val="nil"/>
            </w:tcBorders>
          </w:tcPr>
          <w:p w:rsidR="003F7581" w:rsidRPr="003C73BD" w:rsidRDefault="003F7581" w:rsidP="003F7581">
            <w:pPr>
              <w:shd w:val="clear" w:color="auto" w:fill="FFFFFF" w:themeFill="background1"/>
              <w:tabs>
                <w:tab w:val="left" w:pos="-1526"/>
              </w:tabs>
              <w:ind w:right="-108"/>
              <w:jc w:val="center"/>
              <w:rPr>
                <w:i/>
                <w:strike/>
                <w:szCs w:val="24"/>
              </w:rPr>
            </w:pPr>
            <w:r w:rsidRPr="003C73BD">
              <w:rPr>
                <w:i/>
                <w:strike/>
                <w:szCs w:val="24"/>
              </w:rPr>
              <w:t xml:space="preserve">4.04 </w:t>
            </w:r>
            <w:proofErr w:type="spellStart"/>
            <w:r w:rsidRPr="003C73BD">
              <w:rPr>
                <w:i/>
                <w:strike/>
                <w:szCs w:val="24"/>
              </w:rPr>
              <w:t>i</w:t>
            </w:r>
            <w:proofErr w:type="spellEnd"/>
          </w:p>
        </w:tc>
        <w:tc>
          <w:tcPr>
            <w:tcW w:w="8223" w:type="dxa"/>
            <w:tcBorders>
              <w:bottom w:val="nil"/>
            </w:tcBorders>
          </w:tcPr>
          <w:p w:rsidR="003F7581" w:rsidRPr="003C73BD" w:rsidRDefault="003F7581" w:rsidP="003F7581">
            <w:pPr>
              <w:shd w:val="clear" w:color="auto" w:fill="FFFFFF" w:themeFill="background1"/>
              <w:rPr>
                <w:i/>
                <w:strike/>
                <w:szCs w:val="24"/>
              </w:rPr>
            </w:pPr>
            <w:r w:rsidRPr="003C73BD">
              <w:rPr>
                <w:i/>
                <w:strike/>
                <w:szCs w:val="24"/>
              </w:rPr>
              <w:t>Age-standard rate of mortality cardiovascular diseases (including heart disease and stroke) &lt;  75 years of age per 100,000 population</w:t>
            </w:r>
          </w:p>
        </w:tc>
      </w:tr>
      <w:tr w:rsidR="003F7581" w:rsidRPr="003C73BD" w:rsidTr="00CF4AB1">
        <w:trPr>
          <w:trHeight w:val="262"/>
        </w:trPr>
        <w:tc>
          <w:tcPr>
            <w:tcW w:w="1841" w:type="dxa"/>
            <w:tcBorders>
              <w:bottom w:val="nil"/>
            </w:tcBorders>
          </w:tcPr>
          <w:p w:rsidR="003F7581" w:rsidRPr="003C73BD" w:rsidRDefault="003F7581" w:rsidP="003F7581">
            <w:pPr>
              <w:shd w:val="clear" w:color="auto" w:fill="FFFFFF" w:themeFill="background1"/>
              <w:tabs>
                <w:tab w:val="left" w:pos="-1526"/>
              </w:tabs>
              <w:ind w:right="-108"/>
              <w:jc w:val="center"/>
              <w:rPr>
                <w:i/>
                <w:strike/>
                <w:szCs w:val="24"/>
              </w:rPr>
            </w:pPr>
            <w:r w:rsidRPr="003C73BD">
              <w:rPr>
                <w:i/>
                <w:strike/>
                <w:szCs w:val="24"/>
              </w:rPr>
              <w:t>4.04 ii</w:t>
            </w:r>
          </w:p>
        </w:tc>
        <w:tc>
          <w:tcPr>
            <w:tcW w:w="8223" w:type="dxa"/>
            <w:tcBorders>
              <w:bottom w:val="nil"/>
            </w:tcBorders>
          </w:tcPr>
          <w:p w:rsidR="003F7581" w:rsidRPr="003C73BD" w:rsidRDefault="003F7581" w:rsidP="003F7581">
            <w:pPr>
              <w:shd w:val="clear" w:color="auto" w:fill="FFFFFF" w:themeFill="background1"/>
              <w:rPr>
                <w:i/>
                <w:strike/>
                <w:szCs w:val="24"/>
              </w:rPr>
            </w:pPr>
            <w:r w:rsidRPr="003C73BD">
              <w:rPr>
                <w:i/>
                <w:strike/>
                <w:szCs w:val="24"/>
              </w:rPr>
              <w:t>Age-standard rate of mortality preventable cardiovascular disease (including heart disease and stroke) &lt;  75 years of age per 100,000 population</w:t>
            </w:r>
          </w:p>
        </w:tc>
      </w:tr>
      <w:tr w:rsidR="003F7581" w:rsidRPr="003C73BD" w:rsidTr="00CF4AB1">
        <w:trPr>
          <w:trHeight w:val="262"/>
        </w:trPr>
        <w:tc>
          <w:tcPr>
            <w:tcW w:w="1841" w:type="dxa"/>
            <w:tcBorders>
              <w:bottom w:val="nil"/>
            </w:tcBorders>
          </w:tcPr>
          <w:p w:rsidR="003F7581" w:rsidRPr="003C73BD" w:rsidRDefault="003F7581" w:rsidP="003F7581">
            <w:pPr>
              <w:shd w:val="clear" w:color="auto" w:fill="FFFFFF" w:themeFill="background1"/>
              <w:tabs>
                <w:tab w:val="left" w:pos="-1526"/>
              </w:tabs>
              <w:ind w:right="-108"/>
              <w:jc w:val="center"/>
              <w:rPr>
                <w:i/>
                <w:strike/>
                <w:szCs w:val="24"/>
              </w:rPr>
            </w:pPr>
            <w:r w:rsidRPr="003C73BD">
              <w:rPr>
                <w:i/>
                <w:strike/>
                <w:szCs w:val="24"/>
              </w:rPr>
              <w:t xml:space="preserve">4.05 </w:t>
            </w:r>
            <w:proofErr w:type="spellStart"/>
            <w:r w:rsidRPr="003C73BD">
              <w:rPr>
                <w:i/>
                <w:strike/>
                <w:szCs w:val="24"/>
              </w:rPr>
              <w:t>i</w:t>
            </w:r>
            <w:proofErr w:type="spellEnd"/>
          </w:p>
        </w:tc>
        <w:tc>
          <w:tcPr>
            <w:tcW w:w="8223" w:type="dxa"/>
            <w:tcBorders>
              <w:bottom w:val="nil"/>
            </w:tcBorders>
          </w:tcPr>
          <w:p w:rsidR="003F7581" w:rsidRPr="003C73BD" w:rsidRDefault="003F7581" w:rsidP="003F7581">
            <w:pPr>
              <w:shd w:val="clear" w:color="auto" w:fill="FFFFFF" w:themeFill="background1"/>
              <w:rPr>
                <w:i/>
                <w:strike/>
                <w:szCs w:val="24"/>
              </w:rPr>
            </w:pPr>
            <w:r w:rsidRPr="003C73BD">
              <w:rPr>
                <w:i/>
                <w:strike/>
                <w:szCs w:val="24"/>
              </w:rPr>
              <w:t>Age-standardised rate of mortality from all cancers in persons less than 75 years of age per 100,000 population</w:t>
            </w:r>
          </w:p>
        </w:tc>
      </w:tr>
      <w:tr w:rsidR="003F7581" w:rsidRPr="003C73BD" w:rsidTr="00CF4AB1">
        <w:trPr>
          <w:trHeight w:val="262"/>
        </w:trPr>
        <w:tc>
          <w:tcPr>
            <w:tcW w:w="1841" w:type="dxa"/>
            <w:tcBorders>
              <w:bottom w:val="nil"/>
            </w:tcBorders>
          </w:tcPr>
          <w:p w:rsidR="003F7581" w:rsidRPr="003C73BD" w:rsidRDefault="003F7581" w:rsidP="003F7581">
            <w:pPr>
              <w:shd w:val="clear" w:color="auto" w:fill="FFFFFF" w:themeFill="background1"/>
              <w:tabs>
                <w:tab w:val="left" w:pos="-1526"/>
              </w:tabs>
              <w:ind w:right="-108"/>
              <w:jc w:val="center"/>
              <w:rPr>
                <w:i/>
                <w:strike/>
                <w:szCs w:val="24"/>
              </w:rPr>
            </w:pPr>
            <w:r w:rsidRPr="003C73BD">
              <w:rPr>
                <w:i/>
                <w:strike/>
                <w:szCs w:val="24"/>
              </w:rPr>
              <w:t>4.05 ii</w:t>
            </w:r>
          </w:p>
        </w:tc>
        <w:tc>
          <w:tcPr>
            <w:tcW w:w="8223" w:type="dxa"/>
            <w:tcBorders>
              <w:bottom w:val="nil"/>
            </w:tcBorders>
          </w:tcPr>
          <w:p w:rsidR="003F7581" w:rsidRPr="003C73BD" w:rsidRDefault="003F7581" w:rsidP="003F7581">
            <w:pPr>
              <w:shd w:val="clear" w:color="auto" w:fill="FFFFFF" w:themeFill="background1"/>
              <w:rPr>
                <w:i/>
                <w:strike/>
                <w:szCs w:val="24"/>
              </w:rPr>
            </w:pPr>
            <w:r w:rsidRPr="003C73BD">
              <w:rPr>
                <w:i/>
                <w:strike/>
                <w:szCs w:val="24"/>
              </w:rPr>
              <w:t>Age-standardised rate of mortality that is considered preventable from all cancers in persons less than 75 years of age per 100,000 population</w:t>
            </w:r>
          </w:p>
        </w:tc>
      </w:tr>
      <w:tr w:rsidR="003F7581" w:rsidRPr="003C73BD" w:rsidTr="00CF4AB1">
        <w:trPr>
          <w:trHeight w:val="262"/>
        </w:trPr>
        <w:tc>
          <w:tcPr>
            <w:tcW w:w="1841" w:type="dxa"/>
            <w:tcBorders>
              <w:bottom w:val="nil"/>
            </w:tcBorders>
          </w:tcPr>
          <w:p w:rsidR="003F7581" w:rsidRPr="003C73BD" w:rsidRDefault="003F7581" w:rsidP="003F7581">
            <w:pPr>
              <w:shd w:val="clear" w:color="auto" w:fill="FFFFFF" w:themeFill="background1"/>
              <w:tabs>
                <w:tab w:val="left" w:pos="-1526"/>
              </w:tabs>
              <w:ind w:right="-108"/>
              <w:jc w:val="center"/>
              <w:rPr>
                <w:i/>
                <w:strike/>
                <w:szCs w:val="24"/>
              </w:rPr>
            </w:pPr>
            <w:r w:rsidRPr="003C73BD">
              <w:rPr>
                <w:i/>
                <w:strike/>
                <w:szCs w:val="24"/>
              </w:rPr>
              <w:t xml:space="preserve">4.06 </w:t>
            </w:r>
            <w:proofErr w:type="spellStart"/>
            <w:r w:rsidRPr="003C73BD">
              <w:rPr>
                <w:i/>
                <w:strike/>
                <w:szCs w:val="24"/>
              </w:rPr>
              <w:t>i</w:t>
            </w:r>
            <w:proofErr w:type="spellEnd"/>
          </w:p>
        </w:tc>
        <w:tc>
          <w:tcPr>
            <w:tcW w:w="8223" w:type="dxa"/>
            <w:tcBorders>
              <w:bottom w:val="nil"/>
            </w:tcBorders>
          </w:tcPr>
          <w:p w:rsidR="003F7581" w:rsidRPr="003C73BD" w:rsidRDefault="003F7581" w:rsidP="003F7581">
            <w:pPr>
              <w:shd w:val="clear" w:color="auto" w:fill="FFFFFF" w:themeFill="background1"/>
              <w:rPr>
                <w:i/>
                <w:strike/>
                <w:szCs w:val="24"/>
              </w:rPr>
            </w:pPr>
            <w:r w:rsidRPr="003C73BD">
              <w:rPr>
                <w:i/>
                <w:strike/>
                <w:szCs w:val="24"/>
              </w:rPr>
              <w:t>Age-standardised rate of mortality from liver disease in persons less than 75 years of age per 100,000 population</w:t>
            </w:r>
          </w:p>
        </w:tc>
      </w:tr>
      <w:tr w:rsidR="003F7581" w:rsidRPr="003C73BD" w:rsidTr="00CF4AB1">
        <w:trPr>
          <w:trHeight w:val="262"/>
        </w:trPr>
        <w:tc>
          <w:tcPr>
            <w:tcW w:w="1841" w:type="dxa"/>
            <w:tcBorders>
              <w:bottom w:val="nil"/>
            </w:tcBorders>
          </w:tcPr>
          <w:p w:rsidR="003F7581" w:rsidRPr="003C73BD" w:rsidRDefault="003F7581" w:rsidP="003F7581">
            <w:pPr>
              <w:shd w:val="clear" w:color="auto" w:fill="FFFFFF" w:themeFill="background1"/>
              <w:tabs>
                <w:tab w:val="left" w:pos="-1526"/>
              </w:tabs>
              <w:ind w:right="-108"/>
              <w:jc w:val="center"/>
              <w:rPr>
                <w:i/>
                <w:strike/>
                <w:szCs w:val="24"/>
              </w:rPr>
            </w:pPr>
            <w:r w:rsidRPr="003C73BD">
              <w:rPr>
                <w:i/>
                <w:strike/>
                <w:szCs w:val="24"/>
              </w:rPr>
              <w:t>4.06 ii</w:t>
            </w:r>
          </w:p>
        </w:tc>
        <w:tc>
          <w:tcPr>
            <w:tcW w:w="8223" w:type="dxa"/>
            <w:tcBorders>
              <w:bottom w:val="nil"/>
            </w:tcBorders>
          </w:tcPr>
          <w:p w:rsidR="003F7581" w:rsidRPr="003C73BD" w:rsidRDefault="003F7581" w:rsidP="003F7581">
            <w:pPr>
              <w:shd w:val="clear" w:color="auto" w:fill="FFFFFF" w:themeFill="background1"/>
              <w:rPr>
                <w:i/>
                <w:strike/>
                <w:szCs w:val="24"/>
              </w:rPr>
            </w:pPr>
            <w:r w:rsidRPr="003C73BD">
              <w:rPr>
                <w:i/>
                <w:strike/>
                <w:szCs w:val="24"/>
              </w:rPr>
              <w:t>Age-standardised rate of mortality that is considered preventable from liver disease in persons less than 75 years of age per 100,000 population</w:t>
            </w:r>
          </w:p>
        </w:tc>
      </w:tr>
      <w:tr w:rsidR="003F7581" w:rsidRPr="003C73BD" w:rsidTr="00CF4AB1">
        <w:trPr>
          <w:trHeight w:val="262"/>
        </w:trPr>
        <w:tc>
          <w:tcPr>
            <w:tcW w:w="1841" w:type="dxa"/>
            <w:tcBorders>
              <w:bottom w:val="nil"/>
            </w:tcBorders>
          </w:tcPr>
          <w:p w:rsidR="003F7581" w:rsidRPr="003C73BD" w:rsidRDefault="003F7581" w:rsidP="003F7581">
            <w:pPr>
              <w:shd w:val="clear" w:color="auto" w:fill="FFFFFF" w:themeFill="background1"/>
              <w:tabs>
                <w:tab w:val="left" w:pos="-1526"/>
              </w:tabs>
              <w:ind w:right="-108"/>
              <w:jc w:val="center"/>
              <w:rPr>
                <w:i/>
                <w:strike/>
                <w:szCs w:val="24"/>
              </w:rPr>
            </w:pPr>
            <w:r w:rsidRPr="003C73BD">
              <w:rPr>
                <w:i/>
                <w:strike/>
                <w:szCs w:val="24"/>
              </w:rPr>
              <w:t xml:space="preserve">4.07 </w:t>
            </w:r>
            <w:proofErr w:type="spellStart"/>
            <w:r w:rsidRPr="003C73BD">
              <w:rPr>
                <w:i/>
                <w:strike/>
                <w:szCs w:val="24"/>
              </w:rPr>
              <w:t>i</w:t>
            </w:r>
            <w:proofErr w:type="spellEnd"/>
          </w:p>
        </w:tc>
        <w:tc>
          <w:tcPr>
            <w:tcW w:w="8223" w:type="dxa"/>
            <w:tcBorders>
              <w:bottom w:val="nil"/>
            </w:tcBorders>
          </w:tcPr>
          <w:p w:rsidR="003F7581" w:rsidRPr="003C73BD" w:rsidRDefault="003F7581" w:rsidP="003F7581">
            <w:pPr>
              <w:shd w:val="clear" w:color="auto" w:fill="FFFFFF" w:themeFill="background1"/>
              <w:rPr>
                <w:i/>
                <w:strike/>
                <w:szCs w:val="24"/>
              </w:rPr>
            </w:pPr>
            <w:r w:rsidRPr="003C73BD">
              <w:rPr>
                <w:i/>
                <w:strike/>
                <w:szCs w:val="24"/>
              </w:rPr>
              <w:t>Age-standardised rate of mortality from respiratory diseases in persons less than 75 years of age per 100,000 population</w:t>
            </w:r>
          </w:p>
        </w:tc>
      </w:tr>
      <w:tr w:rsidR="003F7581" w:rsidRPr="003C73BD" w:rsidTr="00CF4AB1">
        <w:trPr>
          <w:trHeight w:val="262"/>
        </w:trPr>
        <w:tc>
          <w:tcPr>
            <w:tcW w:w="1841" w:type="dxa"/>
            <w:tcBorders>
              <w:bottom w:val="nil"/>
            </w:tcBorders>
          </w:tcPr>
          <w:p w:rsidR="003F7581" w:rsidRPr="003C73BD" w:rsidRDefault="003F7581" w:rsidP="003F7581">
            <w:pPr>
              <w:shd w:val="clear" w:color="auto" w:fill="FFFFFF" w:themeFill="background1"/>
              <w:tabs>
                <w:tab w:val="left" w:pos="-1526"/>
              </w:tabs>
              <w:ind w:right="-108"/>
              <w:jc w:val="center"/>
              <w:rPr>
                <w:i/>
                <w:strike/>
                <w:szCs w:val="24"/>
              </w:rPr>
            </w:pPr>
            <w:r w:rsidRPr="003C73BD">
              <w:rPr>
                <w:i/>
                <w:strike/>
                <w:szCs w:val="24"/>
              </w:rPr>
              <w:t>4.07 ii</w:t>
            </w:r>
          </w:p>
        </w:tc>
        <w:tc>
          <w:tcPr>
            <w:tcW w:w="8223" w:type="dxa"/>
            <w:tcBorders>
              <w:bottom w:val="nil"/>
            </w:tcBorders>
          </w:tcPr>
          <w:p w:rsidR="003F7581" w:rsidRPr="003C73BD" w:rsidRDefault="003F7581" w:rsidP="003F7581">
            <w:pPr>
              <w:shd w:val="clear" w:color="auto" w:fill="FFFFFF" w:themeFill="background1"/>
              <w:rPr>
                <w:i/>
                <w:strike/>
                <w:szCs w:val="24"/>
              </w:rPr>
            </w:pPr>
            <w:r w:rsidRPr="003C73BD">
              <w:rPr>
                <w:i/>
                <w:strike/>
                <w:szCs w:val="24"/>
              </w:rPr>
              <w:t>Age-standardised rate of mortality that is considered preventable from respiratory diseases in persons &lt; 75 years of age per 100,000 population</w:t>
            </w:r>
          </w:p>
        </w:tc>
      </w:tr>
      <w:tr w:rsidR="003F7581" w:rsidRPr="003C73BD" w:rsidTr="00CF4AB1">
        <w:trPr>
          <w:trHeight w:val="262"/>
        </w:trPr>
        <w:tc>
          <w:tcPr>
            <w:tcW w:w="1841" w:type="dxa"/>
            <w:tcBorders>
              <w:bottom w:val="nil"/>
            </w:tcBorders>
          </w:tcPr>
          <w:p w:rsidR="003F7581" w:rsidRPr="003C73BD" w:rsidRDefault="003F7581" w:rsidP="003F7581">
            <w:pPr>
              <w:shd w:val="clear" w:color="auto" w:fill="FFFFFF" w:themeFill="background1"/>
              <w:tabs>
                <w:tab w:val="left" w:pos="-1526"/>
              </w:tabs>
              <w:ind w:right="-108"/>
              <w:jc w:val="center"/>
              <w:rPr>
                <w:i/>
                <w:strike/>
                <w:szCs w:val="24"/>
              </w:rPr>
            </w:pPr>
            <w:r w:rsidRPr="003C73BD">
              <w:rPr>
                <w:i/>
                <w:strike/>
                <w:szCs w:val="24"/>
              </w:rPr>
              <w:t>4.08</w:t>
            </w:r>
          </w:p>
        </w:tc>
        <w:tc>
          <w:tcPr>
            <w:tcW w:w="8223" w:type="dxa"/>
            <w:tcBorders>
              <w:bottom w:val="nil"/>
            </w:tcBorders>
          </w:tcPr>
          <w:p w:rsidR="003F7581" w:rsidRPr="003C73BD" w:rsidRDefault="003F7581" w:rsidP="003F7581">
            <w:pPr>
              <w:shd w:val="clear" w:color="auto" w:fill="FFFFFF" w:themeFill="background1"/>
              <w:rPr>
                <w:i/>
                <w:strike/>
                <w:szCs w:val="24"/>
              </w:rPr>
            </w:pPr>
            <w:r w:rsidRPr="003C73BD">
              <w:rPr>
                <w:i/>
                <w:strike/>
                <w:szCs w:val="24"/>
              </w:rPr>
              <w:t>Age-standardised mortality rate from certain infectious and parasitic diseases per 100,000 population</w:t>
            </w:r>
          </w:p>
        </w:tc>
      </w:tr>
      <w:tr w:rsidR="003F7581" w:rsidRPr="003C73BD" w:rsidTr="00CF4AB1">
        <w:trPr>
          <w:trHeight w:val="262"/>
        </w:trPr>
        <w:tc>
          <w:tcPr>
            <w:tcW w:w="1841" w:type="dxa"/>
            <w:tcBorders>
              <w:bottom w:val="nil"/>
            </w:tcBorders>
          </w:tcPr>
          <w:p w:rsidR="003F7581" w:rsidRPr="001B6A41" w:rsidRDefault="003F7581" w:rsidP="003F7581">
            <w:pPr>
              <w:shd w:val="clear" w:color="auto" w:fill="FFFFFF" w:themeFill="background1"/>
              <w:tabs>
                <w:tab w:val="left" w:pos="-1526"/>
              </w:tabs>
              <w:ind w:right="-108"/>
              <w:jc w:val="center"/>
              <w:rPr>
                <w:i/>
                <w:strike/>
                <w:szCs w:val="24"/>
              </w:rPr>
            </w:pPr>
            <w:r w:rsidRPr="001B6A41">
              <w:rPr>
                <w:i/>
                <w:strike/>
                <w:szCs w:val="24"/>
              </w:rPr>
              <w:t>4.10</w:t>
            </w:r>
          </w:p>
        </w:tc>
        <w:tc>
          <w:tcPr>
            <w:tcW w:w="8223" w:type="dxa"/>
            <w:tcBorders>
              <w:bottom w:val="nil"/>
            </w:tcBorders>
          </w:tcPr>
          <w:p w:rsidR="003F7581" w:rsidRPr="001B6A41" w:rsidRDefault="003F7581" w:rsidP="003F7581">
            <w:pPr>
              <w:shd w:val="clear" w:color="auto" w:fill="FFFFFF" w:themeFill="background1"/>
              <w:rPr>
                <w:i/>
                <w:strike/>
                <w:szCs w:val="24"/>
              </w:rPr>
            </w:pPr>
            <w:r w:rsidRPr="001B6A41">
              <w:rPr>
                <w:i/>
                <w:strike/>
                <w:szCs w:val="24"/>
              </w:rPr>
              <w:t>Age-standardised mortality rate from suicide and injury of undetermined intent per 100,000 population</w:t>
            </w:r>
          </w:p>
        </w:tc>
      </w:tr>
      <w:tr w:rsidR="003F7581" w:rsidRPr="003C73BD" w:rsidTr="003F7581">
        <w:trPr>
          <w:trHeight w:val="262"/>
        </w:trPr>
        <w:tc>
          <w:tcPr>
            <w:tcW w:w="1841" w:type="dxa"/>
            <w:tcBorders>
              <w:bottom w:val="single" w:sz="4" w:space="0" w:color="auto"/>
            </w:tcBorders>
          </w:tcPr>
          <w:p w:rsidR="003F7581" w:rsidRPr="001B6A41" w:rsidRDefault="003F7581" w:rsidP="003F7581">
            <w:pPr>
              <w:shd w:val="clear" w:color="auto" w:fill="FFFFFF" w:themeFill="background1"/>
              <w:tabs>
                <w:tab w:val="left" w:pos="-1526"/>
              </w:tabs>
              <w:ind w:right="-108"/>
              <w:jc w:val="center"/>
              <w:rPr>
                <w:i/>
                <w:strike/>
                <w:szCs w:val="24"/>
              </w:rPr>
            </w:pPr>
            <w:r w:rsidRPr="001B6A41">
              <w:rPr>
                <w:i/>
                <w:strike/>
                <w:szCs w:val="24"/>
              </w:rPr>
              <w:t>4.11</w:t>
            </w:r>
          </w:p>
        </w:tc>
        <w:tc>
          <w:tcPr>
            <w:tcW w:w="8223" w:type="dxa"/>
            <w:tcBorders>
              <w:bottom w:val="single" w:sz="4" w:space="0" w:color="auto"/>
            </w:tcBorders>
          </w:tcPr>
          <w:p w:rsidR="003F7581" w:rsidRPr="001B6A41" w:rsidRDefault="003F7581" w:rsidP="003F7581">
            <w:pPr>
              <w:shd w:val="clear" w:color="auto" w:fill="FFFFFF" w:themeFill="background1"/>
              <w:rPr>
                <w:i/>
                <w:strike/>
                <w:szCs w:val="24"/>
              </w:rPr>
            </w:pPr>
            <w:r w:rsidRPr="001B6A41">
              <w:rPr>
                <w:i/>
                <w:strike/>
                <w:szCs w:val="24"/>
              </w:rPr>
              <w:t>Indirectly standardised percentage of emergency admissions to any</w:t>
            </w:r>
          </w:p>
          <w:p w:rsidR="003F7581" w:rsidRPr="001B6A41" w:rsidRDefault="003F7581" w:rsidP="003F7581">
            <w:pPr>
              <w:shd w:val="clear" w:color="auto" w:fill="FFFFFF" w:themeFill="background1"/>
              <w:rPr>
                <w:i/>
                <w:strike/>
                <w:szCs w:val="24"/>
              </w:rPr>
            </w:pPr>
            <w:r w:rsidRPr="001B6A41">
              <w:rPr>
                <w:i/>
                <w:strike/>
                <w:szCs w:val="24"/>
              </w:rPr>
              <w:t>hospital in England occurring within 30 days of the last, previous discharge from hospital after admission</w:t>
            </w:r>
          </w:p>
        </w:tc>
      </w:tr>
      <w:tr w:rsidR="003F7581" w:rsidRPr="003C73BD" w:rsidTr="003F7581">
        <w:trPr>
          <w:trHeight w:val="262"/>
        </w:trPr>
        <w:tc>
          <w:tcPr>
            <w:tcW w:w="1841" w:type="dxa"/>
            <w:tcBorders>
              <w:bottom w:val="single" w:sz="4" w:space="0" w:color="auto"/>
            </w:tcBorders>
          </w:tcPr>
          <w:p w:rsidR="003F7581" w:rsidRPr="001B6A41" w:rsidRDefault="003F7581" w:rsidP="003F7581">
            <w:pPr>
              <w:shd w:val="clear" w:color="auto" w:fill="FFFFFF" w:themeFill="background1"/>
              <w:tabs>
                <w:tab w:val="left" w:pos="-1526"/>
              </w:tabs>
              <w:ind w:right="-108"/>
              <w:jc w:val="center"/>
              <w:rPr>
                <w:i/>
                <w:strike/>
                <w:szCs w:val="24"/>
              </w:rPr>
            </w:pPr>
            <w:r w:rsidRPr="001B6A41">
              <w:rPr>
                <w:i/>
                <w:strike/>
                <w:szCs w:val="24"/>
              </w:rPr>
              <w:t xml:space="preserve">4.14 </w:t>
            </w:r>
            <w:proofErr w:type="spellStart"/>
            <w:r w:rsidRPr="001B6A41">
              <w:rPr>
                <w:i/>
                <w:strike/>
                <w:szCs w:val="24"/>
              </w:rPr>
              <w:t>i</w:t>
            </w:r>
            <w:proofErr w:type="spellEnd"/>
          </w:p>
        </w:tc>
        <w:tc>
          <w:tcPr>
            <w:tcW w:w="8223" w:type="dxa"/>
            <w:tcBorders>
              <w:bottom w:val="single" w:sz="4" w:space="0" w:color="auto"/>
            </w:tcBorders>
          </w:tcPr>
          <w:p w:rsidR="003F7581" w:rsidRPr="001B6A41" w:rsidRDefault="003F7581" w:rsidP="003F7581">
            <w:pPr>
              <w:shd w:val="clear" w:color="auto" w:fill="FFFFFF" w:themeFill="background1"/>
              <w:rPr>
                <w:i/>
                <w:strike/>
                <w:szCs w:val="24"/>
              </w:rPr>
            </w:pPr>
            <w:r w:rsidRPr="001B6A41">
              <w:rPr>
                <w:i/>
                <w:strike/>
                <w:szCs w:val="24"/>
              </w:rPr>
              <w:t>Age-sex standardised rate of emergency admissions for fractured neck of femur in persons aged 65 and over per 100,000 population</w:t>
            </w:r>
          </w:p>
        </w:tc>
      </w:tr>
    </w:tbl>
    <w:p w:rsidR="001C74AB" w:rsidRDefault="00420B28" w:rsidP="00420B28">
      <w:pPr>
        <w:spacing w:before="0" w:after="0" w:line="240" w:lineRule="auto"/>
        <w:rPr>
          <w:rFonts w:cs="Times New Roman"/>
          <w:i/>
          <w:sz w:val="20"/>
        </w:rPr>
      </w:pPr>
      <w:r w:rsidRPr="008F3C62">
        <w:rPr>
          <w:rFonts w:cs="Times New Roman"/>
          <w:i/>
        </w:rPr>
        <w:t xml:space="preserve">To note: </w:t>
      </w:r>
      <w:r w:rsidRPr="008F3C62">
        <w:rPr>
          <w:rFonts w:cs="Times New Roman"/>
          <w:i/>
          <w:sz w:val="20"/>
        </w:rPr>
        <w:t>Indicators listed in domain four are not available for lo</w:t>
      </w:r>
      <w:r w:rsidR="00313FA7">
        <w:rPr>
          <w:rFonts w:cs="Times New Roman"/>
          <w:i/>
          <w:sz w:val="20"/>
        </w:rPr>
        <w:t>cal selection in the pilot year.</w:t>
      </w:r>
      <w:r w:rsidR="00BE20CA">
        <w:rPr>
          <w:rFonts w:cs="Times New Roman"/>
          <w:i/>
          <w:sz w:val="20"/>
        </w:rPr>
        <w:t xml:space="preserve"> </w:t>
      </w:r>
    </w:p>
    <w:p w:rsidR="003F7581" w:rsidRDefault="003F7581">
      <w:pPr>
        <w:spacing w:before="0" w:after="0" w:line="240" w:lineRule="auto"/>
        <w:rPr>
          <w:rFonts w:cs="Times New Roman"/>
          <w:color w:val="00D1AE"/>
          <w:sz w:val="50"/>
        </w:rPr>
      </w:pPr>
      <w:bookmarkStart w:id="55" w:name="_Toc396307872"/>
      <w:r>
        <w:br w:type="page"/>
      </w:r>
    </w:p>
    <w:p w:rsidR="004D77F9" w:rsidRDefault="004D77F9" w:rsidP="00355992">
      <w:pPr>
        <w:pStyle w:val="ChapterHead"/>
        <w:jc w:val="right"/>
      </w:pPr>
      <w:r w:rsidRPr="004D77F9">
        <w:lastRenderedPageBreak/>
        <w:t xml:space="preserve">Annex </w:t>
      </w:r>
      <w:r w:rsidR="00190E80">
        <w:t>B</w:t>
      </w:r>
      <w:bookmarkEnd w:id="55"/>
      <w:r w:rsidR="00726E05">
        <w:t xml:space="preserve"> </w:t>
      </w:r>
    </w:p>
    <w:p w:rsidR="001866D3" w:rsidRPr="001866D3" w:rsidRDefault="001866D3" w:rsidP="001866D3">
      <w:pPr>
        <w:pStyle w:val="Paragraphtext"/>
        <w:rPr>
          <w:b/>
        </w:rPr>
      </w:pPr>
      <w:r w:rsidRPr="001866D3">
        <w:rPr>
          <w:b/>
        </w:rPr>
        <w:t>Core Allocations</w:t>
      </w:r>
    </w:p>
    <w:tbl>
      <w:tblPr>
        <w:tblW w:w="9797" w:type="dxa"/>
        <w:tblInd w:w="93" w:type="dxa"/>
        <w:tbl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insideH w:val="single" w:sz="4" w:space="0" w:color="C4BC96" w:themeColor="background2" w:themeShade="BF"/>
          <w:insideV w:val="single" w:sz="4" w:space="0" w:color="C4BC96" w:themeColor="background2" w:themeShade="BF"/>
        </w:tblBorders>
        <w:tblLayout w:type="fixed"/>
        <w:tblLook w:val="04A0" w:firstRow="1" w:lastRow="0" w:firstColumn="1" w:lastColumn="0" w:noHBand="0" w:noVBand="1"/>
      </w:tblPr>
      <w:tblGrid>
        <w:gridCol w:w="3276"/>
        <w:gridCol w:w="1630"/>
        <w:gridCol w:w="1630"/>
        <w:gridCol w:w="1630"/>
        <w:gridCol w:w="1631"/>
      </w:tblGrid>
      <w:tr w:rsidR="001866D3" w:rsidRPr="001866D3" w:rsidTr="001866D3">
        <w:trPr>
          <w:trHeight w:val="765"/>
          <w:tblHeader/>
        </w:trPr>
        <w:tc>
          <w:tcPr>
            <w:tcW w:w="3276" w:type="dxa"/>
            <w:shd w:val="clear" w:color="auto" w:fill="D9D9D9" w:themeFill="background1" w:themeFillShade="D9"/>
            <w:noWrap/>
            <w:vAlign w:val="center"/>
            <w:hideMark/>
          </w:tcPr>
          <w:p w:rsidR="001866D3" w:rsidRPr="001866D3" w:rsidRDefault="001866D3" w:rsidP="001866D3">
            <w:pPr>
              <w:spacing w:before="0" w:after="0" w:line="240" w:lineRule="auto"/>
              <w:jc w:val="center"/>
              <w:rPr>
                <w:sz w:val="20"/>
                <w:lang w:eastAsia="en-GB"/>
              </w:rPr>
            </w:pPr>
            <w:r w:rsidRPr="001866D3">
              <w:rPr>
                <w:sz w:val="20"/>
                <w:lang w:eastAsia="en-GB"/>
              </w:rPr>
              <w:t>ONS LA Name</w:t>
            </w:r>
          </w:p>
        </w:tc>
        <w:tc>
          <w:tcPr>
            <w:tcW w:w="1630" w:type="dxa"/>
            <w:shd w:val="clear" w:color="auto" w:fill="D9D9D9" w:themeFill="background1" w:themeFillShade="D9"/>
            <w:vAlign w:val="center"/>
            <w:hideMark/>
          </w:tcPr>
          <w:p w:rsidR="001866D3" w:rsidRPr="001866D3" w:rsidRDefault="001866D3" w:rsidP="001866D3">
            <w:pPr>
              <w:spacing w:before="0" w:after="0" w:line="240" w:lineRule="auto"/>
              <w:jc w:val="right"/>
              <w:rPr>
                <w:sz w:val="20"/>
                <w:lang w:eastAsia="en-GB"/>
              </w:rPr>
            </w:pPr>
            <w:r w:rsidRPr="001866D3">
              <w:rPr>
                <w:sz w:val="20"/>
                <w:lang w:eastAsia="en-GB"/>
              </w:rPr>
              <w:t>2014-15 Allocation</w:t>
            </w:r>
            <w:r w:rsidRPr="001866D3">
              <w:rPr>
                <w:sz w:val="20"/>
                <w:lang w:eastAsia="en-GB"/>
              </w:rPr>
              <w:br/>
            </w:r>
            <w:r w:rsidRPr="001866D3">
              <w:rPr>
                <w:sz w:val="20"/>
                <w:lang w:eastAsia="en-GB"/>
              </w:rPr>
              <w:br/>
              <w:t>£000</w:t>
            </w:r>
          </w:p>
        </w:tc>
        <w:tc>
          <w:tcPr>
            <w:tcW w:w="1630" w:type="dxa"/>
            <w:shd w:val="clear" w:color="auto" w:fill="D9D9D9" w:themeFill="background1" w:themeFillShade="D9"/>
            <w:vAlign w:val="center"/>
            <w:hideMark/>
          </w:tcPr>
          <w:p w:rsidR="001866D3" w:rsidRPr="001866D3" w:rsidRDefault="001866D3" w:rsidP="001866D3">
            <w:pPr>
              <w:spacing w:before="0" w:after="0" w:line="240" w:lineRule="auto"/>
              <w:jc w:val="right"/>
              <w:rPr>
                <w:sz w:val="20"/>
                <w:lang w:eastAsia="en-GB"/>
              </w:rPr>
            </w:pPr>
            <w:r w:rsidRPr="001866D3">
              <w:rPr>
                <w:sz w:val="20"/>
                <w:lang w:eastAsia="en-GB"/>
              </w:rPr>
              <w:t>Net Baseline Adjustments</w:t>
            </w:r>
            <w:r w:rsidRPr="001866D3">
              <w:rPr>
                <w:sz w:val="20"/>
                <w:lang w:eastAsia="en-GB"/>
              </w:rPr>
              <w:br/>
            </w:r>
            <w:r w:rsidRPr="001866D3">
              <w:rPr>
                <w:sz w:val="20"/>
                <w:lang w:eastAsia="en-GB"/>
              </w:rPr>
              <w:br/>
              <w:t>£000</w:t>
            </w:r>
          </w:p>
        </w:tc>
        <w:tc>
          <w:tcPr>
            <w:tcW w:w="1630" w:type="dxa"/>
            <w:shd w:val="clear" w:color="auto" w:fill="D9D9D9" w:themeFill="background1" w:themeFillShade="D9"/>
            <w:vAlign w:val="center"/>
            <w:hideMark/>
          </w:tcPr>
          <w:p w:rsidR="001866D3" w:rsidRPr="001866D3" w:rsidRDefault="001866D3" w:rsidP="001866D3">
            <w:pPr>
              <w:spacing w:before="0" w:after="0" w:line="240" w:lineRule="auto"/>
              <w:jc w:val="right"/>
              <w:rPr>
                <w:sz w:val="20"/>
                <w:lang w:eastAsia="en-GB"/>
              </w:rPr>
            </w:pPr>
            <w:r w:rsidRPr="001866D3">
              <w:rPr>
                <w:sz w:val="20"/>
                <w:lang w:eastAsia="en-GB"/>
              </w:rPr>
              <w:t>2015-16 Allocation</w:t>
            </w:r>
            <w:r w:rsidRPr="001866D3">
              <w:rPr>
                <w:sz w:val="20"/>
                <w:lang w:eastAsia="en-GB"/>
              </w:rPr>
              <w:br/>
            </w:r>
            <w:r w:rsidRPr="001866D3">
              <w:rPr>
                <w:sz w:val="20"/>
                <w:lang w:eastAsia="en-GB"/>
              </w:rPr>
              <w:br/>
              <w:t>£000</w:t>
            </w:r>
          </w:p>
        </w:tc>
        <w:tc>
          <w:tcPr>
            <w:tcW w:w="1631" w:type="dxa"/>
            <w:shd w:val="clear" w:color="auto" w:fill="D9D9D9" w:themeFill="background1" w:themeFillShade="D9"/>
            <w:vAlign w:val="center"/>
            <w:hideMark/>
          </w:tcPr>
          <w:p w:rsidR="001866D3" w:rsidRPr="001866D3" w:rsidRDefault="001866D3" w:rsidP="001866D3">
            <w:pPr>
              <w:spacing w:before="0" w:after="0" w:line="240" w:lineRule="auto"/>
              <w:jc w:val="right"/>
              <w:rPr>
                <w:sz w:val="20"/>
                <w:lang w:eastAsia="en-GB"/>
              </w:rPr>
            </w:pPr>
            <w:r w:rsidRPr="001866D3">
              <w:rPr>
                <w:sz w:val="20"/>
                <w:lang w:eastAsia="en-GB"/>
              </w:rPr>
              <w:t>Revised allocation per head</w:t>
            </w:r>
            <w:r w:rsidRPr="001866D3">
              <w:rPr>
                <w:sz w:val="20"/>
                <w:lang w:eastAsia="en-GB"/>
              </w:rPr>
              <w:br/>
            </w:r>
            <w:r w:rsidRPr="001866D3">
              <w:rPr>
                <w:sz w:val="20"/>
                <w:lang w:eastAsia="en-GB"/>
              </w:rPr>
              <w:br/>
              <w:t>£</w:t>
            </w:r>
          </w:p>
        </w:tc>
      </w:tr>
      <w:tr w:rsidR="001866D3" w:rsidRPr="001866D3" w:rsidTr="001866D3">
        <w:trPr>
          <w:trHeight w:val="255"/>
        </w:trPr>
        <w:tc>
          <w:tcPr>
            <w:tcW w:w="3276" w:type="dxa"/>
            <w:shd w:val="clear" w:color="auto" w:fill="auto"/>
            <w:noWrap/>
            <w:vAlign w:val="bottom"/>
            <w:hideMark/>
          </w:tcPr>
          <w:p w:rsidR="001866D3" w:rsidRPr="001866D3" w:rsidRDefault="001866D3" w:rsidP="001866D3">
            <w:pPr>
              <w:spacing w:before="0" w:after="0" w:line="240" w:lineRule="auto"/>
              <w:rPr>
                <w:sz w:val="20"/>
                <w:lang w:eastAsia="en-GB"/>
              </w:rPr>
            </w:pPr>
            <w:r w:rsidRPr="001866D3">
              <w:rPr>
                <w:sz w:val="20"/>
                <w:lang w:eastAsia="en-GB"/>
              </w:rPr>
              <w:t>Barking and Dagenham</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14,213 </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0</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14,213 </w:t>
            </w:r>
          </w:p>
        </w:tc>
        <w:tc>
          <w:tcPr>
            <w:tcW w:w="1631"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83 </w:t>
            </w:r>
          </w:p>
        </w:tc>
      </w:tr>
      <w:tr w:rsidR="001866D3" w:rsidRPr="001866D3" w:rsidTr="001866D3">
        <w:trPr>
          <w:trHeight w:val="255"/>
        </w:trPr>
        <w:tc>
          <w:tcPr>
            <w:tcW w:w="3276" w:type="dxa"/>
            <w:shd w:val="clear" w:color="auto" w:fill="auto"/>
            <w:noWrap/>
            <w:vAlign w:val="bottom"/>
            <w:hideMark/>
          </w:tcPr>
          <w:p w:rsidR="001866D3" w:rsidRPr="001866D3" w:rsidRDefault="001866D3" w:rsidP="001866D3">
            <w:pPr>
              <w:spacing w:before="0" w:after="0" w:line="240" w:lineRule="auto"/>
              <w:rPr>
                <w:sz w:val="20"/>
                <w:lang w:eastAsia="en-GB"/>
              </w:rPr>
            </w:pPr>
            <w:r w:rsidRPr="001866D3">
              <w:rPr>
                <w:sz w:val="20"/>
                <w:lang w:eastAsia="en-GB"/>
              </w:rPr>
              <w:t>Barnet</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14,335 </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0</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14,335 </w:t>
            </w:r>
          </w:p>
        </w:tc>
        <w:tc>
          <w:tcPr>
            <w:tcW w:w="1631"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67 </w:t>
            </w:r>
          </w:p>
        </w:tc>
      </w:tr>
      <w:tr w:rsidR="001866D3" w:rsidRPr="001866D3" w:rsidTr="001866D3">
        <w:trPr>
          <w:trHeight w:val="255"/>
        </w:trPr>
        <w:tc>
          <w:tcPr>
            <w:tcW w:w="3276" w:type="dxa"/>
            <w:shd w:val="clear" w:color="auto" w:fill="auto"/>
            <w:noWrap/>
            <w:vAlign w:val="bottom"/>
            <w:hideMark/>
          </w:tcPr>
          <w:p w:rsidR="001866D3" w:rsidRPr="001866D3" w:rsidRDefault="001866D3" w:rsidP="001866D3">
            <w:pPr>
              <w:spacing w:before="0" w:after="0" w:line="240" w:lineRule="auto"/>
              <w:rPr>
                <w:sz w:val="20"/>
                <w:lang w:eastAsia="en-GB"/>
              </w:rPr>
            </w:pPr>
            <w:r w:rsidRPr="001866D3">
              <w:rPr>
                <w:sz w:val="20"/>
                <w:lang w:eastAsia="en-GB"/>
              </w:rPr>
              <w:t>Barnsley</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14,243 </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0</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14,243 </w:t>
            </w:r>
          </w:p>
        </w:tc>
        <w:tc>
          <w:tcPr>
            <w:tcW w:w="1631"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26 </w:t>
            </w:r>
          </w:p>
        </w:tc>
      </w:tr>
      <w:tr w:rsidR="001866D3" w:rsidRPr="001866D3" w:rsidTr="001866D3">
        <w:trPr>
          <w:trHeight w:val="255"/>
        </w:trPr>
        <w:tc>
          <w:tcPr>
            <w:tcW w:w="3276" w:type="dxa"/>
            <w:shd w:val="clear" w:color="auto" w:fill="auto"/>
            <w:noWrap/>
            <w:vAlign w:val="bottom"/>
            <w:hideMark/>
          </w:tcPr>
          <w:p w:rsidR="001866D3" w:rsidRPr="001866D3" w:rsidRDefault="001866D3" w:rsidP="001866D3">
            <w:pPr>
              <w:spacing w:before="0" w:after="0" w:line="240" w:lineRule="auto"/>
              <w:rPr>
                <w:sz w:val="20"/>
                <w:lang w:eastAsia="en-GB"/>
              </w:rPr>
            </w:pPr>
            <w:r w:rsidRPr="001866D3">
              <w:rPr>
                <w:sz w:val="20"/>
                <w:lang w:eastAsia="en-GB"/>
              </w:rPr>
              <w:t>Bath and North East Somerset</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7,384 </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0</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7,384 </w:t>
            </w:r>
          </w:p>
        </w:tc>
        <w:tc>
          <w:tcPr>
            <w:tcW w:w="1631"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27 </w:t>
            </w:r>
          </w:p>
        </w:tc>
      </w:tr>
      <w:tr w:rsidR="001866D3" w:rsidRPr="001866D3" w:rsidTr="001866D3">
        <w:trPr>
          <w:trHeight w:val="255"/>
        </w:trPr>
        <w:tc>
          <w:tcPr>
            <w:tcW w:w="3276" w:type="dxa"/>
            <w:shd w:val="clear" w:color="auto" w:fill="auto"/>
            <w:noWrap/>
            <w:vAlign w:val="bottom"/>
            <w:hideMark/>
          </w:tcPr>
          <w:p w:rsidR="001866D3" w:rsidRPr="001866D3" w:rsidRDefault="001866D3" w:rsidP="001866D3">
            <w:pPr>
              <w:spacing w:before="0" w:after="0" w:line="240" w:lineRule="auto"/>
              <w:rPr>
                <w:sz w:val="20"/>
                <w:lang w:eastAsia="en-GB"/>
              </w:rPr>
            </w:pPr>
            <w:r w:rsidRPr="001866D3">
              <w:rPr>
                <w:sz w:val="20"/>
                <w:lang w:eastAsia="en-GB"/>
              </w:rPr>
              <w:t>Bedford</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7,343 </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0</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7,343 </w:t>
            </w:r>
          </w:p>
        </w:tc>
        <w:tc>
          <w:tcPr>
            <w:tcW w:w="1631"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27 </w:t>
            </w:r>
          </w:p>
        </w:tc>
      </w:tr>
      <w:tr w:rsidR="001866D3" w:rsidRPr="001866D3" w:rsidTr="001866D3">
        <w:trPr>
          <w:trHeight w:val="255"/>
        </w:trPr>
        <w:tc>
          <w:tcPr>
            <w:tcW w:w="3276" w:type="dxa"/>
            <w:shd w:val="clear" w:color="auto" w:fill="auto"/>
            <w:noWrap/>
            <w:vAlign w:val="bottom"/>
            <w:hideMark/>
          </w:tcPr>
          <w:p w:rsidR="001866D3" w:rsidRPr="001866D3" w:rsidRDefault="001866D3" w:rsidP="001866D3">
            <w:pPr>
              <w:spacing w:before="0" w:after="0" w:line="240" w:lineRule="auto"/>
              <w:rPr>
                <w:sz w:val="20"/>
                <w:lang w:eastAsia="en-GB"/>
              </w:rPr>
            </w:pPr>
            <w:r w:rsidRPr="001866D3">
              <w:rPr>
                <w:sz w:val="20"/>
                <w:lang w:eastAsia="en-GB"/>
              </w:rPr>
              <w:t>Bexley</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7,574 </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0</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7,574 </w:t>
            </w:r>
          </w:p>
        </w:tc>
        <w:tc>
          <w:tcPr>
            <w:tcW w:w="1631"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37 </w:t>
            </w:r>
          </w:p>
        </w:tc>
      </w:tr>
      <w:tr w:rsidR="001866D3" w:rsidRPr="001866D3" w:rsidTr="001866D3">
        <w:trPr>
          <w:trHeight w:val="255"/>
        </w:trPr>
        <w:tc>
          <w:tcPr>
            <w:tcW w:w="3276" w:type="dxa"/>
            <w:shd w:val="clear" w:color="auto" w:fill="auto"/>
            <w:noWrap/>
            <w:vAlign w:val="bottom"/>
            <w:hideMark/>
          </w:tcPr>
          <w:p w:rsidR="001866D3" w:rsidRPr="001866D3" w:rsidRDefault="001866D3" w:rsidP="001866D3">
            <w:pPr>
              <w:spacing w:before="0" w:after="0" w:line="240" w:lineRule="auto"/>
              <w:rPr>
                <w:sz w:val="20"/>
                <w:lang w:eastAsia="en-GB"/>
              </w:rPr>
            </w:pPr>
            <w:r w:rsidRPr="001866D3">
              <w:rPr>
                <w:sz w:val="20"/>
                <w:lang w:eastAsia="en-GB"/>
              </w:rPr>
              <w:t>Birmingham</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80,838 </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0</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80,838 </w:t>
            </w:r>
          </w:p>
        </w:tc>
        <w:tc>
          <w:tcPr>
            <w:tcW w:w="1631"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311 </w:t>
            </w:r>
          </w:p>
        </w:tc>
      </w:tr>
      <w:tr w:rsidR="001866D3" w:rsidRPr="001866D3" w:rsidTr="001866D3">
        <w:trPr>
          <w:trHeight w:val="255"/>
        </w:trPr>
        <w:tc>
          <w:tcPr>
            <w:tcW w:w="3276" w:type="dxa"/>
            <w:shd w:val="clear" w:color="auto" w:fill="auto"/>
            <w:noWrap/>
            <w:vAlign w:val="bottom"/>
            <w:hideMark/>
          </w:tcPr>
          <w:p w:rsidR="001866D3" w:rsidRPr="001866D3" w:rsidRDefault="001866D3" w:rsidP="001866D3">
            <w:pPr>
              <w:spacing w:before="0" w:after="0" w:line="240" w:lineRule="auto"/>
              <w:rPr>
                <w:sz w:val="20"/>
                <w:lang w:eastAsia="en-GB"/>
              </w:rPr>
            </w:pPr>
            <w:r w:rsidRPr="001866D3">
              <w:rPr>
                <w:sz w:val="20"/>
                <w:lang w:eastAsia="en-GB"/>
              </w:rPr>
              <w:t xml:space="preserve">Blackburn with </w:t>
            </w:r>
            <w:proofErr w:type="spellStart"/>
            <w:r w:rsidRPr="001866D3">
              <w:rPr>
                <w:sz w:val="20"/>
                <w:lang w:eastAsia="en-GB"/>
              </w:rPr>
              <w:t>Darwen</w:t>
            </w:r>
            <w:proofErr w:type="spellEnd"/>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13,134 </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0</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13,134 </w:t>
            </w:r>
          </w:p>
        </w:tc>
        <w:tc>
          <w:tcPr>
            <w:tcW w:w="1631"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47 </w:t>
            </w:r>
          </w:p>
        </w:tc>
      </w:tr>
      <w:tr w:rsidR="001866D3" w:rsidRPr="001866D3" w:rsidTr="001866D3">
        <w:trPr>
          <w:trHeight w:val="255"/>
        </w:trPr>
        <w:tc>
          <w:tcPr>
            <w:tcW w:w="3276" w:type="dxa"/>
            <w:shd w:val="clear" w:color="auto" w:fill="auto"/>
            <w:noWrap/>
            <w:vAlign w:val="bottom"/>
            <w:hideMark/>
          </w:tcPr>
          <w:p w:rsidR="001866D3" w:rsidRPr="001866D3" w:rsidRDefault="001866D3" w:rsidP="001866D3">
            <w:pPr>
              <w:spacing w:before="0" w:after="0" w:line="240" w:lineRule="auto"/>
              <w:rPr>
                <w:sz w:val="20"/>
                <w:lang w:eastAsia="en-GB"/>
              </w:rPr>
            </w:pPr>
            <w:r w:rsidRPr="001866D3">
              <w:rPr>
                <w:sz w:val="20"/>
                <w:lang w:eastAsia="en-GB"/>
              </w:rPr>
              <w:t>Blackpool</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17,946 </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0</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17,946 </w:t>
            </w:r>
          </w:p>
        </w:tc>
        <w:tc>
          <w:tcPr>
            <w:tcW w:w="1631"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40 </w:t>
            </w:r>
          </w:p>
        </w:tc>
      </w:tr>
      <w:tr w:rsidR="001866D3" w:rsidRPr="001866D3" w:rsidTr="001866D3">
        <w:trPr>
          <w:trHeight w:val="255"/>
        </w:trPr>
        <w:tc>
          <w:tcPr>
            <w:tcW w:w="3276" w:type="dxa"/>
            <w:shd w:val="clear" w:color="auto" w:fill="auto"/>
            <w:noWrap/>
            <w:vAlign w:val="bottom"/>
            <w:hideMark/>
          </w:tcPr>
          <w:p w:rsidR="001866D3" w:rsidRPr="001866D3" w:rsidRDefault="001866D3" w:rsidP="001866D3">
            <w:pPr>
              <w:spacing w:before="0" w:after="0" w:line="240" w:lineRule="auto"/>
              <w:rPr>
                <w:sz w:val="20"/>
                <w:lang w:eastAsia="en-GB"/>
              </w:rPr>
            </w:pPr>
            <w:r w:rsidRPr="001866D3">
              <w:rPr>
                <w:sz w:val="20"/>
                <w:lang w:eastAsia="en-GB"/>
              </w:rPr>
              <w:t>Bolton</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18,906 </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color w:val="FF0000"/>
                <w:sz w:val="20"/>
                <w:lang w:eastAsia="en-GB"/>
              </w:rPr>
              <w:t>(116)</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18,790 </w:t>
            </w:r>
          </w:p>
        </w:tc>
        <w:tc>
          <w:tcPr>
            <w:tcW w:w="1631"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99 </w:t>
            </w:r>
          </w:p>
        </w:tc>
      </w:tr>
      <w:tr w:rsidR="001866D3" w:rsidRPr="001866D3" w:rsidTr="001866D3">
        <w:trPr>
          <w:trHeight w:val="255"/>
        </w:trPr>
        <w:tc>
          <w:tcPr>
            <w:tcW w:w="3276" w:type="dxa"/>
            <w:shd w:val="clear" w:color="auto" w:fill="auto"/>
            <w:noWrap/>
            <w:vAlign w:val="bottom"/>
            <w:hideMark/>
          </w:tcPr>
          <w:p w:rsidR="001866D3" w:rsidRPr="001866D3" w:rsidRDefault="001866D3" w:rsidP="001866D3">
            <w:pPr>
              <w:spacing w:before="0" w:after="0" w:line="240" w:lineRule="auto"/>
              <w:rPr>
                <w:sz w:val="20"/>
                <w:lang w:eastAsia="en-GB"/>
              </w:rPr>
            </w:pPr>
            <w:r w:rsidRPr="001866D3">
              <w:rPr>
                <w:sz w:val="20"/>
                <w:lang w:eastAsia="en-GB"/>
              </w:rPr>
              <w:t>Bournemouth</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8,296 </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0</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8,296 </w:t>
            </w:r>
          </w:p>
        </w:tc>
        <w:tc>
          <w:tcPr>
            <w:tcW w:w="1631"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10 </w:t>
            </w:r>
          </w:p>
        </w:tc>
      </w:tr>
      <w:tr w:rsidR="001866D3" w:rsidRPr="001866D3" w:rsidTr="001866D3">
        <w:trPr>
          <w:trHeight w:val="255"/>
        </w:trPr>
        <w:tc>
          <w:tcPr>
            <w:tcW w:w="3276" w:type="dxa"/>
            <w:shd w:val="clear" w:color="auto" w:fill="auto"/>
            <w:noWrap/>
            <w:vAlign w:val="bottom"/>
            <w:hideMark/>
          </w:tcPr>
          <w:p w:rsidR="001866D3" w:rsidRPr="001866D3" w:rsidRDefault="001866D3" w:rsidP="001866D3">
            <w:pPr>
              <w:spacing w:before="0" w:after="0" w:line="240" w:lineRule="auto"/>
              <w:rPr>
                <w:sz w:val="20"/>
                <w:lang w:eastAsia="en-GB"/>
              </w:rPr>
            </w:pPr>
            <w:r w:rsidRPr="001866D3">
              <w:rPr>
                <w:sz w:val="20"/>
                <w:lang w:eastAsia="en-GB"/>
              </w:rPr>
              <w:t>Bracknell Forest</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3,049 </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0</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3,049 </w:t>
            </w:r>
          </w:p>
        </w:tc>
        <w:tc>
          <w:tcPr>
            <w:tcW w:w="1631"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10 </w:t>
            </w:r>
          </w:p>
        </w:tc>
      </w:tr>
      <w:tr w:rsidR="001866D3" w:rsidRPr="001866D3" w:rsidTr="001866D3">
        <w:trPr>
          <w:trHeight w:val="255"/>
        </w:trPr>
        <w:tc>
          <w:tcPr>
            <w:tcW w:w="3276" w:type="dxa"/>
            <w:shd w:val="clear" w:color="auto" w:fill="auto"/>
            <w:noWrap/>
            <w:vAlign w:val="bottom"/>
            <w:hideMark/>
          </w:tcPr>
          <w:p w:rsidR="001866D3" w:rsidRPr="001866D3" w:rsidRDefault="001866D3" w:rsidP="001866D3">
            <w:pPr>
              <w:spacing w:before="0" w:after="0" w:line="240" w:lineRule="auto"/>
              <w:rPr>
                <w:sz w:val="20"/>
                <w:lang w:eastAsia="en-GB"/>
              </w:rPr>
            </w:pPr>
            <w:r w:rsidRPr="001866D3">
              <w:rPr>
                <w:sz w:val="20"/>
                <w:lang w:eastAsia="en-GB"/>
              </w:rPr>
              <w:t>Bradford</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34,699 </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634</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35,333 </w:t>
            </w:r>
          </w:p>
        </w:tc>
        <w:tc>
          <w:tcPr>
            <w:tcW w:w="1631"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58 </w:t>
            </w:r>
          </w:p>
        </w:tc>
      </w:tr>
      <w:tr w:rsidR="001866D3" w:rsidRPr="001866D3" w:rsidTr="001866D3">
        <w:trPr>
          <w:trHeight w:val="255"/>
        </w:trPr>
        <w:tc>
          <w:tcPr>
            <w:tcW w:w="3276" w:type="dxa"/>
            <w:shd w:val="clear" w:color="auto" w:fill="auto"/>
            <w:noWrap/>
            <w:vAlign w:val="bottom"/>
            <w:hideMark/>
          </w:tcPr>
          <w:p w:rsidR="001866D3" w:rsidRPr="001866D3" w:rsidRDefault="001866D3" w:rsidP="001866D3">
            <w:pPr>
              <w:spacing w:before="0" w:after="0" w:line="240" w:lineRule="auto"/>
              <w:rPr>
                <w:sz w:val="20"/>
                <w:lang w:eastAsia="en-GB"/>
              </w:rPr>
            </w:pPr>
            <w:r w:rsidRPr="001866D3">
              <w:rPr>
                <w:sz w:val="20"/>
                <w:lang w:eastAsia="en-GB"/>
              </w:rPr>
              <w:t>Brent</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18,848 </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0</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18,848 </w:t>
            </w:r>
          </w:p>
        </w:tc>
        <w:tc>
          <w:tcPr>
            <w:tcW w:w="1631"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31 </w:t>
            </w:r>
          </w:p>
        </w:tc>
      </w:tr>
      <w:tr w:rsidR="001866D3" w:rsidRPr="001866D3" w:rsidTr="001866D3">
        <w:trPr>
          <w:trHeight w:val="255"/>
        </w:trPr>
        <w:tc>
          <w:tcPr>
            <w:tcW w:w="3276" w:type="dxa"/>
            <w:shd w:val="clear" w:color="auto" w:fill="auto"/>
            <w:noWrap/>
            <w:vAlign w:val="bottom"/>
            <w:hideMark/>
          </w:tcPr>
          <w:p w:rsidR="001866D3" w:rsidRPr="001866D3" w:rsidRDefault="001866D3" w:rsidP="001866D3">
            <w:pPr>
              <w:spacing w:before="0" w:after="0" w:line="240" w:lineRule="auto"/>
              <w:rPr>
                <w:sz w:val="20"/>
                <w:lang w:eastAsia="en-GB"/>
              </w:rPr>
            </w:pPr>
            <w:r w:rsidRPr="001866D3">
              <w:rPr>
                <w:sz w:val="20"/>
                <w:lang w:eastAsia="en-GB"/>
              </w:rPr>
              <w:t>Brighton and Hove</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18,695 </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0</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18,695 </w:t>
            </w:r>
          </w:p>
        </w:tc>
        <w:tc>
          <w:tcPr>
            <w:tcW w:w="1631"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67 </w:t>
            </w:r>
          </w:p>
        </w:tc>
      </w:tr>
      <w:tr w:rsidR="001866D3" w:rsidRPr="001866D3" w:rsidTr="001866D3">
        <w:trPr>
          <w:trHeight w:val="255"/>
        </w:trPr>
        <w:tc>
          <w:tcPr>
            <w:tcW w:w="3276" w:type="dxa"/>
            <w:shd w:val="clear" w:color="auto" w:fill="auto"/>
            <w:noWrap/>
            <w:vAlign w:val="bottom"/>
            <w:hideMark/>
          </w:tcPr>
          <w:p w:rsidR="001866D3" w:rsidRPr="001866D3" w:rsidRDefault="001866D3" w:rsidP="001866D3">
            <w:pPr>
              <w:spacing w:before="0" w:after="0" w:line="240" w:lineRule="auto"/>
              <w:rPr>
                <w:sz w:val="20"/>
                <w:lang w:eastAsia="en-GB"/>
              </w:rPr>
            </w:pPr>
            <w:r w:rsidRPr="001866D3">
              <w:rPr>
                <w:sz w:val="20"/>
                <w:lang w:eastAsia="en-GB"/>
              </w:rPr>
              <w:t>Bristol, City of</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29,122 </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0</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29,122 </w:t>
            </w:r>
          </w:p>
        </w:tc>
        <w:tc>
          <w:tcPr>
            <w:tcW w:w="1631"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108 </w:t>
            </w:r>
          </w:p>
        </w:tc>
      </w:tr>
      <w:tr w:rsidR="001866D3" w:rsidRPr="001866D3" w:rsidTr="001866D3">
        <w:trPr>
          <w:trHeight w:val="255"/>
        </w:trPr>
        <w:tc>
          <w:tcPr>
            <w:tcW w:w="3276" w:type="dxa"/>
            <w:shd w:val="clear" w:color="auto" w:fill="auto"/>
            <w:noWrap/>
            <w:vAlign w:val="bottom"/>
            <w:hideMark/>
          </w:tcPr>
          <w:p w:rsidR="001866D3" w:rsidRPr="001866D3" w:rsidRDefault="001866D3" w:rsidP="001866D3">
            <w:pPr>
              <w:spacing w:before="0" w:after="0" w:line="240" w:lineRule="auto"/>
              <w:rPr>
                <w:sz w:val="20"/>
                <w:lang w:eastAsia="en-GB"/>
              </w:rPr>
            </w:pPr>
            <w:r w:rsidRPr="001866D3">
              <w:rPr>
                <w:sz w:val="20"/>
                <w:lang w:eastAsia="en-GB"/>
              </w:rPr>
              <w:t>Bromley</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12,954 </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0</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12,954 </w:t>
            </w:r>
          </w:p>
        </w:tc>
        <w:tc>
          <w:tcPr>
            <w:tcW w:w="1631"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18 </w:t>
            </w:r>
          </w:p>
        </w:tc>
      </w:tr>
      <w:tr w:rsidR="001866D3" w:rsidRPr="001866D3" w:rsidTr="001866D3">
        <w:trPr>
          <w:trHeight w:val="255"/>
        </w:trPr>
        <w:tc>
          <w:tcPr>
            <w:tcW w:w="3276" w:type="dxa"/>
            <w:shd w:val="clear" w:color="auto" w:fill="auto"/>
            <w:noWrap/>
            <w:vAlign w:val="bottom"/>
            <w:hideMark/>
          </w:tcPr>
          <w:p w:rsidR="001866D3" w:rsidRPr="001866D3" w:rsidRDefault="001866D3" w:rsidP="001866D3">
            <w:pPr>
              <w:spacing w:before="0" w:after="0" w:line="240" w:lineRule="auto"/>
              <w:rPr>
                <w:sz w:val="20"/>
                <w:lang w:eastAsia="en-GB"/>
              </w:rPr>
            </w:pPr>
            <w:r w:rsidRPr="001866D3">
              <w:rPr>
                <w:sz w:val="20"/>
                <w:lang w:eastAsia="en-GB"/>
              </w:rPr>
              <w:t>Buckinghamshire</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17,249 </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0</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17,249 </w:t>
            </w:r>
          </w:p>
        </w:tc>
        <w:tc>
          <w:tcPr>
            <w:tcW w:w="1631"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77 </w:t>
            </w:r>
          </w:p>
        </w:tc>
      </w:tr>
      <w:tr w:rsidR="001866D3" w:rsidRPr="001866D3" w:rsidTr="001866D3">
        <w:trPr>
          <w:trHeight w:val="255"/>
        </w:trPr>
        <w:tc>
          <w:tcPr>
            <w:tcW w:w="3276" w:type="dxa"/>
            <w:shd w:val="clear" w:color="auto" w:fill="auto"/>
            <w:noWrap/>
            <w:vAlign w:val="bottom"/>
            <w:hideMark/>
          </w:tcPr>
          <w:p w:rsidR="001866D3" w:rsidRPr="001866D3" w:rsidRDefault="001866D3" w:rsidP="001866D3">
            <w:pPr>
              <w:spacing w:before="0" w:after="0" w:line="240" w:lineRule="auto"/>
              <w:rPr>
                <w:sz w:val="20"/>
                <w:lang w:eastAsia="en-GB"/>
              </w:rPr>
            </w:pPr>
            <w:r w:rsidRPr="001866D3">
              <w:rPr>
                <w:sz w:val="20"/>
                <w:lang w:eastAsia="en-GB"/>
              </w:rPr>
              <w:t>Bury</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9,619 </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0</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9,619 </w:t>
            </w:r>
          </w:p>
        </w:tc>
        <w:tc>
          <w:tcPr>
            <w:tcW w:w="1631"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46 </w:t>
            </w:r>
          </w:p>
        </w:tc>
      </w:tr>
      <w:tr w:rsidR="001866D3" w:rsidRPr="001866D3" w:rsidTr="001866D3">
        <w:trPr>
          <w:trHeight w:val="255"/>
        </w:trPr>
        <w:tc>
          <w:tcPr>
            <w:tcW w:w="3276" w:type="dxa"/>
            <w:shd w:val="clear" w:color="auto" w:fill="auto"/>
            <w:noWrap/>
            <w:vAlign w:val="bottom"/>
            <w:hideMark/>
          </w:tcPr>
          <w:p w:rsidR="001866D3" w:rsidRPr="001866D3" w:rsidRDefault="001866D3" w:rsidP="001866D3">
            <w:pPr>
              <w:spacing w:before="0" w:after="0" w:line="240" w:lineRule="auto"/>
              <w:rPr>
                <w:sz w:val="20"/>
                <w:lang w:eastAsia="en-GB"/>
              </w:rPr>
            </w:pPr>
            <w:r w:rsidRPr="001866D3">
              <w:rPr>
                <w:sz w:val="20"/>
                <w:lang w:eastAsia="en-GB"/>
              </w:rPr>
              <w:t>Calderdale</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10,679 </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0</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10,679 </w:t>
            </w:r>
          </w:p>
        </w:tc>
        <w:tc>
          <w:tcPr>
            <w:tcW w:w="1631"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41 </w:t>
            </w:r>
          </w:p>
        </w:tc>
      </w:tr>
      <w:tr w:rsidR="001866D3" w:rsidRPr="001866D3" w:rsidTr="001866D3">
        <w:trPr>
          <w:trHeight w:val="255"/>
        </w:trPr>
        <w:tc>
          <w:tcPr>
            <w:tcW w:w="3276" w:type="dxa"/>
            <w:shd w:val="clear" w:color="auto" w:fill="auto"/>
            <w:noWrap/>
            <w:vAlign w:val="bottom"/>
            <w:hideMark/>
          </w:tcPr>
          <w:p w:rsidR="001866D3" w:rsidRPr="001866D3" w:rsidRDefault="001866D3" w:rsidP="001866D3">
            <w:pPr>
              <w:spacing w:before="0" w:after="0" w:line="240" w:lineRule="auto"/>
              <w:rPr>
                <w:sz w:val="20"/>
                <w:lang w:eastAsia="en-GB"/>
              </w:rPr>
            </w:pPr>
            <w:r w:rsidRPr="001866D3">
              <w:rPr>
                <w:sz w:val="20"/>
                <w:lang w:eastAsia="en-GB"/>
              </w:rPr>
              <w:t>Cambridgeshire</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22,299 </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color w:val="FF0000"/>
                <w:sz w:val="20"/>
                <w:lang w:eastAsia="en-GB"/>
              </w:rPr>
              <w:t>(144)</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22,155 </w:t>
            </w:r>
          </w:p>
        </w:tc>
        <w:tc>
          <w:tcPr>
            <w:tcW w:w="1631"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158 </w:t>
            </w:r>
          </w:p>
        </w:tc>
      </w:tr>
      <w:tr w:rsidR="001866D3" w:rsidRPr="001866D3" w:rsidTr="001866D3">
        <w:trPr>
          <w:trHeight w:val="255"/>
        </w:trPr>
        <w:tc>
          <w:tcPr>
            <w:tcW w:w="3276" w:type="dxa"/>
            <w:shd w:val="clear" w:color="auto" w:fill="auto"/>
            <w:noWrap/>
            <w:vAlign w:val="bottom"/>
            <w:hideMark/>
          </w:tcPr>
          <w:p w:rsidR="001866D3" w:rsidRPr="001866D3" w:rsidRDefault="001866D3" w:rsidP="001866D3">
            <w:pPr>
              <w:spacing w:before="0" w:after="0" w:line="240" w:lineRule="auto"/>
              <w:rPr>
                <w:sz w:val="20"/>
                <w:lang w:eastAsia="en-GB"/>
              </w:rPr>
            </w:pPr>
            <w:r w:rsidRPr="001866D3">
              <w:rPr>
                <w:sz w:val="20"/>
                <w:lang w:eastAsia="en-GB"/>
              </w:rPr>
              <w:t>Camden</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26,368 </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0</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26,368 </w:t>
            </w:r>
          </w:p>
        </w:tc>
        <w:tc>
          <w:tcPr>
            <w:tcW w:w="1631"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83 </w:t>
            </w:r>
          </w:p>
        </w:tc>
      </w:tr>
      <w:tr w:rsidR="001866D3" w:rsidRPr="001866D3" w:rsidTr="001866D3">
        <w:trPr>
          <w:trHeight w:val="255"/>
        </w:trPr>
        <w:tc>
          <w:tcPr>
            <w:tcW w:w="3276" w:type="dxa"/>
            <w:shd w:val="clear" w:color="auto" w:fill="auto"/>
            <w:noWrap/>
            <w:vAlign w:val="bottom"/>
            <w:hideMark/>
          </w:tcPr>
          <w:p w:rsidR="001866D3" w:rsidRPr="001866D3" w:rsidRDefault="001866D3" w:rsidP="001866D3">
            <w:pPr>
              <w:spacing w:before="0" w:after="0" w:line="240" w:lineRule="auto"/>
              <w:rPr>
                <w:sz w:val="20"/>
                <w:lang w:eastAsia="en-GB"/>
              </w:rPr>
            </w:pPr>
            <w:r w:rsidRPr="001866D3">
              <w:rPr>
                <w:sz w:val="20"/>
                <w:lang w:eastAsia="en-GB"/>
              </w:rPr>
              <w:t>Central Bedfordshire</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10,149 </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0</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10,149 </w:t>
            </w:r>
          </w:p>
        </w:tc>
        <w:tc>
          <w:tcPr>
            <w:tcW w:w="1631"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47 </w:t>
            </w:r>
          </w:p>
        </w:tc>
      </w:tr>
      <w:tr w:rsidR="001866D3" w:rsidRPr="001866D3" w:rsidTr="001866D3">
        <w:trPr>
          <w:trHeight w:val="255"/>
        </w:trPr>
        <w:tc>
          <w:tcPr>
            <w:tcW w:w="3276" w:type="dxa"/>
            <w:shd w:val="clear" w:color="auto" w:fill="auto"/>
            <w:noWrap/>
            <w:vAlign w:val="bottom"/>
            <w:hideMark/>
          </w:tcPr>
          <w:p w:rsidR="001866D3" w:rsidRPr="001866D3" w:rsidRDefault="001866D3" w:rsidP="001866D3">
            <w:pPr>
              <w:spacing w:before="0" w:after="0" w:line="240" w:lineRule="auto"/>
              <w:rPr>
                <w:sz w:val="20"/>
                <w:lang w:eastAsia="en-GB"/>
              </w:rPr>
            </w:pPr>
            <w:r w:rsidRPr="001866D3">
              <w:rPr>
                <w:sz w:val="20"/>
                <w:lang w:eastAsia="en-GB"/>
              </w:rPr>
              <w:t>Cheshire East</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14,274 </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0</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14,274 </w:t>
            </w:r>
          </w:p>
        </w:tc>
        <w:tc>
          <w:tcPr>
            <w:tcW w:w="1631"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44 </w:t>
            </w:r>
          </w:p>
        </w:tc>
      </w:tr>
      <w:tr w:rsidR="001866D3" w:rsidRPr="001866D3" w:rsidTr="001866D3">
        <w:trPr>
          <w:trHeight w:val="255"/>
        </w:trPr>
        <w:tc>
          <w:tcPr>
            <w:tcW w:w="3276" w:type="dxa"/>
            <w:shd w:val="clear" w:color="auto" w:fill="auto"/>
            <w:noWrap/>
            <w:vAlign w:val="bottom"/>
            <w:hideMark/>
          </w:tcPr>
          <w:p w:rsidR="001866D3" w:rsidRPr="001866D3" w:rsidRDefault="001866D3" w:rsidP="001866D3">
            <w:pPr>
              <w:spacing w:before="0" w:after="0" w:line="240" w:lineRule="auto"/>
              <w:rPr>
                <w:sz w:val="20"/>
                <w:lang w:eastAsia="en-GB"/>
              </w:rPr>
            </w:pPr>
            <w:r w:rsidRPr="001866D3">
              <w:rPr>
                <w:sz w:val="20"/>
                <w:lang w:eastAsia="en-GB"/>
              </w:rPr>
              <w:t>Cheshire West and Chester</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13,889 </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0</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13,889 </w:t>
            </w:r>
          </w:p>
        </w:tc>
        <w:tc>
          <w:tcPr>
            <w:tcW w:w="1631"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27 </w:t>
            </w:r>
          </w:p>
        </w:tc>
      </w:tr>
      <w:tr w:rsidR="001866D3" w:rsidRPr="001866D3" w:rsidTr="001866D3">
        <w:trPr>
          <w:trHeight w:val="255"/>
        </w:trPr>
        <w:tc>
          <w:tcPr>
            <w:tcW w:w="3276" w:type="dxa"/>
            <w:shd w:val="clear" w:color="auto" w:fill="auto"/>
            <w:noWrap/>
            <w:vAlign w:val="bottom"/>
            <w:hideMark/>
          </w:tcPr>
          <w:p w:rsidR="001866D3" w:rsidRPr="001866D3" w:rsidRDefault="001866D3" w:rsidP="001866D3">
            <w:pPr>
              <w:spacing w:before="0" w:after="0" w:line="240" w:lineRule="auto"/>
              <w:rPr>
                <w:sz w:val="20"/>
                <w:lang w:eastAsia="en-GB"/>
              </w:rPr>
            </w:pPr>
            <w:r w:rsidRPr="001866D3">
              <w:rPr>
                <w:sz w:val="20"/>
                <w:lang w:eastAsia="en-GB"/>
              </w:rPr>
              <w:lastRenderedPageBreak/>
              <w:t>City of London</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1,698 </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0</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1,698 </w:t>
            </w:r>
          </w:p>
        </w:tc>
        <w:tc>
          <w:tcPr>
            <w:tcW w:w="1631"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11 </w:t>
            </w:r>
          </w:p>
        </w:tc>
      </w:tr>
      <w:tr w:rsidR="001866D3" w:rsidRPr="001866D3" w:rsidTr="001866D3">
        <w:trPr>
          <w:trHeight w:val="255"/>
        </w:trPr>
        <w:tc>
          <w:tcPr>
            <w:tcW w:w="3276" w:type="dxa"/>
            <w:shd w:val="clear" w:color="auto" w:fill="auto"/>
            <w:noWrap/>
            <w:vAlign w:val="bottom"/>
            <w:hideMark/>
          </w:tcPr>
          <w:p w:rsidR="001866D3" w:rsidRPr="001866D3" w:rsidRDefault="001866D3" w:rsidP="001866D3">
            <w:pPr>
              <w:spacing w:before="0" w:after="0" w:line="240" w:lineRule="auto"/>
              <w:rPr>
                <w:sz w:val="20"/>
                <w:lang w:eastAsia="en-GB"/>
              </w:rPr>
            </w:pPr>
            <w:r w:rsidRPr="001866D3">
              <w:rPr>
                <w:sz w:val="20"/>
                <w:lang w:eastAsia="en-GB"/>
              </w:rPr>
              <w:t>Cornwall</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18,339 </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2,410</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20,749 </w:t>
            </w:r>
          </w:p>
        </w:tc>
        <w:tc>
          <w:tcPr>
            <w:tcW w:w="1631"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43 </w:t>
            </w:r>
          </w:p>
        </w:tc>
      </w:tr>
      <w:tr w:rsidR="001866D3" w:rsidRPr="001866D3" w:rsidTr="001866D3">
        <w:trPr>
          <w:trHeight w:val="255"/>
        </w:trPr>
        <w:tc>
          <w:tcPr>
            <w:tcW w:w="3276" w:type="dxa"/>
            <w:shd w:val="clear" w:color="auto" w:fill="auto"/>
            <w:noWrap/>
            <w:vAlign w:val="bottom"/>
            <w:hideMark/>
          </w:tcPr>
          <w:p w:rsidR="001866D3" w:rsidRPr="001866D3" w:rsidRDefault="001866D3" w:rsidP="001866D3">
            <w:pPr>
              <w:spacing w:before="0" w:after="0" w:line="240" w:lineRule="auto"/>
              <w:rPr>
                <w:sz w:val="20"/>
                <w:lang w:eastAsia="en-GB"/>
              </w:rPr>
            </w:pPr>
            <w:r w:rsidRPr="001866D3">
              <w:rPr>
                <w:sz w:val="20"/>
                <w:lang w:eastAsia="en-GB"/>
              </w:rPr>
              <w:t>County Durham</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45,780 </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0</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45,780 </w:t>
            </w:r>
          </w:p>
        </w:tc>
        <w:tc>
          <w:tcPr>
            <w:tcW w:w="1631"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190 </w:t>
            </w:r>
          </w:p>
        </w:tc>
      </w:tr>
      <w:tr w:rsidR="001866D3" w:rsidRPr="001866D3" w:rsidTr="001866D3">
        <w:trPr>
          <w:trHeight w:val="255"/>
        </w:trPr>
        <w:tc>
          <w:tcPr>
            <w:tcW w:w="3276" w:type="dxa"/>
            <w:shd w:val="clear" w:color="auto" w:fill="auto"/>
            <w:noWrap/>
            <w:vAlign w:val="bottom"/>
            <w:hideMark/>
          </w:tcPr>
          <w:p w:rsidR="001866D3" w:rsidRPr="001866D3" w:rsidRDefault="001866D3" w:rsidP="001866D3">
            <w:pPr>
              <w:spacing w:before="0" w:after="0" w:line="240" w:lineRule="auto"/>
              <w:rPr>
                <w:sz w:val="20"/>
                <w:lang w:eastAsia="en-GB"/>
              </w:rPr>
            </w:pPr>
            <w:r w:rsidRPr="001866D3">
              <w:rPr>
                <w:sz w:val="20"/>
                <w:lang w:eastAsia="en-GB"/>
              </w:rPr>
              <w:t>Coventry</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19,615 </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color w:val="FF0000"/>
                <w:sz w:val="20"/>
                <w:lang w:eastAsia="en-GB"/>
              </w:rPr>
              <w:t>(200)</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19,415 </w:t>
            </w:r>
          </w:p>
        </w:tc>
        <w:tc>
          <w:tcPr>
            <w:tcW w:w="1631"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112 </w:t>
            </w:r>
          </w:p>
        </w:tc>
      </w:tr>
      <w:tr w:rsidR="001866D3" w:rsidRPr="001866D3" w:rsidTr="001866D3">
        <w:trPr>
          <w:trHeight w:val="255"/>
        </w:trPr>
        <w:tc>
          <w:tcPr>
            <w:tcW w:w="3276" w:type="dxa"/>
            <w:shd w:val="clear" w:color="auto" w:fill="auto"/>
            <w:noWrap/>
            <w:vAlign w:val="bottom"/>
            <w:hideMark/>
          </w:tcPr>
          <w:p w:rsidR="001866D3" w:rsidRPr="001866D3" w:rsidRDefault="001866D3" w:rsidP="001866D3">
            <w:pPr>
              <w:spacing w:before="0" w:after="0" w:line="240" w:lineRule="auto"/>
              <w:rPr>
                <w:sz w:val="20"/>
                <w:lang w:eastAsia="en-GB"/>
              </w:rPr>
            </w:pPr>
            <w:r w:rsidRPr="001866D3">
              <w:rPr>
                <w:sz w:val="20"/>
                <w:lang w:eastAsia="en-GB"/>
              </w:rPr>
              <w:t>Croydon</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18,825 </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0</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18,825 </w:t>
            </w:r>
          </w:p>
        </w:tc>
        <w:tc>
          <w:tcPr>
            <w:tcW w:w="1631"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60 </w:t>
            </w:r>
          </w:p>
        </w:tc>
      </w:tr>
      <w:tr w:rsidR="001866D3" w:rsidRPr="001866D3" w:rsidTr="001866D3">
        <w:trPr>
          <w:trHeight w:val="255"/>
        </w:trPr>
        <w:tc>
          <w:tcPr>
            <w:tcW w:w="3276" w:type="dxa"/>
            <w:shd w:val="clear" w:color="auto" w:fill="auto"/>
            <w:noWrap/>
            <w:vAlign w:val="bottom"/>
            <w:hideMark/>
          </w:tcPr>
          <w:p w:rsidR="001866D3" w:rsidRPr="001866D3" w:rsidRDefault="001866D3" w:rsidP="001866D3">
            <w:pPr>
              <w:spacing w:before="0" w:after="0" w:line="240" w:lineRule="auto"/>
              <w:rPr>
                <w:sz w:val="20"/>
                <w:lang w:eastAsia="en-GB"/>
              </w:rPr>
            </w:pPr>
            <w:r w:rsidRPr="001866D3">
              <w:rPr>
                <w:sz w:val="20"/>
                <w:lang w:eastAsia="en-GB"/>
              </w:rPr>
              <w:t>Cumbria</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15,594 </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0</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15,594 </w:t>
            </w:r>
          </w:p>
        </w:tc>
        <w:tc>
          <w:tcPr>
            <w:tcW w:w="1631"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20 </w:t>
            </w:r>
          </w:p>
        </w:tc>
      </w:tr>
      <w:tr w:rsidR="001866D3" w:rsidRPr="001866D3" w:rsidTr="001866D3">
        <w:trPr>
          <w:trHeight w:val="255"/>
        </w:trPr>
        <w:tc>
          <w:tcPr>
            <w:tcW w:w="3276" w:type="dxa"/>
            <w:shd w:val="clear" w:color="auto" w:fill="auto"/>
            <w:noWrap/>
            <w:vAlign w:val="bottom"/>
            <w:hideMark/>
          </w:tcPr>
          <w:p w:rsidR="001866D3" w:rsidRPr="001866D3" w:rsidRDefault="001866D3" w:rsidP="001866D3">
            <w:pPr>
              <w:spacing w:before="0" w:after="0" w:line="240" w:lineRule="auto"/>
              <w:rPr>
                <w:sz w:val="20"/>
                <w:lang w:eastAsia="en-GB"/>
              </w:rPr>
            </w:pPr>
            <w:r w:rsidRPr="001866D3">
              <w:rPr>
                <w:sz w:val="20"/>
                <w:lang w:eastAsia="en-GB"/>
              </w:rPr>
              <w:t>Darlington</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7,184 </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0</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7,184 </w:t>
            </w:r>
          </w:p>
        </w:tc>
        <w:tc>
          <w:tcPr>
            <w:tcW w:w="1631"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44 </w:t>
            </w:r>
          </w:p>
        </w:tc>
      </w:tr>
      <w:tr w:rsidR="001866D3" w:rsidRPr="001866D3" w:rsidTr="001866D3">
        <w:trPr>
          <w:trHeight w:val="255"/>
        </w:trPr>
        <w:tc>
          <w:tcPr>
            <w:tcW w:w="3276" w:type="dxa"/>
            <w:shd w:val="clear" w:color="auto" w:fill="auto"/>
            <w:noWrap/>
            <w:vAlign w:val="bottom"/>
            <w:hideMark/>
          </w:tcPr>
          <w:p w:rsidR="001866D3" w:rsidRPr="001866D3" w:rsidRDefault="001866D3" w:rsidP="001866D3">
            <w:pPr>
              <w:spacing w:before="0" w:after="0" w:line="240" w:lineRule="auto"/>
              <w:rPr>
                <w:sz w:val="20"/>
                <w:lang w:eastAsia="en-GB"/>
              </w:rPr>
            </w:pPr>
            <w:r w:rsidRPr="001866D3">
              <w:rPr>
                <w:sz w:val="20"/>
                <w:lang w:eastAsia="en-GB"/>
              </w:rPr>
              <w:t>Derby</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14,484 </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0</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14,484 </w:t>
            </w:r>
          </w:p>
        </w:tc>
        <w:tc>
          <w:tcPr>
            <w:tcW w:w="1631"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54 </w:t>
            </w:r>
          </w:p>
        </w:tc>
      </w:tr>
      <w:tr w:rsidR="001866D3" w:rsidRPr="001866D3" w:rsidTr="001866D3">
        <w:trPr>
          <w:trHeight w:val="255"/>
        </w:trPr>
        <w:tc>
          <w:tcPr>
            <w:tcW w:w="3276" w:type="dxa"/>
            <w:shd w:val="clear" w:color="auto" w:fill="auto"/>
            <w:noWrap/>
            <w:vAlign w:val="bottom"/>
            <w:hideMark/>
          </w:tcPr>
          <w:p w:rsidR="001866D3" w:rsidRPr="001866D3" w:rsidRDefault="001866D3" w:rsidP="001866D3">
            <w:pPr>
              <w:spacing w:before="0" w:after="0" w:line="240" w:lineRule="auto"/>
              <w:rPr>
                <w:sz w:val="20"/>
                <w:lang w:eastAsia="en-GB"/>
              </w:rPr>
            </w:pPr>
            <w:r w:rsidRPr="001866D3">
              <w:rPr>
                <w:sz w:val="20"/>
                <w:lang w:eastAsia="en-GB"/>
              </w:rPr>
              <w:t>Derbyshire</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35,651 </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0</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35,651 </w:t>
            </w:r>
          </w:p>
        </w:tc>
        <w:tc>
          <w:tcPr>
            <w:tcW w:w="1631"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189 </w:t>
            </w:r>
          </w:p>
        </w:tc>
      </w:tr>
      <w:tr w:rsidR="001866D3" w:rsidRPr="001866D3" w:rsidTr="001866D3">
        <w:trPr>
          <w:trHeight w:val="255"/>
        </w:trPr>
        <w:tc>
          <w:tcPr>
            <w:tcW w:w="3276" w:type="dxa"/>
            <w:shd w:val="clear" w:color="auto" w:fill="auto"/>
            <w:noWrap/>
            <w:vAlign w:val="bottom"/>
            <w:hideMark/>
          </w:tcPr>
          <w:p w:rsidR="001866D3" w:rsidRPr="001866D3" w:rsidRDefault="001866D3" w:rsidP="001866D3">
            <w:pPr>
              <w:spacing w:before="0" w:after="0" w:line="240" w:lineRule="auto"/>
              <w:rPr>
                <w:sz w:val="20"/>
                <w:lang w:eastAsia="en-GB"/>
              </w:rPr>
            </w:pPr>
            <w:r w:rsidRPr="001866D3">
              <w:rPr>
                <w:sz w:val="20"/>
                <w:lang w:eastAsia="en-GB"/>
              </w:rPr>
              <w:t>Devon</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22,060 </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0</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22,060 </w:t>
            </w:r>
          </w:p>
        </w:tc>
        <w:tc>
          <w:tcPr>
            <w:tcW w:w="1631"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134 </w:t>
            </w:r>
          </w:p>
        </w:tc>
      </w:tr>
      <w:tr w:rsidR="001866D3" w:rsidRPr="001866D3" w:rsidTr="001866D3">
        <w:trPr>
          <w:trHeight w:val="255"/>
        </w:trPr>
        <w:tc>
          <w:tcPr>
            <w:tcW w:w="3276" w:type="dxa"/>
            <w:shd w:val="clear" w:color="auto" w:fill="auto"/>
            <w:noWrap/>
            <w:vAlign w:val="bottom"/>
            <w:hideMark/>
          </w:tcPr>
          <w:p w:rsidR="001866D3" w:rsidRPr="001866D3" w:rsidRDefault="001866D3" w:rsidP="001866D3">
            <w:pPr>
              <w:spacing w:before="0" w:after="0" w:line="240" w:lineRule="auto"/>
              <w:rPr>
                <w:sz w:val="20"/>
                <w:lang w:eastAsia="en-GB"/>
              </w:rPr>
            </w:pPr>
            <w:r w:rsidRPr="001866D3">
              <w:rPr>
                <w:sz w:val="20"/>
                <w:lang w:eastAsia="en-GB"/>
              </w:rPr>
              <w:t>Doncaster</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20,198 </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0</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20,198 </w:t>
            </w:r>
          </w:p>
        </w:tc>
        <w:tc>
          <w:tcPr>
            <w:tcW w:w="1631"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61 </w:t>
            </w:r>
          </w:p>
        </w:tc>
      </w:tr>
      <w:tr w:rsidR="001866D3" w:rsidRPr="001866D3" w:rsidTr="001866D3">
        <w:trPr>
          <w:trHeight w:val="255"/>
        </w:trPr>
        <w:tc>
          <w:tcPr>
            <w:tcW w:w="3276" w:type="dxa"/>
            <w:shd w:val="clear" w:color="auto" w:fill="auto"/>
            <w:noWrap/>
            <w:vAlign w:val="bottom"/>
            <w:hideMark/>
          </w:tcPr>
          <w:p w:rsidR="001866D3" w:rsidRPr="001866D3" w:rsidRDefault="001866D3" w:rsidP="001866D3">
            <w:pPr>
              <w:spacing w:before="0" w:after="0" w:line="240" w:lineRule="auto"/>
              <w:rPr>
                <w:sz w:val="20"/>
                <w:lang w:eastAsia="en-GB"/>
              </w:rPr>
            </w:pPr>
            <w:r w:rsidRPr="001866D3">
              <w:rPr>
                <w:sz w:val="20"/>
                <w:lang w:eastAsia="en-GB"/>
              </w:rPr>
              <w:t>Dorset</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12,889 </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0</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12,889 </w:t>
            </w:r>
          </w:p>
        </w:tc>
        <w:tc>
          <w:tcPr>
            <w:tcW w:w="1631"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51 </w:t>
            </w:r>
          </w:p>
        </w:tc>
      </w:tr>
      <w:tr w:rsidR="001866D3" w:rsidRPr="001866D3" w:rsidTr="001866D3">
        <w:trPr>
          <w:trHeight w:val="255"/>
        </w:trPr>
        <w:tc>
          <w:tcPr>
            <w:tcW w:w="3276" w:type="dxa"/>
            <w:shd w:val="clear" w:color="auto" w:fill="auto"/>
            <w:noWrap/>
            <w:vAlign w:val="bottom"/>
            <w:hideMark/>
          </w:tcPr>
          <w:p w:rsidR="001866D3" w:rsidRPr="001866D3" w:rsidRDefault="001866D3" w:rsidP="001866D3">
            <w:pPr>
              <w:spacing w:before="0" w:after="0" w:line="240" w:lineRule="auto"/>
              <w:rPr>
                <w:sz w:val="20"/>
                <w:lang w:eastAsia="en-GB"/>
              </w:rPr>
            </w:pPr>
            <w:r w:rsidRPr="001866D3">
              <w:rPr>
                <w:sz w:val="20"/>
                <w:lang w:eastAsia="en-GB"/>
              </w:rPr>
              <w:t>Dudley</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18,974 </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0</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18,974 </w:t>
            </w:r>
          </w:p>
        </w:tc>
        <w:tc>
          <w:tcPr>
            <w:tcW w:w="1631"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44 </w:t>
            </w:r>
          </w:p>
        </w:tc>
      </w:tr>
      <w:tr w:rsidR="001866D3" w:rsidRPr="001866D3" w:rsidTr="001866D3">
        <w:trPr>
          <w:trHeight w:val="255"/>
        </w:trPr>
        <w:tc>
          <w:tcPr>
            <w:tcW w:w="3276" w:type="dxa"/>
            <w:shd w:val="clear" w:color="auto" w:fill="auto"/>
            <w:noWrap/>
            <w:vAlign w:val="bottom"/>
            <w:hideMark/>
          </w:tcPr>
          <w:p w:rsidR="001866D3" w:rsidRPr="001866D3" w:rsidRDefault="001866D3" w:rsidP="001866D3">
            <w:pPr>
              <w:spacing w:before="0" w:after="0" w:line="240" w:lineRule="auto"/>
              <w:rPr>
                <w:sz w:val="20"/>
                <w:lang w:eastAsia="en-GB"/>
              </w:rPr>
            </w:pPr>
            <w:r w:rsidRPr="001866D3">
              <w:rPr>
                <w:sz w:val="20"/>
                <w:lang w:eastAsia="en-GB"/>
              </w:rPr>
              <w:t>Ealing</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21,974 </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0</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21,974 </w:t>
            </w:r>
          </w:p>
        </w:tc>
        <w:tc>
          <w:tcPr>
            <w:tcW w:w="1631"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27 </w:t>
            </w:r>
          </w:p>
        </w:tc>
      </w:tr>
      <w:tr w:rsidR="001866D3" w:rsidRPr="001866D3" w:rsidTr="001866D3">
        <w:trPr>
          <w:trHeight w:val="255"/>
        </w:trPr>
        <w:tc>
          <w:tcPr>
            <w:tcW w:w="3276" w:type="dxa"/>
            <w:shd w:val="clear" w:color="auto" w:fill="auto"/>
            <w:noWrap/>
            <w:vAlign w:val="bottom"/>
            <w:hideMark/>
          </w:tcPr>
          <w:p w:rsidR="001866D3" w:rsidRPr="001866D3" w:rsidRDefault="001866D3" w:rsidP="001866D3">
            <w:pPr>
              <w:spacing w:before="0" w:after="0" w:line="240" w:lineRule="auto"/>
              <w:rPr>
                <w:sz w:val="20"/>
                <w:lang w:eastAsia="en-GB"/>
              </w:rPr>
            </w:pPr>
            <w:r w:rsidRPr="001866D3">
              <w:rPr>
                <w:sz w:val="20"/>
                <w:lang w:eastAsia="en-GB"/>
              </w:rPr>
              <w:t>East Riding of Yorkshire</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9,175 </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0</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9,175 </w:t>
            </w:r>
          </w:p>
        </w:tc>
        <w:tc>
          <w:tcPr>
            <w:tcW w:w="1631"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22 </w:t>
            </w:r>
          </w:p>
        </w:tc>
      </w:tr>
      <w:tr w:rsidR="001866D3" w:rsidRPr="001866D3" w:rsidTr="001866D3">
        <w:trPr>
          <w:trHeight w:val="255"/>
        </w:trPr>
        <w:tc>
          <w:tcPr>
            <w:tcW w:w="3276" w:type="dxa"/>
            <w:shd w:val="clear" w:color="auto" w:fill="auto"/>
            <w:noWrap/>
            <w:vAlign w:val="bottom"/>
            <w:hideMark/>
          </w:tcPr>
          <w:p w:rsidR="001866D3" w:rsidRPr="001866D3" w:rsidRDefault="001866D3" w:rsidP="001866D3">
            <w:pPr>
              <w:spacing w:before="0" w:after="0" w:line="240" w:lineRule="auto"/>
              <w:rPr>
                <w:sz w:val="20"/>
                <w:lang w:eastAsia="en-GB"/>
              </w:rPr>
            </w:pPr>
            <w:r w:rsidRPr="001866D3">
              <w:rPr>
                <w:sz w:val="20"/>
                <w:lang w:eastAsia="en-GB"/>
              </w:rPr>
              <w:t>East Sussex</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24,507 </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color w:val="FF0000"/>
                <w:sz w:val="20"/>
                <w:lang w:eastAsia="en-GB"/>
              </w:rPr>
              <w:t>(440)</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24,067 </w:t>
            </w:r>
          </w:p>
        </w:tc>
        <w:tc>
          <w:tcPr>
            <w:tcW w:w="1631"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141 </w:t>
            </w:r>
          </w:p>
        </w:tc>
      </w:tr>
      <w:tr w:rsidR="001866D3" w:rsidRPr="001866D3" w:rsidTr="001866D3">
        <w:trPr>
          <w:trHeight w:val="255"/>
        </w:trPr>
        <w:tc>
          <w:tcPr>
            <w:tcW w:w="3276" w:type="dxa"/>
            <w:shd w:val="clear" w:color="auto" w:fill="auto"/>
            <w:noWrap/>
            <w:vAlign w:val="bottom"/>
            <w:hideMark/>
          </w:tcPr>
          <w:p w:rsidR="001866D3" w:rsidRPr="001866D3" w:rsidRDefault="001866D3" w:rsidP="001866D3">
            <w:pPr>
              <w:spacing w:before="0" w:after="0" w:line="240" w:lineRule="auto"/>
              <w:rPr>
                <w:sz w:val="20"/>
                <w:lang w:eastAsia="en-GB"/>
              </w:rPr>
            </w:pPr>
            <w:r w:rsidRPr="001866D3">
              <w:rPr>
                <w:sz w:val="20"/>
                <w:lang w:eastAsia="en-GB"/>
              </w:rPr>
              <w:t>Enfield</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14,257 </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0</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14,257 </w:t>
            </w:r>
          </w:p>
        </w:tc>
        <w:tc>
          <w:tcPr>
            <w:tcW w:w="1631"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62 </w:t>
            </w:r>
          </w:p>
        </w:tc>
      </w:tr>
      <w:tr w:rsidR="001866D3" w:rsidRPr="001866D3" w:rsidTr="001866D3">
        <w:trPr>
          <w:trHeight w:val="255"/>
        </w:trPr>
        <w:tc>
          <w:tcPr>
            <w:tcW w:w="3276" w:type="dxa"/>
            <w:shd w:val="clear" w:color="auto" w:fill="auto"/>
            <w:noWrap/>
            <w:vAlign w:val="bottom"/>
            <w:hideMark/>
          </w:tcPr>
          <w:p w:rsidR="001866D3" w:rsidRPr="001866D3" w:rsidRDefault="001866D3" w:rsidP="001866D3">
            <w:pPr>
              <w:spacing w:before="0" w:after="0" w:line="240" w:lineRule="auto"/>
              <w:rPr>
                <w:sz w:val="20"/>
                <w:lang w:eastAsia="en-GB"/>
              </w:rPr>
            </w:pPr>
            <w:r w:rsidRPr="001866D3">
              <w:rPr>
                <w:sz w:val="20"/>
                <w:lang w:eastAsia="en-GB"/>
              </w:rPr>
              <w:t>Essex</w:t>
            </w:r>
          </w:p>
        </w:tc>
        <w:tc>
          <w:tcPr>
            <w:tcW w:w="1630" w:type="dxa"/>
            <w:shd w:val="clear" w:color="auto" w:fill="auto"/>
            <w:noWrap/>
            <w:vAlign w:val="bottom"/>
            <w:hideMark/>
          </w:tcPr>
          <w:p w:rsidR="001866D3" w:rsidRPr="001866D3" w:rsidRDefault="00672FE9" w:rsidP="00672FE9">
            <w:pPr>
              <w:spacing w:before="0" w:after="0" w:line="240" w:lineRule="auto"/>
              <w:jc w:val="right"/>
              <w:rPr>
                <w:sz w:val="20"/>
                <w:lang w:eastAsia="en-GB"/>
              </w:rPr>
            </w:pPr>
            <w:r>
              <w:rPr>
                <w:sz w:val="20"/>
                <w:lang w:eastAsia="en-GB"/>
              </w:rPr>
              <w:t xml:space="preserve">…    </w:t>
            </w:r>
          </w:p>
        </w:tc>
        <w:tc>
          <w:tcPr>
            <w:tcW w:w="1630" w:type="dxa"/>
            <w:shd w:val="clear" w:color="auto" w:fill="auto"/>
            <w:noWrap/>
            <w:vAlign w:val="bottom"/>
            <w:hideMark/>
          </w:tcPr>
          <w:p w:rsidR="001866D3" w:rsidRPr="001866D3" w:rsidRDefault="00672FE9" w:rsidP="001866D3">
            <w:pPr>
              <w:spacing w:before="0" w:after="0" w:line="240" w:lineRule="auto"/>
              <w:jc w:val="right"/>
              <w:rPr>
                <w:sz w:val="20"/>
                <w:lang w:eastAsia="en-GB"/>
              </w:rPr>
            </w:pPr>
            <w:r>
              <w:rPr>
                <w:sz w:val="20"/>
                <w:lang w:eastAsia="en-GB"/>
              </w:rPr>
              <w:t>…</w:t>
            </w:r>
          </w:p>
        </w:tc>
        <w:tc>
          <w:tcPr>
            <w:tcW w:w="1630" w:type="dxa"/>
            <w:shd w:val="clear" w:color="auto" w:fill="auto"/>
            <w:noWrap/>
            <w:vAlign w:val="bottom"/>
            <w:hideMark/>
          </w:tcPr>
          <w:p w:rsidR="001866D3" w:rsidRPr="001866D3" w:rsidRDefault="00672FE9" w:rsidP="00672FE9">
            <w:pPr>
              <w:spacing w:before="0" w:after="0" w:line="240" w:lineRule="auto"/>
              <w:jc w:val="right"/>
              <w:rPr>
                <w:sz w:val="20"/>
                <w:lang w:eastAsia="en-GB"/>
              </w:rPr>
            </w:pPr>
            <w:r>
              <w:rPr>
                <w:sz w:val="20"/>
                <w:lang w:eastAsia="en-GB"/>
              </w:rPr>
              <w:t>…</w:t>
            </w:r>
          </w:p>
        </w:tc>
        <w:tc>
          <w:tcPr>
            <w:tcW w:w="1631"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w:t>
            </w:r>
          </w:p>
          <w:p w:rsidR="001866D3" w:rsidRPr="001866D3" w:rsidRDefault="00672FE9" w:rsidP="001866D3">
            <w:pPr>
              <w:spacing w:before="0" w:after="0" w:line="240" w:lineRule="auto"/>
              <w:jc w:val="right"/>
              <w:rPr>
                <w:sz w:val="20"/>
                <w:lang w:eastAsia="en-GB"/>
              </w:rPr>
            </w:pPr>
            <w:r>
              <w:rPr>
                <w:sz w:val="20"/>
                <w:lang w:eastAsia="en-GB"/>
              </w:rPr>
              <w:t>…</w:t>
            </w:r>
            <w:r w:rsidR="001866D3" w:rsidRPr="001866D3">
              <w:rPr>
                <w:sz w:val="20"/>
                <w:lang w:eastAsia="en-GB"/>
              </w:rPr>
              <w:t xml:space="preserve"> </w:t>
            </w:r>
          </w:p>
        </w:tc>
      </w:tr>
      <w:tr w:rsidR="001866D3" w:rsidRPr="001866D3" w:rsidTr="001866D3">
        <w:trPr>
          <w:trHeight w:val="255"/>
        </w:trPr>
        <w:tc>
          <w:tcPr>
            <w:tcW w:w="3276" w:type="dxa"/>
            <w:shd w:val="clear" w:color="auto" w:fill="auto"/>
            <w:noWrap/>
            <w:vAlign w:val="bottom"/>
            <w:hideMark/>
          </w:tcPr>
          <w:p w:rsidR="001866D3" w:rsidRPr="001866D3" w:rsidRDefault="001866D3" w:rsidP="001866D3">
            <w:pPr>
              <w:spacing w:before="0" w:after="0" w:line="240" w:lineRule="auto"/>
              <w:rPr>
                <w:sz w:val="20"/>
                <w:lang w:eastAsia="en-GB"/>
              </w:rPr>
            </w:pPr>
            <w:r w:rsidRPr="001866D3">
              <w:rPr>
                <w:sz w:val="20"/>
                <w:lang w:eastAsia="en-GB"/>
              </w:rPr>
              <w:t>Gateshead</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15,832 </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color w:val="FF0000"/>
                <w:sz w:val="20"/>
                <w:lang w:eastAsia="en-GB"/>
              </w:rPr>
              <w:t>(1,892)</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13,939 </w:t>
            </w:r>
          </w:p>
        </w:tc>
        <w:tc>
          <w:tcPr>
            <w:tcW w:w="1631"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93 </w:t>
            </w:r>
          </w:p>
        </w:tc>
      </w:tr>
      <w:tr w:rsidR="001866D3" w:rsidRPr="001866D3" w:rsidTr="001866D3">
        <w:trPr>
          <w:trHeight w:val="255"/>
        </w:trPr>
        <w:tc>
          <w:tcPr>
            <w:tcW w:w="3276" w:type="dxa"/>
            <w:shd w:val="clear" w:color="auto" w:fill="auto"/>
            <w:noWrap/>
            <w:vAlign w:val="bottom"/>
            <w:hideMark/>
          </w:tcPr>
          <w:p w:rsidR="001866D3" w:rsidRPr="001866D3" w:rsidRDefault="001866D3" w:rsidP="001866D3">
            <w:pPr>
              <w:spacing w:before="0" w:after="0" w:line="240" w:lineRule="auto"/>
              <w:rPr>
                <w:sz w:val="20"/>
                <w:lang w:eastAsia="en-GB"/>
              </w:rPr>
            </w:pPr>
            <w:r w:rsidRPr="001866D3">
              <w:rPr>
                <w:sz w:val="20"/>
                <w:lang w:eastAsia="en-GB"/>
              </w:rPr>
              <w:t>Gloucestershire</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21,793 </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0</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21,793 </w:t>
            </w:r>
          </w:p>
        </w:tc>
        <w:tc>
          <w:tcPr>
            <w:tcW w:w="1631"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38 </w:t>
            </w:r>
          </w:p>
        </w:tc>
      </w:tr>
      <w:tr w:rsidR="001866D3" w:rsidRPr="001866D3" w:rsidTr="001866D3">
        <w:trPr>
          <w:trHeight w:val="255"/>
        </w:trPr>
        <w:tc>
          <w:tcPr>
            <w:tcW w:w="3276" w:type="dxa"/>
            <w:shd w:val="clear" w:color="auto" w:fill="auto"/>
            <w:noWrap/>
            <w:vAlign w:val="bottom"/>
            <w:hideMark/>
          </w:tcPr>
          <w:p w:rsidR="001866D3" w:rsidRPr="001866D3" w:rsidRDefault="001866D3" w:rsidP="001866D3">
            <w:pPr>
              <w:spacing w:before="0" w:after="0" w:line="240" w:lineRule="auto"/>
              <w:rPr>
                <w:sz w:val="20"/>
                <w:lang w:eastAsia="en-GB"/>
              </w:rPr>
            </w:pPr>
            <w:r w:rsidRPr="001866D3">
              <w:rPr>
                <w:sz w:val="20"/>
                <w:lang w:eastAsia="en-GB"/>
              </w:rPr>
              <w:t>Greenwich</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19,061 </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0</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19,061 </w:t>
            </w:r>
          </w:p>
        </w:tc>
        <w:tc>
          <w:tcPr>
            <w:tcW w:w="1631"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29 </w:t>
            </w:r>
          </w:p>
        </w:tc>
      </w:tr>
      <w:tr w:rsidR="001866D3" w:rsidRPr="001866D3" w:rsidTr="001866D3">
        <w:trPr>
          <w:trHeight w:val="255"/>
        </w:trPr>
        <w:tc>
          <w:tcPr>
            <w:tcW w:w="3276" w:type="dxa"/>
            <w:shd w:val="clear" w:color="auto" w:fill="auto"/>
            <w:noWrap/>
            <w:vAlign w:val="bottom"/>
            <w:hideMark/>
          </w:tcPr>
          <w:p w:rsidR="001866D3" w:rsidRPr="001866D3" w:rsidRDefault="001866D3" w:rsidP="001866D3">
            <w:pPr>
              <w:spacing w:before="0" w:after="0" w:line="240" w:lineRule="auto"/>
              <w:rPr>
                <w:sz w:val="20"/>
                <w:lang w:eastAsia="en-GB"/>
              </w:rPr>
            </w:pPr>
            <w:r w:rsidRPr="001866D3">
              <w:rPr>
                <w:sz w:val="20"/>
                <w:lang w:eastAsia="en-GB"/>
              </w:rPr>
              <w:t>Hackney</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29,818 </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0</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29,818 </w:t>
            </w:r>
          </w:p>
        </w:tc>
        <w:tc>
          <w:tcPr>
            <w:tcW w:w="1631"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155 </w:t>
            </w:r>
          </w:p>
        </w:tc>
      </w:tr>
      <w:tr w:rsidR="001866D3" w:rsidRPr="001866D3" w:rsidTr="001866D3">
        <w:trPr>
          <w:trHeight w:val="255"/>
        </w:trPr>
        <w:tc>
          <w:tcPr>
            <w:tcW w:w="3276" w:type="dxa"/>
            <w:shd w:val="clear" w:color="auto" w:fill="auto"/>
            <w:noWrap/>
            <w:vAlign w:val="bottom"/>
            <w:hideMark/>
          </w:tcPr>
          <w:p w:rsidR="001866D3" w:rsidRPr="001866D3" w:rsidRDefault="001866D3" w:rsidP="001866D3">
            <w:pPr>
              <w:spacing w:before="0" w:after="0" w:line="240" w:lineRule="auto"/>
              <w:rPr>
                <w:sz w:val="20"/>
                <w:lang w:eastAsia="en-GB"/>
              </w:rPr>
            </w:pPr>
            <w:proofErr w:type="spellStart"/>
            <w:r w:rsidRPr="001866D3">
              <w:rPr>
                <w:sz w:val="20"/>
                <w:lang w:eastAsia="en-GB"/>
              </w:rPr>
              <w:t>Halton</w:t>
            </w:r>
            <w:proofErr w:type="spellEnd"/>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8,749 </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28</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8,776 </w:t>
            </w:r>
          </w:p>
        </w:tc>
        <w:tc>
          <w:tcPr>
            <w:tcW w:w="1631"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16 </w:t>
            </w:r>
          </w:p>
        </w:tc>
      </w:tr>
      <w:tr w:rsidR="001866D3" w:rsidRPr="001866D3" w:rsidTr="001866D3">
        <w:trPr>
          <w:trHeight w:val="255"/>
        </w:trPr>
        <w:tc>
          <w:tcPr>
            <w:tcW w:w="3276" w:type="dxa"/>
            <w:shd w:val="clear" w:color="auto" w:fill="auto"/>
            <w:noWrap/>
            <w:vAlign w:val="bottom"/>
            <w:hideMark/>
          </w:tcPr>
          <w:p w:rsidR="001866D3" w:rsidRPr="001866D3" w:rsidRDefault="001866D3" w:rsidP="001866D3">
            <w:pPr>
              <w:spacing w:before="0" w:after="0" w:line="240" w:lineRule="auto"/>
              <w:rPr>
                <w:sz w:val="20"/>
                <w:lang w:eastAsia="en-GB"/>
              </w:rPr>
            </w:pPr>
            <w:r w:rsidRPr="001866D3">
              <w:rPr>
                <w:sz w:val="20"/>
                <w:lang w:eastAsia="en-GB"/>
              </w:rPr>
              <w:t>Hammersmith and Fulham</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20,855 </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0</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20,855 </w:t>
            </w:r>
          </w:p>
        </w:tc>
        <w:tc>
          <w:tcPr>
            <w:tcW w:w="1631"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79 </w:t>
            </w:r>
          </w:p>
        </w:tc>
      </w:tr>
      <w:tr w:rsidR="001866D3" w:rsidRPr="001866D3" w:rsidTr="001866D3">
        <w:trPr>
          <w:trHeight w:val="255"/>
        </w:trPr>
        <w:tc>
          <w:tcPr>
            <w:tcW w:w="3276" w:type="dxa"/>
            <w:shd w:val="clear" w:color="000000" w:fill="FFFFFF"/>
            <w:noWrap/>
            <w:vAlign w:val="bottom"/>
            <w:hideMark/>
          </w:tcPr>
          <w:p w:rsidR="001866D3" w:rsidRPr="001866D3" w:rsidRDefault="001866D3" w:rsidP="001866D3">
            <w:pPr>
              <w:spacing w:before="0" w:after="0" w:line="240" w:lineRule="auto"/>
              <w:rPr>
                <w:sz w:val="20"/>
                <w:lang w:eastAsia="en-GB"/>
              </w:rPr>
            </w:pPr>
            <w:r w:rsidRPr="001866D3">
              <w:rPr>
                <w:sz w:val="20"/>
                <w:lang w:eastAsia="en-GB"/>
              </w:rPr>
              <w:t>Hampshire</w:t>
            </w:r>
          </w:p>
        </w:tc>
        <w:tc>
          <w:tcPr>
            <w:tcW w:w="1630" w:type="dxa"/>
            <w:shd w:val="clear" w:color="000000" w:fill="FFFFFF"/>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40,428 </w:t>
            </w:r>
          </w:p>
        </w:tc>
        <w:tc>
          <w:tcPr>
            <w:tcW w:w="1630" w:type="dxa"/>
            <w:shd w:val="clear" w:color="000000" w:fill="FFFFFF"/>
            <w:noWrap/>
            <w:vAlign w:val="bottom"/>
            <w:hideMark/>
          </w:tcPr>
          <w:p w:rsidR="001866D3" w:rsidRPr="001866D3" w:rsidRDefault="001866D3" w:rsidP="001866D3">
            <w:pPr>
              <w:spacing w:before="0" w:after="0" w:line="240" w:lineRule="auto"/>
              <w:jc w:val="right"/>
              <w:rPr>
                <w:sz w:val="20"/>
                <w:lang w:eastAsia="en-GB"/>
              </w:rPr>
            </w:pPr>
            <w:r w:rsidRPr="001866D3">
              <w:rPr>
                <w:color w:val="FF0000"/>
                <w:sz w:val="20"/>
                <w:lang w:eastAsia="en-GB"/>
              </w:rPr>
              <w:t>(65)</w:t>
            </w:r>
          </w:p>
        </w:tc>
        <w:tc>
          <w:tcPr>
            <w:tcW w:w="1630" w:type="dxa"/>
            <w:shd w:val="clear" w:color="000000" w:fill="FFFFFF"/>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40,363 </w:t>
            </w:r>
          </w:p>
        </w:tc>
        <w:tc>
          <w:tcPr>
            <w:tcW w:w="1631" w:type="dxa"/>
            <w:shd w:val="clear" w:color="000000" w:fill="FFFFFF"/>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245 </w:t>
            </w:r>
          </w:p>
        </w:tc>
      </w:tr>
      <w:tr w:rsidR="001866D3" w:rsidRPr="001866D3" w:rsidTr="001866D3">
        <w:trPr>
          <w:trHeight w:val="255"/>
        </w:trPr>
        <w:tc>
          <w:tcPr>
            <w:tcW w:w="3276" w:type="dxa"/>
            <w:shd w:val="clear" w:color="auto" w:fill="auto"/>
            <w:noWrap/>
            <w:vAlign w:val="bottom"/>
            <w:hideMark/>
          </w:tcPr>
          <w:p w:rsidR="001866D3" w:rsidRPr="001866D3" w:rsidRDefault="001866D3" w:rsidP="001866D3">
            <w:pPr>
              <w:spacing w:before="0" w:after="0" w:line="240" w:lineRule="auto"/>
              <w:rPr>
                <w:sz w:val="20"/>
                <w:lang w:eastAsia="en-GB"/>
              </w:rPr>
            </w:pPr>
            <w:r w:rsidRPr="001866D3">
              <w:rPr>
                <w:sz w:val="20"/>
                <w:lang w:eastAsia="en-GB"/>
              </w:rPr>
              <w:t>Haringey</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18,189 </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0</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18,189 </w:t>
            </w:r>
          </w:p>
        </w:tc>
        <w:tc>
          <w:tcPr>
            <w:tcW w:w="1631"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119 </w:t>
            </w:r>
          </w:p>
        </w:tc>
      </w:tr>
      <w:tr w:rsidR="001866D3" w:rsidRPr="001866D3" w:rsidTr="001866D3">
        <w:trPr>
          <w:trHeight w:val="255"/>
        </w:trPr>
        <w:tc>
          <w:tcPr>
            <w:tcW w:w="3276" w:type="dxa"/>
            <w:shd w:val="clear" w:color="auto" w:fill="auto"/>
            <w:noWrap/>
            <w:vAlign w:val="bottom"/>
            <w:hideMark/>
          </w:tcPr>
          <w:p w:rsidR="001866D3" w:rsidRPr="001866D3" w:rsidRDefault="001866D3" w:rsidP="001866D3">
            <w:pPr>
              <w:spacing w:before="0" w:after="0" w:line="240" w:lineRule="auto"/>
              <w:rPr>
                <w:sz w:val="20"/>
                <w:lang w:eastAsia="en-GB"/>
              </w:rPr>
            </w:pPr>
            <w:r w:rsidRPr="001866D3">
              <w:rPr>
                <w:sz w:val="20"/>
                <w:lang w:eastAsia="en-GB"/>
              </w:rPr>
              <w:t>Harrow</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9,146 </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0</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9,146 </w:t>
            </w:r>
          </w:p>
        </w:tc>
        <w:tc>
          <w:tcPr>
            <w:tcW w:w="1631"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43 </w:t>
            </w:r>
          </w:p>
        </w:tc>
      </w:tr>
      <w:tr w:rsidR="001866D3" w:rsidRPr="001866D3" w:rsidTr="001866D3">
        <w:trPr>
          <w:trHeight w:val="255"/>
        </w:trPr>
        <w:tc>
          <w:tcPr>
            <w:tcW w:w="3276" w:type="dxa"/>
            <w:shd w:val="clear" w:color="auto" w:fill="auto"/>
            <w:noWrap/>
            <w:vAlign w:val="bottom"/>
            <w:hideMark/>
          </w:tcPr>
          <w:p w:rsidR="001866D3" w:rsidRPr="001866D3" w:rsidRDefault="001866D3" w:rsidP="001866D3">
            <w:pPr>
              <w:spacing w:before="0" w:after="0" w:line="240" w:lineRule="auto"/>
              <w:rPr>
                <w:sz w:val="20"/>
                <w:lang w:eastAsia="en-GB"/>
              </w:rPr>
            </w:pPr>
            <w:r w:rsidRPr="001866D3">
              <w:rPr>
                <w:sz w:val="20"/>
                <w:lang w:eastAsia="en-GB"/>
              </w:rPr>
              <w:t>Hartlepool</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8,486 </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0</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8,486 </w:t>
            </w:r>
          </w:p>
        </w:tc>
        <w:tc>
          <w:tcPr>
            <w:tcW w:w="1631"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42 </w:t>
            </w:r>
          </w:p>
        </w:tc>
      </w:tr>
      <w:tr w:rsidR="001866D3" w:rsidRPr="001866D3" w:rsidTr="001866D3">
        <w:trPr>
          <w:trHeight w:val="255"/>
        </w:trPr>
        <w:tc>
          <w:tcPr>
            <w:tcW w:w="3276" w:type="dxa"/>
            <w:shd w:val="clear" w:color="auto" w:fill="auto"/>
            <w:noWrap/>
            <w:vAlign w:val="bottom"/>
            <w:hideMark/>
          </w:tcPr>
          <w:p w:rsidR="001866D3" w:rsidRPr="001866D3" w:rsidRDefault="001866D3" w:rsidP="001866D3">
            <w:pPr>
              <w:spacing w:before="0" w:after="0" w:line="240" w:lineRule="auto"/>
              <w:rPr>
                <w:sz w:val="20"/>
                <w:lang w:eastAsia="en-GB"/>
              </w:rPr>
            </w:pPr>
            <w:r w:rsidRPr="001866D3">
              <w:rPr>
                <w:sz w:val="20"/>
                <w:lang w:eastAsia="en-GB"/>
              </w:rPr>
              <w:lastRenderedPageBreak/>
              <w:t>Havering</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9,717 </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0</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9,717 </w:t>
            </w:r>
          </w:p>
        </w:tc>
        <w:tc>
          <w:tcPr>
            <w:tcW w:w="1631"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61 </w:t>
            </w:r>
          </w:p>
        </w:tc>
      </w:tr>
      <w:tr w:rsidR="001866D3" w:rsidRPr="001866D3" w:rsidTr="001866D3">
        <w:trPr>
          <w:trHeight w:val="255"/>
        </w:trPr>
        <w:tc>
          <w:tcPr>
            <w:tcW w:w="3276" w:type="dxa"/>
            <w:shd w:val="clear" w:color="auto" w:fill="auto"/>
            <w:noWrap/>
            <w:vAlign w:val="bottom"/>
            <w:hideMark/>
          </w:tcPr>
          <w:p w:rsidR="001866D3" w:rsidRPr="001866D3" w:rsidRDefault="001866D3" w:rsidP="001866D3">
            <w:pPr>
              <w:spacing w:before="0" w:after="0" w:line="240" w:lineRule="auto"/>
              <w:rPr>
                <w:sz w:val="20"/>
                <w:lang w:eastAsia="en-GB"/>
              </w:rPr>
            </w:pPr>
            <w:r w:rsidRPr="001866D3">
              <w:rPr>
                <w:sz w:val="20"/>
                <w:lang w:eastAsia="en-GB"/>
              </w:rPr>
              <w:t>Herefordshire, County of</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7,970 </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0</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7,970 </w:t>
            </w:r>
          </w:p>
        </w:tc>
        <w:tc>
          <w:tcPr>
            <w:tcW w:w="1631"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3,384 </w:t>
            </w:r>
          </w:p>
        </w:tc>
      </w:tr>
      <w:tr w:rsidR="001866D3" w:rsidRPr="001866D3" w:rsidTr="001866D3">
        <w:trPr>
          <w:trHeight w:val="255"/>
        </w:trPr>
        <w:tc>
          <w:tcPr>
            <w:tcW w:w="3276" w:type="dxa"/>
            <w:shd w:val="clear" w:color="auto" w:fill="auto"/>
            <w:noWrap/>
            <w:vAlign w:val="bottom"/>
            <w:hideMark/>
          </w:tcPr>
          <w:p w:rsidR="001866D3" w:rsidRPr="001866D3" w:rsidRDefault="001866D3" w:rsidP="001866D3">
            <w:pPr>
              <w:spacing w:before="0" w:after="0" w:line="240" w:lineRule="auto"/>
              <w:rPr>
                <w:sz w:val="20"/>
                <w:lang w:eastAsia="en-GB"/>
              </w:rPr>
            </w:pPr>
            <w:r w:rsidRPr="001866D3">
              <w:rPr>
                <w:sz w:val="20"/>
                <w:lang w:eastAsia="en-GB"/>
              </w:rPr>
              <w:t>Hertfordshire</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37,642 </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0</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37,642 </w:t>
            </w:r>
          </w:p>
        </w:tc>
        <w:tc>
          <w:tcPr>
            <w:tcW w:w="1631"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131 </w:t>
            </w:r>
          </w:p>
        </w:tc>
      </w:tr>
      <w:tr w:rsidR="001866D3" w:rsidRPr="001866D3" w:rsidTr="001866D3">
        <w:trPr>
          <w:trHeight w:val="255"/>
        </w:trPr>
        <w:tc>
          <w:tcPr>
            <w:tcW w:w="3276" w:type="dxa"/>
            <w:shd w:val="clear" w:color="auto" w:fill="auto"/>
            <w:noWrap/>
            <w:vAlign w:val="bottom"/>
            <w:hideMark/>
          </w:tcPr>
          <w:p w:rsidR="001866D3" w:rsidRPr="001866D3" w:rsidRDefault="001866D3" w:rsidP="001866D3">
            <w:pPr>
              <w:spacing w:before="0" w:after="0" w:line="240" w:lineRule="auto"/>
              <w:rPr>
                <w:sz w:val="20"/>
                <w:lang w:eastAsia="en-GB"/>
              </w:rPr>
            </w:pPr>
            <w:r w:rsidRPr="001866D3">
              <w:rPr>
                <w:sz w:val="20"/>
                <w:lang w:eastAsia="en-GB"/>
              </w:rPr>
              <w:t>Hillingdon</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15,709 </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0</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15,709 </w:t>
            </w:r>
          </w:p>
        </w:tc>
        <w:tc>
          <w:tcPr>
            <w:tcW w:w="1631"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52 </w:t>
            </w:r>
          </w:p>
        </w:tc>
      </w:tr>
      <w:tr w:rsidR="001866D3" w:rsidRPr="001866D3" w:rsidTr="001866D3">
        <w:trPr>
          <w:trHeight w:val="255"/>
        </w:trPr>
        <w:tc>
          <w:tcPr>
            <w:tcW w:w="3276" w:type="dxa"/>
            <w:shd w:val="clear" w:color="auto" w:fill="auto"/>
            <w:noWrap/>
            <w:vAlign w:val="bottom"/>
            <w:hideMark/>
          </w:tcPr>
          <w:p w:rsidR="001866D3" w:rsidRPr="001866D3" w:rsidRDefault="001866D3" w:rsidP="001866D3">
            <w:pPr>
              <w:spacing w:before="0" w:after="0" w:line="240" w:lineRule="auto"/>
              <w:rPr>
                <w:sz w:val="20"/>
                <w:lang w:eastAsia="en-GB"/>
              </w:rPr>
            </w:pPr>
            <w:r w:rsidRPr="001866D3">
              <w:rPr>
                <w:sz w:val="20"/>
                <w:lang w:eastAsia="en-GB"/>
              </w:rPr>
              <w:t>Hounslow</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14,084 </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0</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14,084 </w:t>
            </w:r>
          </w:p>
        </w:tc>
        <w:tc>
          <w:tcPr>
            <w:tcW w:w="1631"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104 </w:t>
            </w:r>
          </w:p>
        </w:tc>
      </w:tr>
      <w:tr w:rsidR="001866D3" w:rsidRPr="001866D3" w:rsidTr="001866D3">
        <w:trPr>
          <w:trHeight w:val="255"/>
        </w:trPr>
        <w:tc>
          <w:tcPr>
            <w:tcW w:w="3276" w:type="dxa"/>
            <w:shd w:val="clear" w:color="auto" w:fill="auto"/>
            <w:noWrap/>
            <w:vAlign w:val="bottom"/>
            <w:hideMark/>
          </w:tcPr>
          <w:p w:rsidR="001866D3" w:rsidRPr="001866D3" w:rsidRDefault="001866D3" w:rsidP="001866D3">
            <w:pPr>
              <w:spacing w:before="0" w:after="0" w:line="240" w:lineRule="auto"/>
              <w:rPr>
                <w:sz w:val="20"/>
                <w:lang w:eastAsia="en-GB"/>
              </w:rPr>
            </w:pPr>
            <w:r w:rsidRPr="001866D3">
              <w:rPr>
                <w:sz w:val="20"/>
                <w:lang w:eastAsia="en-GB"/>
              </w:rPr>
              <w:t>Isle of Wight</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6,088 </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0</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6,088 </w:t>
            </w:r>
          </w:p>
        </w:tc>
        <w:tc>
          <w:tcPr>
            <w:tcW w:w="1631"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28 </w:t>
            </w:r>
          </w:p>
        </w:tc>
      </w:tr>
      <w:tr w:rsidR="001866D3" w:rsidRPr="001866D3" w:rsidTr="001866D3">
        <w:trPr>
          <w:trHeight w:val="255"/>
        </w:trPr>
        <w:tc>
          <w:tcPr>
            <w:tcW w:w="3276" w:type="dxa"/>
            <w:shd w:val="clear" w:color="auto" w:fill="auto"/>
            <w:noWrap/>
            <w:vAlign w:val="bottom"/>
            <w:hideMark/>
          </w:tcPr>
          <w:p w:rsidR="001866D3" w:rsidRPr="001866D3" w:rsidRDefault="001866D3" w:rsidP="001866D3">
            <w:pPr>
              <w:spacing w:before="0" w:after="0" w:line="240" w:lineRule="auto"/>
              <w:rPr>
                <w:sz w:val="20"/>
                <w:lang w:eastAsia="en-GB"/>
              </w:rPr>
            </w:pPr>
            <w:r w:rsidRPr="001866D3">
              <w:rPr>
                <w:sz w:val="20"/>
                <w:lang w:eastAsia="en-GB"/>
              </w:rPr>
              <w:t>Isles of Scilly</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73 </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0</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73 </w:t>
            </w:r>
          </w:p>
        </w:tc>
        <w:tc>
          <w:tcPr>
            <w:tcW w:w="1631"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0 </w:t>
            </w:r>
          </w:p>
        </w:tc>
      </w:tr>
      <w:tr w:rsidR="001866D3" w:rsidRPr="001866D3" w:rsidTr="001866D3">
        <w:trPr>
          <w:trHeight w:val="255"/>
        </w:trPr>
        <w:tc>
          <w:tcPr>
            <w:tcW w:w="3276" w:type="dxa"/>
            <w:shd w:val="clear" w:color="auto" w:fill="auto"/>
            <w:noWrap/>
            <w:vAlign w:val="bottom"/>
            <w:hideMark/>
          </w:tcPr>
          <w:p w:rsidR="001866D3" w:rsidRPr="001866D3" w:rsidRDefault="001866D3" w:rsidP="001866D3">
            <w:pPr>
              <w:spacing w:before="0" w:after="0" w:line="240" w:lineRule="auto"/>
              <w:rPr>
                <w:sz w:val="20"/>
                <w:lang w:eastAsia="en-GB"/>
              </w:rPr>
            </w:pPr>
            <w:r w:rsidRPr="001866D3">
              <w:rPr>
                <w:sz w:val="20"/>
                <w:lang w:eastAsia="en-GB"/>
              </w:rPr>
              <w:t>Islington</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25,429 </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0</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25,429 </w:t>
            </w:r>
          </w:p>
        </w:tc>
        <w:tc>
          <w:tcPr>
            <w:tcW w:w="1631"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129 </w:t>
            </w:r>
          </w:p>
        </w:tc>
      </w:tr>
      <w:tr w:rsidR="001866D3" w:rsidRPr="001866D3" w:rsidTr="001866D3">
        <w:trPr>
          <w:trHeight w:val="255"/>
        </w:trPr>
        <w:tc>
          <w:tcPr>
            <w:tcW w:w="3276" w:type="dxa"/>
            <w:shd w:val="clear" w:color="auto" w:fill="auto"/>
            <w:noWrap/>
            <w:vAlign w:val="bottom"/>
            <w:hideMark/>
          </w:tcPr>
          <w:p w:rsidR="001866D3" w:rsidRPr="001866D3" w:rsidRDefault="001866D3" w:rsidP="001866D3">
            <w:pPr>
              <w:spacing w:before="0" w:after="0" w:line="240" w:lineRule="auto"/>
              <w:rPr>
                <w:sz w:val="20"/>
                <w:lang w:eastAsia="en-GB"/>
              </w:rPr>
            </w:pPr>
            <w:r w:rsidRPr="001866D3">
              <w:rPr>
                <w:sz w:val="20"/>
                <w:lang w:eastAsia="en-GB"/>
              </w:rPr>
              <w:t>Kensington and Chelsea</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21,214 </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0</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21,214 </w:t>
            </w:r>
          </w:p>
        </w:tc>
        <w:tc>
          <w:tcPr>
            <w:tcW w:w="1631"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99 </w:t>
            </w:r>
          </w:p>
        </w:tc>
      </w:tr>
      <w:tr w:rsidR="001866D3" w:rsidRPr="001866D3" w:rsidTr="001866D3">
        <w:trPr>
          <w:trHeight w:val="255"/>
        </w:trPr>
        <w:tc>
          <w:tcPr>
            <w:tcW w:w="3276" w:type="dxa"/>
            <w:shd w:val="clear" w:color="auto" w:fill="auto"/>
            <w:noWrap/>
            <w:vAlign w:val="bottom"/>
            <w:hideMark/>
          </w:tcPr>
          <w:p w:rsidR="001866D3" w:rsidRPr="001866D3" w:rsidRDefault="001866D3" w:rsidP="001866D3">
            <w:pPr>
              <w:spacing w:before="0" w:after="0" w:line="240" w:lineRule="auto"/>
              <w:rPr>
                <w:sz w:val="20"/>
                <w:lang w:eastAsia="en-GB"/>
              </w:rPr>
            </w:pPr>
            <w:r w:rsidRPr="001866D3">
              <w:rPr>
                <w:sz w:val="20"/>
                <w:lang w:eastAsia="en-GB"/>
              </w:rPr>
              <w:t>Kent</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54,827 </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color w:val="FF0000"/>
                <w:sz w:val="20"/>
                <w:lang w:eastAsia="en-GB"/>
              </w:rPr>
              <w:t>(1,563)</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53,264 </w:t>
            </w:r>
          </w:p>
        </w:tc>
        <w:tc>
          <w:tcPr>
            <w:tcW w:w="1631"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399 </w:t>
            </w:r>
          </w:p>
        </w:tc>
      </w:tr>
      <w:tr w:rsidR="001866D3" w:rsidRPr="001866D3" w:rsidTr="001866D3">
        <w:trPr>
          <w:trHeight w:val="255"/>
        </w:trPr>
        <w:tc>
          <w:tcPr>
            <w:tcW w:w="3276" w:type="dxa"/>
            <w:shd w:val="clear" w:color="auto" w:fill="auto"/>
            <w:noWrap/>
            <w:vAlign w:val="bottom"/>
            <w:hideMark/>
          </w:tcPr>
          <w:p w:rsidR="001866D3" w:rsidRPr="001866D3" w:rsidRDefault="001866D3" w:rsidP="001866D3">
            <w:pPr>
              <w:spacing w:before="0" w:after="0" w:line="240" w:lineRule="auto"/>
              <w:rPr>
                <w:sz w:val="20"/>
                <w:lang w:eastAsia="en-GB"/>
              </w:rPr>
            </w:pPr>
            <w:r w:rsidRPr="001866D3">
              <w:rPr>
                <w:sz w:val="20"/>
                <w:lang w:eastAsia="en-GB"/>
              </w:rPr>
              <w:t>Kingston upon Hull, City of</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22,559 </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0</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22,559 </w:t>
            </w:r>
          </w:p>
        </w:tc>
        <w:tc>
          <w:tcPr>
            <w:tcW w:w="1631"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74 </w:t>
            </w:r>
          </w:p>
        </w:tc>
      </w:tr>
      <w:tr w:rsidR="001866D3" w:rsidRPr="001866D3" w:rsidTr="001866D3">
        <w:trPr>
          <w:trHeight w:val="255"/>
        </w:trPr>
        <w:tc>
          <w:tcPr>
            <w:tcW w:w="3276" w:type="dxa"/>
            <w:shd w:val="clear" w:color="auto" w:fill="auto"/>
            <w:noWrap/>
            <w:vAlign w:val="bottom"/>
            <w:hideMark/>
          </w:tcPr>
          <w:p w:rsidR="001866D3" w:rsidRPr="001866D3" w:rsidRDefault="001866D3" w:rsidP="001866D3">
            <w:pPr>
              <w:spacing w:before="0" w:after="0" w:line="240" w:lineRule="auto"/>
              <w:rPr>
                <w:sz w:val="20"/>
                <w:lang w:eastAsia="en-GB"/>
              </w:rPr>
            </w:pPr>
            <w:r w:rsidRPr="001866D3">
              <w:rPr>
                <w:sz w:val="20"/>
                <w:lang w:eastAsia="en-GB"/>
              </w:rPr>
              <w:t>Kingston upon Thames</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9,302 </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0</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9,302 </w:t>
            </w:r>
          </w:p>
        </w:tc>
        <w:tc>
          <w:tcPr>
            <w:tcW w:w="1631"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36 </w:t>
            </w:r>
          </w:p>
        </w:tc>
      </w:tr>
      <w:tr w:rsidR="001866D3" w:rsidRPr="001866D3" w:rsidTr="001866D3">
        <w:trPr>
          <w:trHeight w:val="255"/>
        </w:trPr>
        <w:tc>
          <w:tcPr>
            <w:tcW w:w="3276" w:type="dxa"/>
            <w:shd w:val="clear" w:color="auto" w:fill="auto"/>
            <w:noWrap/>
            <w:vAlign w:val="bottom"/>
            <w:hideMark/>
          </w:tcPr>
          <w:p w:rsidR="001866D3" w:rsidRPr="001866D3" w:rsidRDefault="001866D3" w:rsidP="001866D3">
            <w:pPr>
              <w:spacing w:before="0" w:after="0" w:line="240" w:lineRule="auto"/>
              <w:rPr>
                <w:sz w:val="20"/>
                <w:lang w:eastAsia="en-GB"/>
              </w:rPr>
            </w:pPr>
            <w:r w:rsidRPr="001866D3">
              <w:rPr>
                <w:sz w:val="20"/>
                <w:lang w:eastAsia="en-GB"/>
              </w:rPr>
              <w:t>Kirklees</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23,527 </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0</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23,527 </w:t>
            </w:r>
          </w:p>
        </w:tc>
        <w:tc>
          <w:tcPr>
            <w:tcW w:w="1631"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92 </w:t>
            </w:r>
          </w:p>
        </w:tc>
      </w:tr>
      <w:tr w:rsidR="001866D3" w:rsidRPr="001866D3" w:rsidTr="001866D3">
        <w:trPr>
          <w:trHeight w:val="255"/>
        </w:trPr>
        <w:tc>
          <w:tcPr>
            <w:tcW w:w="3276" w:type="dxa"/>
            <w:shd w:val="clear" w:color="auto" w:fill="auto"/>
            <w:noWrap/>
            <w:vAlign w:val="bottom"/>
            <w:hideMark/>
          </w:tcPr>
          <w:p w:rsidR="001866D3" w:rsidRPr="001866D3" w:rsidRDefault="001866D3" w:rsidP="001866D3">
            <w:pPr>
              <w:spacing w:before="0" w:after="0" w:line="240" w:lineRule="auto"/>
              <w:rPr>
                <w:sz w:val="20"/>
                <w:lang w:eastAsia="en-GB"/>
              </w:rPr>
            </w:pPr>
            <w:proofErr w:type="spellStart"/>
            <w:r w:rsidRPr="001866D3">
              <w:rPr>
                <w:sz w:val="20"/>
                <w:lang w:eastAsia="en-GB"/>
              </w:rPr>
              <w:t>Knowsley</w:t>
            </w:r>
            <w:proofErr w:type="spellEnd"/>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16,375 </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45</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16,419 </w:t>
            </w:r>
          </w:p>
        </w:tc>
        <w:tc>
          <w:tcPr>
            <w:tcW w:w="1631"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49 </w:t>
            </w:r>
          </w:p>
        </w:tc>
      </w:tr>
      <w:tr w:rsidR="001866D3" w:rsidRPr="001866D3" w:rsidTr="001866D3">
        <w:trPr>
          <w:trHeight w:val="255"/>
        </w:trPr>
        <w:tc>
          <w:tcPr>
            <w:tcW w:w="3276" w:type="dxa"/>
            <w:shd w:val="clear" w:color="auto" w:fill="auto"/>
            <w:noWrap/>
            <w:vAlign w:val="bottom"/>
            <w:hideMark/>
          </w:tcPr>
          <w:p w:rsidR="001866D3" w:rsidRPr="001866D3" w:rsidRDefault="001866D3" w:rsidP="001866D3">
            <w:pPr>
              <w:spacing w:before="0" w:after="0" w:line="240" w:lineRule="auto"/>
              <w:rPr>
                <w:sz w:val="20"/>
                <w:lang w:eastAsia="en-GB"/>
              </w:rPr>
            </w:pPr>
            <w:r w:rsidRPr="001866D3">
              <w:rPr>
                <w:sz w:val="20"/>
                <w:lang w:eastAsia="en-GB"/>
              </w:rPr>
              <w:t>Lambeth</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26,437 </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0</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26,437 </w:t>
            </w:r>
          </w:p>
        </w:tc>
        <w:tc>
          <w:tcPr>
            <w:tcW w:w="1631"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678 </w:t>
            </w:r>
          </w:p>
        </w:tc>
      </w:tr>
      <w:tr w:rsidR="001866D3" w:rsidRPr="001866D3" w:rsidTr="001866D3">
        <w:trPr>
          <w:trHeight w:val="255"/>
        </w:trPr>
        <w:tc>
          <w:tcPr>
            <w:tcW w:w="3276" w:type="dxa"/>
            <w:shd w:val="clear" w:color="auto" w:fill="auto"/>
            <w:noWrap/>
            <w:vAlign w:val="bottom"/>
            <w:hideMark/>
          </w:tcPr>
          <w:p w:rsidR="001866D3" w:rsidRPr="001866D3" w:rsidRDefault="001866D3" w:rsidP="001866D3">
            <w:pPr>
              <w:spacing w:before="0" w:after="0" w:line="240" w:lineRule="auto"/>
              <w:rPr>
                <w:sz w:val="20"/>
                <w:lang w:eastAsia="en-GB"/>
              </w:rPr>
            </w:pPr>
            <w:r w:rsidRPr="001866D3">
              <w:rPr>
                <w:sz w:val="20"/>
                <w:lang w:eastAsia="en-GB"/>
              </w:rPr>
              <w:t>Lancashire</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59,801 </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0</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59,801 </w:t>
            </w:r>
          </w:p>
        </w:tc>
        <w:tc>
          <w:tcPr>
            <w:tcW w:w="1631"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78 </w:t>
            </w:r>
          </w:p>
        </w:tc>
      </w:tr>
      <w:tr w:rsidR="001866D3" w:rsidRPr="001866D3" w:rsidTr="001866D3">
        <w:trPr>
          <w:trHeight w:val="255"/>
        </w:trPr>
        <w:tc>
          <w:tcPr>
            <w:tcW w:w="3276" w:type="dxa"/>
            <w:shd w:val="clear" w:color="auto" w:fill="auto"/>
            <w:noWrap/>
            <w:vAlign w:val="bottom"/>
            <w:hideMark/>
          </w:tcPr>
          <w:p w:rsidR="001866D3" w:rsidRPr="001866D3" w:rsidRDefault="001866D3" w:rsidP="001866D3">
            <w:pPr>
              <w:spacing w:before="0" w:after="0" w:line="240" w:lineRule="auto"/>
              <w:rPr>
                <w:sz w:val="20"/>
                <w:lang w:eastAsia="en-GB"/>
              </w:rPr>
            </w:pPr>
            <w:r w:rsidRPr="001866D3">
              <w:rPr>
                <w:sz w:val="20"/>
                <w:lang w:eastAsia="en-GB"/>
              </w:rPr>
              <w:t>Leeds</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40,540 </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0</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40,540 </w:t>
            </w:r>
          </w:p>
        </w:tc>
        <w:tc>
          <w:tcPr>
            <w:tcW w:w="1631"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320 </w:t>
            </w:r>
          </w:p>
        </w:tc>
      </w:tr>
      <w:tr w:rsidR="001866D3" w:rsidRPr="001866D3" w:rsidTr="001866D3">
        <w:trPr>
          <w:trHeight w:val="255"/>
        </w:trPr>
        <w:tc>
          <w:tcPr>
            <w:tcW w:w="3276" w:type="dxa"/>
            <w:shd w:val="clear" w:color="auto" w:fill="auto"/>
            <w:noWrap/>
            <w:vAlign w:val="bottom"/>
            <w:hideMark/>
          </w:tcPr>
          <w:p w:rsidR="001866D3" w:rsidRPr="001866D3" w:rsidRDefault="001866D3" w:rsidP="001866D3">
            <w:pPr>
              <w:spacing w:before="0" w:after="0" w:line="240" w:lineRule="auto"/>
              <w:rPr>
                <w:sz w:val="20"/>
                <w:lang w:eastAsia="en-GB"/>
              </w:rPr>
            </w:pPr>
            <w:r w:rsidRPr="001866D3">
              <w:rPr>
                <w:sz w:val="20"/>
                <w:lang w:eastAsia="en-GB"/>
              </w:rPr>
              <w:t>Leicester</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21,995 </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color w:val="FF0000"/>
                <w:sz w:val="20"/>
                <w:lang w:eastAsia="en-GB"/>
              </w:rPr>
              <w:t>(16)</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21,979 </w:t>
            </w:r>
          </w:p>
        </w:tc>
        <w:tc>
          <w:tcPr>
            <w:tcW w:w="1631"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87 </w:t>
            </w:r>
          </w:p>
        </w:tc>
      </w:tr>
      <w:tr w:rsidR="001866D3" w:rsidRPr="001866D3" w:rsidTr="001866D3">
        <w:trPr>
          <w:trHeight w:val="255"/>
        </w:trPr>
        <w:tc>
          <w:tcPr>
            <w:tcW w:w="3276" w:type="dxa"/>
            <w:shd w:val="clear" w:color="auto" w:fill="auto"/>
            <w:noWrap/>
            <w:vAlign w:val="bottom"/>
            <w:hideMark/>
          </w:tcPr>
          <w:p w:rsidR="001866D3" w:rsidRPr="001866D3" w:rsidRDefault="001866D3" w:rsidP="001866D3">
            <w:pPr>
              <w:spacing w:before="0" w:after="0" w:line="240" w:lineRule="auto"/>
              <w:rPr>
                <w:sz w:val="20"/>
                <w:lang w:eastAsia="en-GB"/>
              </w:rPr>
            </w:pPr>
            <w:r w:rsidRPr="001866D3">
              <w:rPr>
                <w:sz w:val="20"/>
                <w:lang w:eastAsia="en-GB"/>
              </w:rPr>
              <w:t>Leicestershire</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21,863 </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0</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21,863 </w:t>
            </w:r>
          </w:p>
        </w:tc>
        <w:tc>
          <w:tcPr>
            <w:tcW w:w="1631"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19 </w:t>
            </w:r>
          </w:p>
        </w:tc>
      </w:tr>
      <w:tr w:rsidR="001866D3" w:rsidRPr="001866D3" w:rsidTr="001866D3">
        <w:trPr>
          <w:trHeight w:val="255"/>
        </w:trPr>
        <w:tc>
          <w:tcPr>
            <w:tcW w:w="3276" w:type="dxa"/>
            <w:shd w:val="clear" w:color="auto" w:fill="auto"/>
            <w:noWrap/>
            <w:vAlign w:val="bottom"/>
            <w:hideMark/>
          </w:tcPr>
          <w:p w:rsidR="001866D3" w:rsidRPr="001866D3" w:rsidRDefault="001866D3" w:rsidP="001866D3">
            <w:pPr>
              <w:spacing w:before="0" w:after="0" w:line="240" w:lineRule="auto"/>
              <w:rPr>
                <w:sz w:val="20"/>
                <w:lang w:eastAsia="en-GB"/>
              </w:rPr>
            </w:pPr>
            <w:r w:rsidRPr="001866D3">
              <w:rPr>
                <w:sz w:val="20"/>
                <w:lang w:eastAsia="en-GB"/>
              </w:rPr>
              <w:t>Lewisham</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20,088 </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0</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20,088 </w:t>
            </w:r>
          </w:p>
        </w:tc>
        <w:tc>
          <w:tcPr>
            <w:tcW w:w="1631"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82 </w:t>
            </w:r>
          </w:p>
        </w:tc>
      </w:tr>
      <w:tr w:rsidR="001866D3" w:rsidRPr="001866D3" w:rsidTr="001866D3">
        <w:trPr>
          <w:trHeight w:val="255"/>
        </w:trPr>
        <w:tc>
          <w:tcPr>
            <w:tcW w:w="3276" w:type="dxa"/>
            <w:shd w:val="clear" w:color="auto" w:fill="auto"/>
            <w:noWrap/>
            <w:vAlign w:val="bottom"/>
            <w:hideMark/>
          </w:tcPr>
          <w:p w:rsidR="001866D3" w:rsidRPr="001866D3" w:rsidRDefault="001866D3" w:rsidP="001866D3">
            <w:pPr>
              <w:spacing w:before="0" w:after="0" w:line="240" w:lineRule="auto"/>
              <w:rPr>
                <w:sz w:val="20"/>
                <w:lang w:eastAsia="en-GB"/>
              </w:rPr>
            </w:pPr>
            <w:r w:rsidRPr="001866D3">
              <w:rPr>
                <w:sz w:val="20"/>
                <w:lang w:eastAsia="en-GB"/>
              </w:rPr>
              <w:t>Lincolnshire</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28,506 </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0</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28,506 </w:t>
            </w:r>
          </w:p>
        </w:tc>
        <w:tc>
          <w:tcPr>
            <w:tcW w:w="1631"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98 </w:t>
            </w:r>
          </w:p>
        </w:tc>
      </w:tr>
      <w:tr w:rsidR="001866D3" w:rsidRPr="001866D3" w:rsidTr="001866D3">
        <w:trPr>
          <w:trHeight w:val="255"/>
        </w:trPr>
        <w:tc>
          <w:tcPr>
            <w:tcW w:w="3276" w:type="dxa"/>
            <w:shd w:val="clear" w:color="auto" w:fill="auto"/>
            <w:noWrap/>
            <w:vAlign w:val="bottom"/>
            <w:hideMark/>
          </w:tcPr>
          <w:p w:rsidR="001866D3" w:rsidRPr="001866D3" w:rsidRDefault="001866D3" w:rsidP="001866D3">
            <w:pPr>
              <w:spacing w:before="0" w:after="0" w:line="240" w:lineRule="auto"/>
              <w:rPr>
                <w:sz w:val="20"/>
                <w:lang w:eastAsia="en-GB"/>
              </w:rPr>
            </w:pPr>
            <w:r w:rsidRPr="001866D3">
              <w:rPr>
                <w:sz w:val="20"/>
                <w:lang w:eastAsia="en-GB"/>
              </w:rPr>
              <w:t>Liverpool</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41,436 </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0</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41,436 </w:t>
            </w:r>
          </w:p>
        </w:tc>
        <w:tc>
          <w:tcPr>
            <w:tcW w:w="1631"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111 </w:t>
            </w:r>
          </w:p>
        </w:tc>
      </w:tr>
      <w:tr w:rsidR="001866D3" w:rsidRPr="001866D3" w:rsidTr="001866D3">
        <w:trPr>
          <w:trHeight w:val="255"/>
        </w:trPr>
        <w:tc>
          <w:tcPr>
            <w:tcW w:w="3276" w:type="dxa"/>
            <w:shd w:val="clear" w:color="auto" w:fill="auto"/>
            <w:noWrap/>
            <w:vAlign w:val="bottom"/>
            <w:hideMark/>
          </w:tcPr>
          <w:p w:rsidR="001866D3" w:rsidRPr="001866D3" w:rsidRDefault="001866D3" w:rsidP="001866D3">
            <w:pPr>
              <w:spacing w:before="0" w:after="0" w:line="240" w:lineRule="auto"/>
              <w:rPr>
                <w:sz w:val="20"/>
                <w:lang w:eastAsia="en-GB"/>
              </w:rPr>
            </w:pPr>
            <w:r w:rsidRPr="001866D3">
              <w:rPr>
                <w:sz w:val="20"/>
                <w:lang w:eastAsia="en-GB"/>
              </w:rPr>
              <w:t>Luton</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13,065 </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0</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13,065 </w:t>
            </w:r>
          </w:p>
        </w:tc>
        <w:tc>
          <w:tcPr>
            <w:tcW w:w="1631"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28 </w:t>
            </w:r>
          </w:p>
        </w:tc>
      </w:tr>
      <w:tr w:rsidR="001866D3" w:rsidRPr="001866D3" w:rsidTr="001866D3">
        <w:trPr>
          <w:trHeight w:val="255"/>
        </w:trPr>
        <w:tc>
          <w:tcPr>
            <w:tcW w:w="3276" w:type="dxa"/>
            <w:shd w:val="clear" w:color="auto" w:fill="auto"/>
            <w:noWrap/>
            <w:vAlign w:val="bottom"/>
            <w:hideMark/>
          </w:tcPr>
          <w:p w:rsidR="001866D3" w:rsidRPr="001866D3" w:rsidRDefault="001866D3" w:rsidP="001866D3">
            <w:pPr>
              <w:spacing w:before="0" w:after="0" w:line="240" w:lineRule="auto"/>
              <w:rPr>
                <w:sz w:val="20"/>
                <w:lang w:eastAsia="en-GB"/>
              </w:rPr>
            </w:pPr>
            <w:r w:rsidRPr="001866D3">
              <w:rPr>
                <w:sz w:val="20"/>
                <w:lang w:eastAsia="en-GB"/>
              </w:rPr>
              <w:t>Manchester</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44,116 </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4,188</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48,303 </w:t>
            </w:r>
          </w:p>
        </w:tc>
        <w:tc>
          <w:tcPr>
            <w:tcW w:w="1631"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75 </w:t>
            </w:r>
          </w:p>
        </w:tc>
      </w:tr>
      <w:tr w:rsidR="001866D3" w:rsidRPr="001866D3" w:rsidTr="001866D3">
        <w:trPr>
          <w:trHeight w:val="255"/>
        </w:trPr>
        <w:tc>
          <w:tcPr>
            <w:tcW w:w="3276" w:type="dxa"/>
            <w:shd w:val="clear" w:color="auto" w:fill="auto"/>
            <w:noWrap/>
            <w:vAlign w:val="bottom"/>
            <w:hideMark/>
          </w:tcPr>
          <w:p w:rsidR="001866D3" w:rsidRPr="001866D3" w:rsidRDefault="001866D3" w:rsidP="001866D3">
            <w:pPr>
              <w:spacing w:before="0" w:after="0" w:line="240" w:lineRule="auto"/>
              <w:rPr>
                <w:sz w:val="20"/>
                <w:lang w:eastAsia="en-GB"/>
              </w:rPr>
            </w:pPr>
            <w:r w:rsidRPr="001866D3">
              <w:rPr>
                <w:sz w:val="20"/>
                <w:lang w:eastAsia="en-GB"/>
              </w:rPr>
              <w:t>Medway</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14,280 </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0</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14,280 </w:t>
            </w:r>
          </w:p>
        </w:tc>
        <w:tc>
          <w:tcPr>
            <w:tcW w:w="1631"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80 </w:t>
            </w:r>
          </w:p>
        </w:tc>
      </w:tr>
      <w:tr w:rsidR="001866D3" w:rsidRPr="001866D3" w:rsidTr="001866D3">
        <w:trPr>
          <w:trHeight w:val="255"/>
        </w:trPr>
        <w:tc>
          <w:tcPr>
            <w:tcW w:w="3276" w:type="dxa"/>
            <w:shd w:val="clear" w:color="auto" w:fill="auto"/>
            <w:noWrap/>
            <w:vAlign w:val="bottom"/>
            <w:hideMark/>
          </w:tcPr>
          <w:p w:rsidR="001866D3" w:rsidRPr="001866D3" w:rsidRDefault="001866D3" w:rsidP="001866D3">
            <w:pPr>
              <w:spacing w:before="0" w:after="0" w:line="240" w:lineRule="auto"/>
              <w:rPr>
                <w:sz w:val="20"/>
                <w:lang w:eastAsia="en-GB"/>
              </w:rPr>
            </w:pPr>
            <w:r w:rsidRPr="001866D3">
              <w:rPr>
                <w:sz w:val="20"/>
                <w:lang w:eastAsia="en-GB"/>
              </w:rPr>
              <w:t>Merton</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9,236 </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0</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9,236 </w:t>
            </w:r>
          </w:p>
        </w:tc>
        <w:tc>
          <w:tcPr>
            <w:tcW w:w="1631"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29 </w:t>
            </w:r>
          </w:p>
        </w:tc>
      </w:tr>
      <w:tr w:rsidR="001866D3" w:rsidRPr="001866D3" w:rsidTr="001866D3">
        <w:trPr>
          <w:trHeight w:val="255"/>
        </w:trPr>
        <w:tc>
          <w:tcPr>
            <w:tcW w:w="3276" w:type="dxa"/>
            <w:shd w:val="clear" w:color="auto" w:fill="auto"/>
            <w:noWrap/>
            <w:vAlign w:val="bottom"/>
            <w:hideMark/>
          </w:tcPr>
          <w:p w:rsidR="001866D3" w:rsidRPr="001866D3" w:rsidRDefault="001866D3" w:rsidP="001866D3">
            <w:pPr>
              <w:spacing w:before="0" w:after="0" w:line="240" w:lineRule="auto"/>
              <w:rPr>
                <w:sz w:val="20"/>
                <w:lang w:eastAsia="en-GB"/>
              </w:rPr>
            </w:pPr>
            <w:r w:rsidRPr="001866D3">
              <w:rPr>
                <w:sz w:val="20"/>
                <w:lang w:eastAsia="en-GB"/>
              </w:rPr>
              <w:t>Middlesbrough</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16,378 </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0</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16,378 </w:t>
            </w:r>
          </w:p>
        </w:tc>
        <w:tc>
          <w:tcPr>
            <w:tcW w:w="1631"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43 </w:t>
            </w:r>
          </w:p>
        </w:tc>
      </w:tr>
      <w:tr w:rsidR="001866D3" w:rsidRPr="001866D3" w:rsidTr="001866D3">
        <w:trPr>
          <w:trHeight w:val="255"/>
        </w:trPr>
        <w:tc>
          <w:tcPr>
            <w:tcW w:w="3276" w:type="dxa"/>
            <w:shd w:val="clear" w:color="auto" w:fill="auto"/>
            <w:noWrap/>
            <w:vAlign w:val="bottom"/>
          </w:tcPr>
          <w:p w:rsidR="001866D3" w:rsidRPr="001866D3" w:rsidRDefault="001866D3" w:rsidP="001866D3">
            <w:pPr>
              <w:spacing w:before="0" w:after="0" w:line="240" w:lineRule="auto"/>
              <w:rPr>
                <w:sz w:val="20"/>
                <w:lang w:eastAsia="en-GB"/>
              </w:rPr>
            </w:pPr>
          </w:p>
        </w:tc>
        <w:tc>
          <w:tcPr>
            <w:tcW w:w="1630" w:type="dxa"/>
            <w:shd w:val="clear" w:color="auto" w:fill="auto"/>
            <w:noWrap/>
            <w:vAlign w:val="bottom"/>
          </w:tcPr>
          <w:p w:rsidR="001866D3" w:rsidRPr="001866D3" w:rsidRDefault="001866D3" w:rsidP="001866D3">
            <w:pPr>
              <w:spacing w:before="0" w:after="0" w:line="240" w:lineRule="auto"/>
              <w:jc w:val="right"/>
              <w:rPr>
                <w:sz w:val="20"/>
                <w:lang w:eastAsia="en-GB"/>
              </w:rPr>
            </w:pPr>
          </w:p>
        </w:tc>
        <w:tc>
          <w:tcPr>
            <w:tcW w:w="1630" w:type="dxa"/>
            <w:shd w:val="clear" w:color="auto" w:fill="auto"/>
            <w:noWrap/>
            <w:vAlign w:val="bottom"/>
          </w:tcPr>
          <w:p w:rsidR="001866D3" w:rsidRPr="001866D3" w:rsidRDefault="001866D3" w:rsidP="001866D3">
            <w:pPr>
              <w:spacing w:before="0" w:after="0" w:line="240" w:lineRule="auto"/>
              <w:jc w:val="right"/>
              <w:rPr>
                <w:sz w:val="20"/>
                <w:lang w:eastAsia="en-GB"/>
              </w:rPr>
            </w:pPr>
          </w:p>
        </w:tc>
        <w:tc>
          <w:tcPr>
            <w:tcW w:w="1630" w:type="dxa"/>
            <w:shd w:val="clear" w:color="auto" w:fill="auto"/>
            <w:noWrap/>
            <w:vAlign w:val="bottom"/>
          </w:tcPr>
          <w:p w:rsidR="001866D3" w:rsidRPr="001866D3" w:rsidRDefault="001866D3" w:rsidP="001866D3">
            <w:pPr>
              <w:spacing w:before="0" w:after="0" w:line="240" w:lineRule="auto"/>
              <w:jc w:val="right"/>
              <w:rPr>
                <w:sz w:val="20"/>
                <w:lang w:eastAsia="en-GB"/>
              </w:rPr>
            </w:pPr>
          </w:p>
        </w:tc>
        <w:tc>
          <w:tcPr>
            <w:tcW w:w="1631" w:type="dxa"/>
            <w:shd w:val="clear" w:color="auto" w:fill="auto"/>
            <w:noWrap/>
            <w:vAlign w:val="bottom"/>
          </w:tcPr>
          <w:p w:rsidR="001866D3" w:rsidRPr="001866D3" w:rsidRDefault="001866D3" w:rsidP="001866D3">
            <w:pPr>
              <w:spacing w:before="0" w:after="0" w:line="240" w:lineRule="auto"/>
              <w:jc w:val="right"/>
              <w:rPr>
                <w:sz w:val="20"/>
                <w:lang w:eastAsia="en-GB"/>
              </w:rPr>
            </w:pPr>
          </w:p>
        </w:tc>
      </w:tr>
      <w:tr w:rsidR="001866D3" w:rsidRPr="001866D3" w:rsidTr="001866D3">
        <w:trPr>
          <w:trHeight w:val="255"/>
        </w:trPr>
        <w:tc>
          <w:tcPr>
            <w:tcW w:w="3276" w:type="dxa"/>
            <w:shd w:val="clear" w:color="auto" w:fill="auto"/>
            <w:noWrap/>
            <w:vAlign w:val="bottom"/>
            <w:hideMark/>
          </w:tcPr>
          <w:p w:rsidR="001866D3" w:rsidRPr="001866D3" w:rsidRDefault="001866D3" w:rsidP="001866D3">
            <w:pPr>
              <w:spacing w:before="0" w:after="0" w:line="240" w:lineRule="auto"/>
              <w:rPr>
                <w:sz w:val="20"/>
                <w:lang w:eastAsia="en-GB"/>
              </w:rPr>
            </w:pPr>
            <w:r w:rsidRPr="001866D3">
              <w:rPr>
                <w:sz w:val="20"/>
                <w:lang w:eastAsia="en-GB"/>
              </w:rPr>
              <w:lastRenderedPageBreak/>
              <w:t>Milton Keynes</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8,788 </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0</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8,788 </w:t>
            </w:r>
          </w:p>
        </w:tc>
        <w:tc>
          <w:tcPr>
            <w:tcW w:w="1631"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12 </w:t>
            </w:r>
          </w:p>
        </w:tc>
      </w:tr>
      <w:tr w:rsidR="001866D3" w:rsidRPr="001866D3" w:rsidTr="001866D3">
        <w:trPr>
          <w:trHeight w:val="255"/>
        </w:trPr>
        <w:tc>
          <w:tcPr>
            <w:tcW w:w="3276" w:type="dxa"/>
            <w:shd w:val="clear" w:color="auto" w:fill="auto"/>
            <w:noWrap/>
            <w:vAlign w:val="bottom"/>
            <w:hideMark/>
          </w:tcPr>
          <w:p w:rsidR="001866D3" w:rsidRPr="001866D3" w:rsidRDefault="001866D3" w:rsidP="001866D3">
            <w:pPr>
              <w:spacing w:before="0" w:after="0" w:line="240" w:lineRule="auto"/>
              <w:rPr>
                <w:sz w:val="20"/>
                <w:lang w:eastAsia="en-GB"/>
              </w:rPr>
            </w:pPr>
            <w:r w:rsidRPr="001866D3">
              <w:rPr>
                <w:sz w:val="20"/>
                <w:lang w:eastAsia="en-GB"/>
              </w:rPr>
              <w:t>Newcastle upon Tyne</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21,301 </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0</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21,301 </w:t>
            </w:r>
          </w:p>
        </w:tc>
        <w:tc>
          <w:tcPr>
            <w:tcW w:w="1631"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150 </w:t>
            </w:r>
          </w:p>
        </w:tc>
      </w:tr>
      <w:tr w:rsidR="001866D3" w:rsidRPr="001866D3" w:rsidTr="001866D3">
        <w:trPr>
          <w:trHeight w:val="255"/>
        </w:trPr>
        <w:tc>
          <w:tcPr>
            <w:tcW w:w="3276" w:type="dxa"/>
            <w:shd w:val="clear" w:color="auto" w:fill="auto"/>
            <w:noWrap/>
            <w:vAlign w:val="bottom"/>
            <w:hideMark/>
          </w:tcPr>
          <w:p w:rsidR="001866D3" w:rsidRPr="001866D3" w:rsidRDefault="001866D3" w:rsidP="001866D3">
            <w:pPr>
              <w:spacing w:before="0" w:after="0" w:line="240" w:lineRule="auto"/>
              <w:rPr>
                <w:sz w:val="20"/>
                <w:lang w:eastAsia="en-GB"/>
              </w:rPr>
            </w:pPr>
            <w:r w:rsidRPr="001866D3">
              <w:rPr>
                <w:sz w:val="20"/>
                <w:lang w:eastAsia="en-GB"/>
              </w:rPr>
              <w:t>Newham</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26,112 </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0</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26,112 </w:t>
            </w:r>
          </w:p>
        </w:tc>
        <w:tc>
          <w:tcPr>
            <w:tcW w:w="1631"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95 </w:t>
            </w:r>
          </w:p>
        </w:tc>
      </w:tr>
      <w:tr w:rsidR="001866D3" w:rsidRPr="001866D3" w:rsidTr="001866D3">
        <w:trPr>
          <w:trHeight w:val="255"/>
        </w:trPr>
        <w:tc>
          <w:tcPr>
            <w:tcW w:w="3276" w:type="dxa"/>
            <w:shd w:val="clear" w:color="auto" w:fill="auto"/>
            <w:noWrap/>
            <w:vAlign w:val="bottom"/>
            <w:hideMark/>
          </w:tcPr>
          <w:p w:rsidR="001866D3" w:rsidRPr="001866D3" w:rsidRDefault="001866D3" w:rsidP="001866D3">
            <w:pPr>
              <w:spacing w:before="0" w:after="0" w:line="240" w:lineRule="auto"/>
              <w:rPr>
                <w:sz w:val="20"/>
                <w:lang w:eastAsia="en-GB"/>
              </w:rPr>
            </w:pPr>
            <w:r w:rsidRPr="001866D3">
              <w:rPr>
                <w:sz w:val="20"/>
                <w:lang w:eastAsia="en-GB"/>
              </w:rPr>
              <w:t>Norfolk</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30,633 </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color w:val="FF0000"/>
                <w:sz w:val="20"/>
                <w:lang w:eastAsia="en-GB"/>
              </w:rPr>
              <w:t>(42)</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30,590 </w:t>
            </w:r>
          </w:p>
        </w:tc>
        <w:tc>
          <w:tcPr>
            <w:tcW w:w="1631"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95 </w:t>
            </w:r>
          </w:p>
        </w:tc>
      </w:tr>
      <w:tr w:rsidR="001866D3" w:rsidRPr="001866D3" w:rsidTr="001866D3">
        <w:trPr>
          <w:trHeight w:val="255"/>
        </w:trPr>
        <w:tc>
          <w:tcPr>
            <w:tcW w:w="3276" w:type="dxa"/>
            <w:shd w:val="clear" w:color="auto" w:fill="auto"/>
            <w:noWrap/>
            <w:vAlign w:val="bottom"/>
            <w:hideMark/>
          </w:tcPr>
          <w:p w:rsidR="001866D3" w:rsidRPr="001866D3" w:rsidRDefault="001866D3" w:rsidP="001866D3">
            <w:pPr>
              <w:spacing w:before="0" w:after="0" w:line="240" w:lineRule="auto"/>
              <w:rPr>
                <w:sz w:val="20"/>
                <w:lang w:eastAsia="en-GB"/>
              </w:rPr>
            </w:pPr>
            <w:r w:rsidRPr="001866D3">
              <w:rPr>
                <w:sz w:val="20"/>
                <w:lang w:eastAsia="en-GB"/>
              </w:rPr>
              <w:t>North East Lincolnshire</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9,971 </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0</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9,971 </w:t>
            </w:r>
          </w:p>
        </w:tc>
        <w:tc>
          <w:tcPr>
            <w:tcW w:w="1631"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31 </w:t>
            </w:r>
          </w:p>
        </w:tc>
      </w:tr>
      <w:tr w:rsidR="001866D3" w:rsidRPr="001866D3" w:rsidTr="001866D3">
        <w:trPr>
          <w:trHeight w:val="255"/>
        </w:trPr>
        <w:tc>
          <w:tcPr>
            <w:tcW w:w="3276" w:type="dxa"/>
            <w:shd w:val="clear" w:color="auto" w:fill="auto"/>
            <w:noWrap/>
            <w:vAlign w:val="bottom"/>
            <w:hideMark/>
          </w:tcPr>
          <w:p w:rsidR="001866D3" w:rsidRPr="001866D3" w:rsidRDefault="001866D3" w:rsidP="001866D3">
            <w:pPr>
              <w:spacing w:before="0" w:after="0" w:line="240" w:lineRule="auto"/>
              <w:rPr>
                <w:sz w:val="20"/>
                <w:lang w:eastAsia="en-GB"/>
              </w:rPr>
            </w:pPr>
            <w:r w:rsidRPr="001866D3">
              <w:rPr>
                <w:sz w:val="20"/>
                <w:lang w:eastAsia="en-GB"/>
              </w:rPr>
              <w:t>North Lincolnshire</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8,464 </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0</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8,464 </w:t>
            </w:r>
          </w:p>
        </w:tc>
        <w:tc>
          <w:tcPr>
            <w:tcW w:w="1631"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24 </w:t>
            </w:r>
          </w:p>
        </w:tc>
      </w:tr>
      <w:tr w:rsidR="001866D3" w:rsidRPr="001866D3" w:rsidTr="001866D3">
        <w:trPr>
          <w:trHeight w:val="255"/>
        </w:trPr>
        <w:tc>
          <w:tcPr>
            <w:tcW w:w="3276" w:type="dxa"/>
            <w:shd w:val="clear" w:color="auto" w:fill="auto"/>
            <w:noWrap/>
            <w:vAlign w:val="bottom"/>
            <w:hideMark/>
          </w:tcPr>
          <w:p w:rsidR="001866D3" w:rsidRPr="001866D3" w:rsidRDefault="001866D3" w:rsidP="001866D3">
            <w:pPr>
              <w:spacing w:before="0" w:after="0" w:line="240" w:lineRule="auto"/>
              <w:rPr>
                <w:sz w:val="20"/>
                <w:lang w:eastAsia="en-GB"/>
              </w:rPr>
            </w:pPr>
            <w:r w:rsidRPr="001866D3">
              <w:rPr>
                <w:sz w:val="20"/>
                <w:lang w:eastAsia="en-GB"/>
              </w:rPr>
              <w:t>North Somerset</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7,593 </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0</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7,593 </w:t>
            </w:r>
          </w:p>
        </w:tc>
        <w:tc>
          <w:tcPr>
            <w:tcW w:w="1631"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24 </w:t>
            </w:r>
          </w:p>
        </w:tc>
      </w:tr>
      <w:tr w:rsidR="001866D3" w:rsidRPr="001866D3" w:rsidTr="001866D3">
        <w:trPr>
          <w:trHeight w:val="255"/>
        </w:trPr>
        <w:tc>
          <w:tcPr>
            <w:tcW w:w="3276" w:type="dxa"/>
            <w:shd w:val="clear" w:color="auto" w:fill="auto"/>
            <w:noWrap/>
            <w:vAlign w:val="bottom"/>
            <w:hideMark/>
          </w:tcPr>
          <w:p w:rsidR="001866D3" w:rsidRPr="001866D3" w:rsidRDefault="001866D3" w:rsidP="001866D3">
            <w:pPr>
              <w:spacing w:before="0" w:after="0" w:line="240" w:lineRule="auto"/>
              <w:rPr>
                <w:sz w:val="20"/>
                <w:lang w:eastAsia="en-GB"/>
              </w:rPr>
            </w:pPr>
            <w:r w:rsidRPr="001866D3">
              <w:rPr>
                <w:sz w:val="20"/>
                <w:lang w:eastAsia="en-GB"/>
              </w:rPr>
              <w:t>North Tyneside</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10,807 </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0</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10,807 </w:t>
            </w:r>
          </w:p>
        </w:tc>
        <w:tc>
          <w:tcPr>
            <w:tcW w:w="1631"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38 </w:t>
            </w:r>
          </w:p>
        </w:tc>
      </w:tr>
      <w:tr w:rsidR="001866D3" w:rsidRPr="001866D3" w:rsidTr="001866D3">
        <w:trPr>
          <w:trHeight w:val="255"/>
        </w:trPr>
        <w:tc>
          <w:tcPr>
            <w:tcW w:w="3276" w:type="dxa"/>
            <w:shd w:val="clear" w:color="auto" w:fill="auto"/>
            <w:noWrap/>
            <w:vAlign w:val="bottom"/>
            <w:hideMark/>
          </w:tcPr>
          <w:p w:rsidR="001866D3" w:rsidRPr="001866D3" w:rsidRDefault="001866D3" w:rsidP="001866D3">
            <w:pPr>
              <w:spacing w:before="0" w:after="0" w:line="240" w:lineRule="auto"/>
              <w:rPr>
                <w:sz w:val="20"/>
                <w:lang w:eastAsia="en-GB"/>
              </w:rPr>
            </w:pPr>
            <w:r w:rsidRPr="001866D3">
              <w:rPr>
                <w:sz w:val="20"/>
                <w:lang w:eastAsia="en-GB"/>
              </w:rPr>
              <w:t>North Yorkshire</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19,732 </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0</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19,732 </w:t>
            </w:r>
          </w:p>
        </w:tc>
        <w:tc>
          <w:tcPr>
            <w:tcW w:w="1631"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15 </w:t>
            </w:r>
          </w:p>
        </w:tc>
      </w:tr>
      <w:tr w:rsidR="001866D3" w:rsidRPr="001866D3" w:rsidTr="001866D3">
        <w:trPr>
          <w:trHeight w:val="255"/>
        </w:trPr>
        <w:tc>
          <w:tcPr>
            <w:tcW w:w="3276" w:type="dxa"/>
            <w:shd w:val="clear" w:color="auto" w:fill="auto"/>
            <w:noWrap/>
            <w:vAlign w:val="bottom"/>
            <w:hideMark/>
          </w:tcPr>
          <w:p w:rsidR="001866D3" w:rsidRPr="001866D3" w:rsidRDefault="001866D3" w:rsidP="001866D3">
            <w:pPr>
              <w:spacing w:before="0" w:after="0" w:line="240" w:lineRule="auto"/>
              <w:rPr>
                <w:sz w:val="20"/>
                <w:lang w:eastAsia="en-GB"/>
              </w:rPr>
            </w:pPr>
            <w:r w:rsidRPr="001866D3">
              <w:rPr>
                <w:sz w:val="20"/>
                <w:lang w:eastAsia="en-GB"/>
              </w:rPr>
              <w:t>Northamptonshire</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29,523 </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0</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29,523 </w:t>
            </w:r>
          </w:p>
        </w:tc>
        <w:tc>
          <w:tcPr>
            <w:tcW w:w="1631"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110 </w:t>
            </w:r>
          </w:p>
        </w:tc>
      </w:tr>
      <w:tr w:rsidR="001866D3" w:rsidRPr="001866D3" w:rsidTr="001866D3">
        <w:trPr>
          <w:trHeight w:val="255"/>
        </w:trPr>
        <w:tc>
          <w:tcPr>
            <w:tcW w:w="3276" w:type="dxa"/>
            <w:shd w:val="clear" w:color="auto" w:fill="auto"/>
            <w:noWrap/>
            <w:vAlign w:val="bottom"/>
            <w:hideMark/>
          </w:tcPr>
          <w:p w:rsidR="001866D3" w:rsidRPr="001866D3" w:rsidRDefault="001866D3" w:rsidP="001866D3">
            <w:pPr>
              <w:spacing w:before="0" w:after="0" w:line="240" w:lineRule="auto"/>
              <w:rPr>
                <w:sz w:val="20"/>
                <w:lang w:eastAsia="en-GB"/>
              </w:rPr>
            </w:pPr>
            <w:r w:rsidRPr="001866D3">
              <w:rPr>
                <w:sz w:val="20"/>
                <w:lang w:eastAsia="en-GB"/>
              </w:rPr>
              <w:t>Northumberland</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13,408 </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color w:val="FF0000"/>
                <w:sz w:val="20"/>
                <w:lang w:eastAsia="en-GB"/>
              </w:rPr>
              <w:t>(47)</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13,361 </w:t>
            </w:r>
          </w:p>
        </w:tc>
        <w:tc>
          <w:tcPr>
            <w:tcW w:w="1631"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12 </w:t>
            </w:r>
          </w:p>
        </w:tc>
      </w:tr>
      <w:tr w:rsidR="001866D3" w:rsidRPr="001866D3" w:rsidTr="001866D3">
        <w:trPr>
          <w:trHeight w:val="255"/>
        </w:trPr>
        <w:tc>
          <w:tcPr>
            <w:tcW w:w="3276" w:type="dxa"/>
            <w:shd w:val="clear" w:color="auto" w:fill="auto"/>
            <w:noWrap/>
            <w:vAlign w:val="bottom"/>
            <w:hideMark/>
          </w:tcPr>
          <w:p w:rsidR="001866D3" w:rsidRPr="001866D3" w:rsidRDefault="001866D3" w:rsidP="001866D3">
            <w:pPr>
              <w:spacing w:before="0" w:after="0" w:line="240" w:lineRule="auto"/>
              <w:rPr>
                <w:sz w:val="20"/>
                <w:lang w:eastAsia="en-GB"/>
              </w:rPr>
            </w:pPr>
            <w:r w:rsidRPr="001866D3">
              <w:rPr>
                <w:sz w:val="20"/>
                <w:lang w:eastAsia="en-GB"/>
              </w:rPr>
              <w:t>Nottingham</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27,839 </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0</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27,839 </w:t>
            </w:r>
          </w:p>
        </w:tc>
        <w:tc>
          <w:tcPr>
            <w:tcW w:w="1631"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113 </w:t>
            </w:r>
          </w:p>
        </w:tc>
      </w:tr>
      <w:tr w:rsidR="001866D3" w:rsidRPr="001866D3" w:rsidTr="001866D3">
        <w:trPr>
          <w:trHeight w:val="255"/>
        </w:trPr>
        <w:tc>
          <w:tcPr>
            <w:tcW w:w="3276" w:type="dxa"/>
            <w:shd w:val="clear" w:color="auto" w:fill="auto"/>
            <w:noWrap/>
            <w:vAlign w:val="bottom"/>
            <w:hideMark/>
          </w:tcPr>
          <w:p w:rsidR="001866D3" w:rsidRPr="001866D3" w:rsidRDefault="001866D3" w:rsidP="001866D3">
            <w:pPr>
              <w:spacing w:before="0" w:after="0" w:line="240" w:lineRule="auto"/>
              <w:rPr>
                <w:sz w:val="20"/>
                <w:lang w:eastAsia="en-GB"/>
              </w:rPr>
            </w:pPr>
            <w:r w:rsidRPr="001866D3">
              <w:rPr>
                <w:sz w:val="20"/>
                <w:lang w:eastAsia="en-GB"/>
              </w:rPr>
              <w:t>Nottinghamshire</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36,119 </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0</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36,119 </w:t>
            </w:r>
          </w:p>
        </w:tc>
        <w:tc>
          <w:tcPr>
            <w:tcW w:w="1631"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257 </w:t>
            </w:r>
          </w:p>
        </w:tc>
      </w:tr>
      <w:tr w:rsidR="001866D3" w:rsidRPr="001866D3" w:rsidTr="001866D3">
        <w:trPr>
          <w:trHeight w:val="255"/>
        </w:trPr>
        <w:tc>
          <w:tcPr>
            <w:tcW w:w="3276" w:type="dxa"/>
            <w:shd w:val="clear" w:color="auto" w:fill="auto"/>
            <w:noWrap/>
            <w:vAlign w:val="bottom"/>
            <w:hideMark/>
          </w:tcPr>
          <w:p w:rsidR="001866D3" w:rsidRPr="001866D3" w:rsidRDefault="001866D3" w:rsidP="001866D3">
            <w:pPr>
              <w:spacing w:before="0" w:after="0" w:line="240" w:lineRule="auto"/>
              <w:rPr>
                <w:sz w:val="20"/>
                <w:lang w:eastAsia="en-GB"/>
              </w:rPr>
            </w:pPr>
            <w:r w:rsidRPr="001866D3">
              <w:rPr>
                <w:sz w:val="20"/>
                <w:lang w:eastAsia="en-GB"/>
              </w:rPr>
              <w:t>Oldham</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14,915 </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0</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14,915 </w:t>
            </w:r>
          </w:p>
        </w:tc>
        <w:tc>
          <w:tcPr>
            <w:tcW w:w="1631"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63 </w:t>
            </w:r>
          </w:p>
        </w:tc>
      </w:tr>
      <w:tr w:rsidR="001866D3" w:rsidRPr="001866D3" w:rsidTr="001866D3">
        <w:trPr>
          <w:trHeight w:val="255"/>
        </w:trPr>
        <w:tc>
          <w:tcPr>
            <w:tcW w:w="3276" w:type="dxa"/>
            <w:shd w:val="clear" w:color="auto" w:fill="auto"/>
            <w:noWrap/>
            <w:vAlign w:val="bottom"/>
            <w:hideMark/>
          </w:tcPr>
          <w:p w:rsidR="001866D3" w:rsidRPr="001866D3" w:rsidRDefault="001866D3" w:rsidP="001866D3">
            <w:pPr>
              <w:spacing w:before="0" w:after="0" w:line="240" w:lineRule="auto"/>
              <w:rPr>
                <w:sz w:val="20"/>
                <w:lang w:eastAsia="en-GB"/>
              </w:rPr>
            </w:pPr>
            <w:r w:rsidRPr="001866D3">
              <w:rPr>
                <w:sz w:val="20"/>
                <w:lang w:eastAsia="en-GB"/>
              </w:rPr>
              <w:t>Oxfordshire</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26,086 </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0</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26,086 </w:t>
            </w:r>
          </w:p>
        </w:tc>
        <w:tc>
          <w:tcPr>
            <w:tcW w:w="1631"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94 </w:t>
            </w:r>
          </w:p>
        </w:tc>
      </w:tr>
      <w:tr w:rsidR="001866D3" w:rsidRPr="001866D3" w:rsidTr="001866D3">
        <w:trPr>
          <w:trHeight w:val="255"/>
        </w:trPr>
        <w:tc>
          <w:tcPr>
            <w:tcW w:w="3276" w:type="dxa"/>
            <w:shd w:val="clear" w:color="auto" w:fill="auto"/>
            <w:noWrap/>
            <w:vAlign w:val="bottom"/>
            <w:hideMark/>
          </w:tcPr>
          <w:p w:rsidR="001866D3" w:rsidRPr="001866D3" w:rsidRDefault="001866D3" w:rsidP="001866D3">
            <w:pPr>
              <w:spacing w:before="0" w:after="0" w:line="240" w:lineRule="auto"/>
              <w:rPr>
                <w:sz w:val="20"/>
                <w:lang w:eastAsia="en-GB"/>
              </w:rPr>
            </w:pPr>
            <w:r w:rsidRPr="001866D3">
              <w:rPr>
                <w:sz w:val="20"/>
                <w:lang w:eastAsia="en-GB"/>
              </w:rPr>
              <w:t>Peterborough</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9,291 </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0</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9,291 </w:t>
            </w:r>
          </w:p>
        </w:tc>
        <w:tc>
          <w:tcPr>
            <w:tcW w:w="1631"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13 </w:t>
            </w:r>
          </w:p>
        </w:tc>
      </w:tr>
      <w:tr w:rsidR="001866D3" w:rsidRPr="001866D3" w:rsidTr="001866D3">
        <w:trPr>
          <w:trHeight w:val="255"/>
        </w:trPr>
        <w:tc>
          <w:tcPr>
            <w:tcW w:w="3276" w:type="dxa"/>
            <w:shd w:val="clear" w:color="auto" w:fill="auto"/>
            <w:noWrap/>
            <w:vAlign w:val="bottom"/>
            <w:hideMark/>
          </w:tcPr>
          <w:p w:rsidR="001866D3" w:rsidRPr="001866D3" w:rsidRDefault="001866D3" w:rsidP="001866D3">
            <w:pPr>
              <w:spacing w:before="0" w:after="0" w:line="240" w:lineRule="auto"/>
              <w:rPr>
                <w:sz w:val="20"/>
                <w:lang w:eastAsia="en-GB"/>
              </w:rPr>
            </w:pPr>
            <w:r w:rsidRPr="001866D3">
              <w:rPr>
                <w:sz w:val="20"/>
                <w:lang w:eastAsia="en-GB"/>
              </w:rPr>
              <w:t>Plymouth</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12,276 </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0</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12,276 </w:t>
            </w:r>
          </w:p>
        </w:tc>
        <w:tc>
          <w:tcPr>
            <w:tcW w:w="1631"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22 </w:t>
            </w:r>
          </w:p>
        </w:tc>
      </w:tr>
      <w:tr w:rsidR="001866D3" w:rsidRPr="001866D3" w:rsidTr="001866D3">
        <w:trPr>
          <w:trHeight w:val="255"/>
        </w:trPr>
        <w:tc>
          <w:tcPr>
            <w:tcW w:w="3276" w:type="dxa"/>
            <w:shd w:val="clear" w:color="auto" w:fill="auto"/>
            <w:noWrap/>
            <w:vAlign w:val="bottom"/>
            <w:hideMark/>
          </w:tcPr>
          <w:p w:rsidR="001866D3" w:rsidRPr="001866D3" w:rsidRDefault="001866D3" w:rsidP="001866D3">
            <w:pPr>
              <w:spacing w:before="0" w:after="0" w:line="240" w:lineRule="auto"/>
              <w:rPr>
                <w:sz w:val="20"/>
                <w:lang w:eastAsia="en-GB"/>
              </w:rPr>
            </w:pPr>
            <w:r w:rsidRPr="001866D3">
              <w:rPr>
                <w:sz w:val="20"/>
                <w:lang w:eastAsia="en-GB"/>
              </w:rPr>
              <w:t>Poole</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6,057 </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0</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6,057 </w:t>
            </w:r>
          </w:p>
        </w:tc>
        <w:tc>
          <w:tcPr>
            <w:tcW w:w="1631"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26 </w:t>
            </w:r>
          </w:p>
        </w:tc>
      </w:tr>
      <w:tr w:rsidR="001866D3" w:rsidRPr="001866D3" w:rsidTr="001866D3">
        <w:trPr>
          <w:trHeight w:val="255"/>
        </w:trPr>
        <w:tc>
          <w:tcPr>
            <w:tcW w:w="3276" w:type="dxa"/>
            <w:shd w:val="clear" w:color="auto" w:fill="auto"/>
            <w:noWrap/>
            <w:vAlign w:val="bottom"/>
            <w:hideMark/>
          </w:tcPr>
          <w:p w:rsidR="001866D3" w:rsidRPr="001866D3" w:rsidRDefault="001866D3" w:rsidP="001866D3">
            <w:pPr>
              <w:spacing w:before="0" w:after="0" w:line="240" w:lineRule="auto"/>
              <w:rPr>
                <w:sz w:val="20"/>
                <w:lang w:eastAsia="en-GB"/>
              </w:rPr>
            </w:pPr>
            <w:r w:rsidRPr="001866D3">
              <w:rPr>
                <w:sz w:val="20"/>
                <w:lang w:eastAsia="en-GB"/>
              </w:rPr>
              <w:t>Portsmouth</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16,178 </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0</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16,178 </w:t>
            </w:r>
          </w:p>
        </w:tc>
        <w:tc>
          <w:tcPr>
            <w:tcW w:w="1631"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14 </w:t>
            </w:r>
          </w:p>
        </w:tc>
      </w:tr>
      <w:tr w:rsidR="001866D3" w:rsidRPr="001866D3" w:rsidTr="001866D3">
        <w:trPr>
          <w:trHeight w:val="255"/>
        </w:trPr>
        <w:tc>
          <w:tcPr>
            <w:tcW w:w="3276" w:type="dxa"/>
            <w:shd w:val="clear" w:color="auto" w:fill="auto"/>
            <w:noWrap/>
            <w:vAlign w:val="bottom"/>
            <w:hideMark/>
          </w:tcPr>
          <w:p w:rsidR="001866D3" w:rsidRPr="001866D3" w:rsidRDefault="001866D3" w:rsidP="001866D3">
            <w:pPr>
              <w:spacing w:before="0" w:after="0" w:line="240" w:lineRule="auto"/>
              <w:rPr>
                <w:sz w:val="20"/>
                <w:lang w:eastAsia="en-GB"/>
              </w:rPr>
            </w:pPr>
            <w:r w:rsidRPr="001866D3">
              <w:rPr>
                <w:sz w:val="20"/>
                <w:lang w:eastAsia="en-GB"/>
              </w:rPr>
              <w:t>Reading</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8,212 </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0</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8,212 </w:t>
            </w:r>
          </w:p>
        </w:tc>
        <w:tc>
          <w:tcPr>
            <w:tcW w:w="1631"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10 </w:t>
            </w:r>
          </w:p>
        </w:tc>
      </w:tr>
      <w:tr w:rsidR="001866D3" w:rsidRPr="001866D3" w:rsidTr="001866D3">
        <w:trPr>
          <w:trHeight w:val="255"/>
        </w:trPr>
        <w:tc>
          <w:tcPr>
            <w:tcW w:w="3276" w:type="dxa"/>
            <w:shd w:val="clear" w:color="auto" w:fill="auto"/>
            <w:noWrap/>
            <w:vAlign w:val="bottom"/>
            <w:hideMark/>
          </w:tcPr>
          <w:p w:rsidR="001866D3" w:rsidRPr="001866D3" w:rsidRDefault="001866D3" w:rsidP="001866D3">
            <w:pPr>
              <w:spacing w:before="0" w:after="0" w:line="240" w:lineRule="auto"/>
              <w:rPr>
                <w:sz w:val="20"/>
                <w:lang w:eastAsia="en-GB"/>
              </w:rPr>
            </w:pPr>
            <w:r w:rsidRPr="001866D3">
              <w:rPr>
                <w:sz w:val="20"/>
                <w:lang w:eastAsia="en-GB"/>
              </w:rPr>
              <w:t>Redbridge</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11,411 </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0</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11,411 </w:t>
            </w:r>
          </w:p>
        </w:tc>
        <w:tc>
          <w:tcPr>
            <w:tcW w:w="1631"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20 </w:t>
            </w:r>
          </w:p>
        </w:tc>
      </w:tr>
      <w:tr w:rsidR="001866D3" w:rsidRPr="001866D3" w:rsidTr="001866D3">
        <w:trPr>
          <w:trHeight w:val="255"/>
        </w:trPr>
        <w:tc>
          <w:tcPr>
            <w:tcW w:w="3276" w:type="dxa"/>
            <w:shd w:val="clear" w:color="auto" w:fill="auto"/>
            <w:noWrap/>
            <w:vAlign w:val="bottom"/>
            <w:hideMark/>
          </w:tcPr>
          <w:p w:rsidR="001866D3" w:rsidRPr="001866D3" w:rsidRDefault="001866D3" w:rsidP="001866D3">
            <w:pPr>
              <w:spacing w:before="0" w:after="0" w:line="240" w:lineRule="auto"/>
              <w:rPr>
                <w:sz w:val="20"/>
                <w:lang w:eastAsia="en-GB"/>
              </w:rPr>
            </w:pPr>
            <w:r w:rsidRPr="001866D3">
              <w:rPr>
                <w:sz w:val="20"/>
                <w:lang w:eastAsia="en-GB"/>
              </w:rPr>
              <w:t>Redcar and Cleveland</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10,917 </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0</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10,917 </w:t>
            </w:r>
          </w:p>
        </w:tc>
        <w:tc>
          <w:tcPr>
            <w:tcW w:w="1631"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46 </w:t>
            </w:r>
          </w:p>
        </w:tc>
      </w:tr>
      <w:tr w:rsidR="001866D3" w:rsidRPr="001866D3" w:rsidTr="001866D3">
        <w:trPr>
          <w:trHeight w:val="255"/>
        </w:trPr>
        <w:tc>
          <w:tcPr>
            <w:tcW w:w="3276" w:type="dxa"/>
            <w:shd w:val="clear" w:color="auto" w:fill="auto"/>
            <w:noWrap/>
            <w:vAlign w:val="bottom"/>
            <w:hideMark/>
          </w:tcPr>
          <w:p w:rsidR="001866D3" w:rsidRPr="001866D3" w:rsidRDefault="001866D3" w:rsidP="001866D3">
            <w:pPr>
              <w:spacing w:before="0" w:after="0" w:line="240" w:lineRule="auto"/>
              <w:rPr>
                <w:sz w:val="20"/>
                <w:lang w:eastAsia="en-GB"/>
              </w:rPr>
            </w:pPr>
            <w:r w:rsidRPr="001866D3">
              <w:rPr>
                <w:sz w:val="20"/>
                <w:lang w:eastAsia="en-GB"/>
              </w:rPr>
              <w:t>Richmond upon Thames</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7,891 </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0</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7,891 </w:t>
            </w:r>
          </w:p>
        </w:tc>
        <w:tc>
          <w:tcPr>
            <w:tcW w:w="1631"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25 </w:t>
            </w:r>
          </w:p>
        </w:tc>
      </w:tr>
      <w:tr w:rsidR="001866D3" w:rsidRPr="001866D3" w:rsidTr="001866D3">
        <w:trPr>
          <w:trHeight w:val="255"/>
        </w:trPr>
        <w:tc>
          <w:tcPr>
            <w:tcW w:w="3276" w:type="dxa"/>
            <w:shd w:val="clear" w:color="auto" w:fill="auto"/>
            <w:noWrap/>
            <w:vAlign w:val="bottom"/>
            <w:hideMark/>
          </w:tcPr>
          <w:p w:rsidR="001866D3" w:rsidRPr="001866D3" w:rsidRDefault="001866D3" w:rsidP="001866D3">
            <w:pPr>
              <w:spacing w:before="0" w:after="0" w:line="240" w:lineRule="auto"/>
              <w:rPr>
                <w:sz w:val="20"/>
                <w:lang w:eastAsia="en-GB"/>
              </w:rPr>
            </w:pPr>
            <w:r w:rsidRPr="001866D3">
              <w:rPr>
                <w:sz w:val="20"/>
                <w:lang w:eastAsia="en-GB"/>
              </w:rPr>
              <w:t>Rochdale</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14,777 </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0</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14,777 </w:t>
            </w:r>
          </w:p>
        </w:tc>
        <w:tc>
          <w:tcPr>
            <w:tcW w:w="1631"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56 </w:t>
            </w:r>
          </w:p>
        </w:tc>
      </w:tr>
      <w:tr w:rsidR="001866D3" w:rsidRPr="001866D3" w:rsidTr="001866D3">
        <w:trPr>
          <w:trHeight w:val="255"/>
        </w:trPr>
        <w:tc>
          <w:tcPr>
            <w:tcW w:w="3276" w:type="dxa"/>
            <w:shd w:val="clear" w:color="auto" w:fill="auto"/>
            <w:noWrap/>
            <w:vAlign w:val="bottom"/>
            <w:hideMark/>
          </w:tcPr>
          <w:p w:rsidR="001866D3" w:rsidRPr="001866D3" w:rsidRDefault="001866D3" w:rsidP="001866D3">
            <w:pPr>
              <w:spacing w:before="0" w:after="0" w:line="240" w:lineRule="auto"/>
              <w:rPr>
                <w:sz w:val="20"/>
                <w:lang w:eastAsia="en-GB"/>
              </w:rPr>
            </w:pPr>
            <w:r w:rsidRPr="001866D3">
              <w:rPr>
                <w:sz w:val="20"/>
                <w:lang w:eastAsia="en-GB"/>
              </w:rPr>
              <w:t>Rotherham</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14,176 </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0</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14,176 </w:t>
            </w:r>
          </w:p>
        </w:tc>
        <w:tc>
          <w:tcPr>
            <w:tcW w:w="1631"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10 </w:t>
            </w:r>
          </w:p>
        </w:tc>
      </w:tr>
      <w:tr w:rsidR="001866D3" w:rsidRPr="001866D3" w:rsidTr="001866D3">
        <w:trPr>
          <w:trHeight w:val="255"/>
        </w:trPr>
        <w:tc>
          <w:tcPr>
            <w:tcW w:w="3276" w:type="dxa"/>
            <w:shd w:val="clear" w:color="auto" w:fill="auto"/>
            <w:noWrap/>
            <w:vAlign w:val="bottom"/>
            <w:hideMark/>
          </w:tcPr>
          <w:p w:rsidR="001866D3" w:rsidRPr="001866D3" w:rsidRDefault="001866D3" w:rsidP="001866D3">
            <w:pPr>
              <w:spacing w:before="0" w:after="0" w:line="240" w:lineRule="auto"/>
              <w:rPr>
                <w:sz w:val="20"/>
                <w:lang w:eastAsia="en-GB"/>
              </w:rPr>
            </w:pPr>
            <w:r w:rsidRPr="001866D3">
              <w:rPr>
                <w:sz w:val="20"/>
                <w:lang w:eastAsia="en-GB"/>
              </w:rPr>
              <w:t>Rutland</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1,073 </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7</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1,080 </w:t>
            </w:r>
          </w:p>
        </w:tc>
        <w:tc>
          <w:tcPr>
            <w:tcW w:w="1631"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12 </w:t>
            </w:r>
          </w:p>
        </w:tc>
      </w:tr>
      <w:tr w:rsidR="001866D3" w:rsidRPr="001866D3" w:rsidTr="001866D3">
        <w:trPr>
          <w:trHeight w:val="255"/>
        </w:trPr>
        <w:tc>
          <w:tcPr>
            <w:tcW w:w="3276" w:type="dxa"/>
            <w:shd w:val="clear" w:color="auto" w:fill="auto"/>
            <w:noWrap/>
            <w:vAlign w:val="bottom"/>
            <w:hideMark/>
          </w:tcPr>
          <w:p w:rsidR="001866D3" w:rsidRPr="001866D3" w:rsidRDefault="001866D3" w:rsidP="001866D3">
            <w:pPr>
              <w:spacing w:before="0" w:after="0" w:line="240" w:lineRule="auto"/>
              <w:rPr>
                <w:sz w:val="20"/>
                <w:lang w:eastAsia="en-GB"/>
              </w:rPr>
            </w:pPr>
            <w:r w:rsidRPr="001866D3">
              <w:rPr>
                <w:sz w:val="20"/>
                <w:lang w:eastAsia="en-GB"/>
              </w:rPr>
              <w:t>Salford</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18,777 </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0</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18,777 </w:t>
            </w:r>
          </w:p>
        </w:tc>
        <w:tc>
          <w:tcPr>
            <w:tcW w:w="1631"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50 </w:t>
            </w:r>
          </w:p>
        </w:tc>
      </w:tr>
      <w:tr w:rsidR="001866D3" w:rsidRPr="001866D3" w:rsidTr="001866D3">
        <w:trPr>
          <w:trHeight w:val="255"/>
        </w:trPr>
        <w:tc>
          <w:tcPr>
            <w:tcW w:w="3276" w:type="dxa"/>
            <w:shd w:val="clear" w:color="auto" w:fill="auto"/>
            <w:noWrap/>
            <w:vAlign w:val="bottom"/>
            <w:hideMark/>
          </w:tcPr>
          <w:p w:rsidR="001866D3" w:rsidRPr="001866D3" w:rsidRDefault="001866D3" w:rsidP="001866D3">
            <w:pPr>
              <w:spacing w:before="0" w:after="0" w:line="240" w:lineRule="auto"/>
              <w:rPr>
                <w:sz w:val="20"/>
                <w:lang w:eastAsia="en-GB"/>
              </w:rPr>
            </w:pPr>
            <w:r w:rsidRPr="001866D3">
              <w:rPr>
                <w:sz w:val="20"/>
                <w:lang w:eastAsia="en-GB"/>
              </w:rPr>
              <w:t>Sandwell</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21,805 </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0</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21,805 </w:t>
            </w:r>
          </w:p>
        </w:tc>
        <w:tc>
          <w:tcPr>
            <w:tcW w:w="1631"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148 </w:t>
            </w:r>
          </w:p>
        </w:tc>
      </w:tr>
      <w:tr w:rsidR="001866D3" w:rsidRPr="001866D3" w:rsidTr="001866D3">
        <w:trPr>
          <w:trHeight w:val="255"/>
        </w:trPr>
        <w:tc>
          <w:tcPr>
            <w:tcW w:w="3276" w:type="dxa"/>
            <w:shd w:val="clear" w:color="auto" w:fill="auto"/>
            <w:noWrap/>
            <w:vAlign w:val="bottom"/>
            <w:hideMark/>
          </w:tcPr>
          <w:p w:rsidR="001866D3" w:rsidRPr="001866D3" w:rsidRDefault="001866D3" w:rsidP="001866D3">
            <w:pPr>
              <w:spacing w:before="0" w:after="0" w:line="240" w:lineRule="auto"/>
              <w:rPr>
                <w:sz w:val="20"/>
                <w:lang w:eastAsia="en-GB"/>
              </w:rPr>
            </w:pPr>
            <w:proofErr w:type="spellStart"/>
            <w:r w:rsidRPr="001866D3">
              <w:rPr>
                <w:sz w:val="20"/>
                <w:lang w:eastAsia="en-GB"/>
              </w:rPr>
              <w:lastRenderedPageBreak/>
              <w:t>Sefton</w:t>
            </w:r>
            <w:proofErr w:type="spellEnd"/>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19,952 </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0</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19,952 </w:t>
            </w:r>
          </w:p>
        </w:tc>
        <w:tc>
          <w:tcPr>
            <w:tcW w:w="1631"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186 </w:t>
            </w:r>
          </w:p>
        </w:tc>
      </w:tr>
      <w:tr w:rsidR="001866D3" w:rsidRPr="001866D3" w:rsidTr="001866D3">
        <w:trPr>
          <w:trHeight w:val="255"/>
        </w:trPr>
        <w:tc>
          <w:tcPr>
            <w:tcW w:w="3276" w:type="dxa"/>
            <w:shd w:val="clear" w:color="auto" w:fill="auto"/>
            <w:noWrap/>
            <w:vAlign w:val="bottom"/>
            <w:hideMark/>
          </w:tcPr>
          <w:p w:rsidR="001866D3" w:rsidRPr="001866D3" w:rsidRDefault="001866D3" w:rsidP="001866D3">
            <w:pPr>
              <w:spacing w:before="0" w:after="0" w:line="240" w:lineRule="auto"/>
              <w:rPr>
                <w:sz w:val="20"/>
                <w:lang w:eastAsia="en-GB"/>
              </w:rPr>
            </w:pPr>
            <w:r w:rsidRPr="001866D3">
              <w:rPr>
                <w:sz w:val="20"/>
                <w:lang w:eastAsia="en-GB"/>
              </w:rPr>
              <w:t>Sheffield</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30,748 </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0</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30,748 </w:t>
            </w:r>
          </w:p>
        </w:tc>
        <w:tc>
          <w:tcPr>
            <w:tcW w:w="1631"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152 </w:t>
            </w:r>
          </w:p>
        </w:tc>
      </w:tr>
      <w:tr w:rsidR="001866D3" w:rsidRPr="001866D3" w:rsidTr="001866D3">
        <w:trPr>
          <w:trHeight w:val="255"/>
        </w:trPr>
        <w:tc>
          <w:tcPr>
            <w:tcW w:w="3276" w:type="dxa"/>
            <w:shd w:val="clear" w:color="auto" w:fill="auto"/>
            <w:noWrap/>
            <w:vAlign w:val="bottom"/>
            <w:hideMark/>
          </w:tcPr>
          <w:p w:rsidR="001866D3" w:rsidRPr="001866D3" w:rsidRDefault="001866D3" w:rsidP="001866D3">
            <w:pPr>
              <w:spacing w:before="0" w:after="0" w:line="240" w:lineRule="auto"/>
              <w:rPr>
                <w:sz w:val="20"/>
                <w:lang w:eastAsia="en-GB"/>
              </w:rPr>
            </w:pPr>
            <w:r w:rsidRPr="001866D3">
              <w:rPr>
                <w:sz w:val="20"/>
                <w:lang w:eastAsia="en-GB"/>
              </w:rPr>
              <w:t>Shropshire</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9,843 </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0</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9,843 </w:t>
            </w:r>
          </w:p>
        </w:tc>
        <w:tc>
          <w:tcPr>
            <w:tcW w:w="1631"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7 </w:t>
            </w:r>
          </w:p>
        </w:tc>
      </w:tr>
      <w:tr w:rsidR="001866D3" w:rsidRPr="001866D3" w:rsidTr="001866D3">
        <w:trPr>
          <w:trHeight w:val="255"/>
        </w:trPr>
        <w:tc>
          <w:tcPr>
            <w:tcW w:w="3276" w:type="dxa"/>
            <w:shd w:val="clear" w:color="auto" w:fill="auto"/>
            <w:noWrap/>
            <w:vAlign w:val="bottom"/>
            <w:hideMark/>
          </w:tcPr>
          <w:p w:rsidR="001866D3" w:rsidRPr="001866D3" w:rsidRDefault="001866D3" w:rsidP="001866D3">
            <w:pPr>
              <w:spacing w:before="0" w:after="0" w:line="240" w:lineRule="auto"/>
              <w:rPr>
                <w:sz w:val="20"/>
                <w:lang w:eastAsia="en-GB"/>
              </w:rPr>
            </w:pPr>
            <w:r w:rsidRPr="001866D3">
              <w:rPr>
                <w:sz w:val="20"/>
                <w:lang w:eastAsia="en-GB"/>
              </w:rPr>
              <w:t>Slough</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5,487 </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0</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5,487 </w:t>
            </w:r>
          </w:p>
        </w:tc>
        <w:tc>
          <w:tcPr>
            <w:tcW w:w="1631"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19 </w:t>
            </w:r>
          </w:p>
        </w:tc>
      </w:tr>
      <w:tr w:rsidR="001866D3" w:rsidRPr="001866D3" w:rsidTr="001866D3">
        <w:trPr>
          <w:trHeight w:val="255"/>
        </w:trPr>
        <w:tc>
          <w:tcPr>
            <w:tcW w:w="3276" w:type="dxa"/>
            <w:shd w:val="clear" w:color="auto" w:fill="auto"/>
            <w:noWrap/>
            <w:vAlign w:val="bottom"/>
            <w:hideMark/>
          </w:tcPr>
          <w:p w:rsidR="001866D3" w:rsidRPr="001866D3" w:rsidRDefault="001866D3" w:rsidP="001866D3">
            <w:pPr>
              <w:spacing w:before="0" w:after="0" w:line="240" w:lineRule="auto"/>
              <w:rPr>
                <w:sz w:val="20"/>
                <w:lang w:eastAsia="en-GB"/>
              </w:rPr>
            </w:pPr>
            <w:r w:rsidRPr="001866D3">
              <w:rPr>
                <w:sz w:val="20"/>
                <w:lang w:eastAsia="en-GB"/>
              </w:rPr>
              <w:t>Solihull</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9,905 </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color w:val="FF0000"/>
                <w:sz w:val="20"/>
                <w:lang w:eastAsia="en-GB"/>
              </w:rPr>
              <w:t>(262)</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9,644 </w:t>
            </w:r>
          </w:p>
        </w:tc>
        <w:tc>
          <w:tcPr>
            <w:tcW w:w="1631"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31 </w:t>
            </w:r>
          </w:p>
        </w:tc>
      </w:tr>
      <w:tr w:rsidR="001866D3" w:rsidRPr="001866D3" w:rsidTr="001866D3">
        <w:trPr>
          <w:trHeight w:val="255"/>
        </w:trPr>
        <w:tc>
          <w:tcPr>
            <w:tcW w:w="3276" w:type="dxa"/>
            <w:shd w:val="clear" w:color="auto" w:fill="auto"/>
            <w:noWrap/>
            <w:vAlign w:val="bottom"/>
            <w:hideMark/>
          </w:tcPr>
          <w:p w:rsidR="001866D3" w:rsidRPr="001866D3" w:rsidRDefault="001866D3" w:rsidP="001866D3">
            <w:pPr>
              <w:spacing w:before="0" w:after="0" w:line="240" w:lineRule="auto"/>
              <w:rPr>
                <w:sz w:val="20"/>
                <w:lang w:eastAsia="en-GB"/>
              </w:rPr>
            </w:pPr>
            <w:r w:rsidRPr="001866D3">
              <w:rPr>
                <w:sz w:val="20"/>
                <w:lang w:eastAsia="en-GB"/>
              </w:rPr>
              <w:t>Somerset</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15,513 </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0</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15,513 </w:t>
            </w:r>
          </w:p>
        </w:tc>
        <w:tc>
          <w:tcPr>
            <w:tcW w:w="1631"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76 </w:t>
            </w:r>
          </w:p>
        </w:tc>
      </w:tr>
      <w:tr w:rsidR="001866D3" w:rsidRPr="001866D3" w:rsidTr="001866D3">
        <w:trPr>
          <w:trHeight w:val="255"/>
        </w:trPr>
        <w:tc>
          <w:tcPr>
            <w:tcW w:w="3276" w:type="dxa"/>
            <w:shd w:val="clear" w:color="auto" w:fill="auto"/>
            <w:noWrap/>
            <w:vAlign w:val="bottom"/>
            <w:hideMark/>
          </w:tcPr>
          <w:p w:rsidR="001866D3" w:rsidRPr="001866D3" w:rsidRDefault="001866D3" w:rsidP="001866D3">
            <w:pPr>
              <w:spacing w:before="0" w:after="0" w:line="240" w:lineRule="auto"/>
              <w:rPr>
                <w:sz w:val="20"/>
                <w:lang w:eastAsia="en-GB"/>
              </w:rPr>
            </w:pPr>
            <w:r w:rsidRPr="001866D3">
              <w:rPr>
                <w:sz w:val="20"/>
                <w:lang w:eastAsia="en-GB"/>
              </w:rPr>
              <w:t>South Gloucestershire</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7,345 </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0</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7,345 </w:t>
            </w:r>
          </w:p>
        </w:tc>
        <w:tc>
          <w:tcPr>
            <w:tcW w:w="1631"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35 </w:t>
            </w:r>
          </w:p>
        </w:tc>
      </w:tr>
      <w:tr w:rsidR="001866D3" w:rsidRPr="001866D3" w:rsidTr="001866D3">
        <w:trPr>
          <w:trHeight w:val="255"/>
        </w:trPr>
        <w:tc>
          <w:tcPr>
            <w:tcW w:w="3276" w:type="dxa"/>
            <w:shd w:val="clear" w:color="auto" w:fill="auto"/>
            <w:noWrap/>
            <w:vAlign w:val="bottom"/>
            <w:hideMark/>
          </w:tcPr>
          <w:p w:rsidR="001866D3" w:rsidRPr="001866D3" w:rsidRDefault="001866D3" w:rsidP="001866D3">
            <w:pPr>
              <w:spacing w:before="0" w:after="0" w:line="240" w:lineRule="auto"/>
              <w:rPr>
                <w:sz w:val="20"/>
                <w:lang w:eastAsia="en-GB"/>
              </w:rPr>
            </w:pPr>
            <w:r w:rsidRPr="001866D3">
              <w:rPr>
                <w:sz w:val="20"/>
                <w:lang w:eastAsia="en-GB"/>
              </w:rPr>
              <w:t>South Tyneside</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12,917 </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0</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12,917 </w:t>
            </w:r>
          </w:p>
        </w:tc>
        <w:tc>
          <w:tcPr>
            <w:tcW w:w="1631"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68 </w:t>
            </w:r>
          </w:p>
        </w:tc>
      </w:tr>
      <w:tr w:rsidR="001866D3" w:rsidRPr="001866D3" w:rsidTr="001866D3">
        <w:trPr>
          <w:trHeight w:val="255"/>
        </w:trPr>
        <w:tc>
          <w:tcPr>
            <w:tcW w:w="3276" w:type="dxa"/>
            <w:shd w:val="clear" w:color="auto" w:fill="auto"/>
            <w:noWrap/>
            <w:vAlign w:val="bottom"/>
            <w:hideMark/>
          </w:tcPr>
          <w:p w:rsidR="001866D3" w:rsidRPr="001866D3" w:rsidRDefault="001866D3" w:rsidP="001866D3">
            <w:pPr>
              <w:spacing w:before="0" w:after="0" w:line="240" w:lineRule="auto"/>
              <w:rPr>
                <w:sz w:val="20"/>
                <w:lang w:eastAsia="en-GB"/>
              </w:rPr>
            </w:pPr>
            <w:r w:rsidRPr="001866D3">
              <w:rPr>
                <w:sz w:val="20"/>
                <w:lang w:eastAsia="en-GB"/>
              </w:rPr>
              <w:t>Southampton</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15,050 </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color w:val="FF0000"/>
                <w:sz w:val="20"/>
                <w:lang w:eastAsia="en-GB"/>
              </w:rPr>
              <w:t>(2)</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15,049 </w:t>
            </w:r>
          </w:p>
        </w:tc>
        <w:tc>
          <w:tcPr>
            <w:tcW w:w="1631"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75 </w:t>
            </w:r>
          </w:p>
        </w:tc>
      </w:tr>
      <w:tr w:rsidR="001866D3" w:rsidRPr="001866D3" w:rsidTr="001866D3">
        <w:trPr>
          <w:trHeight w:val="255"/>
        </w:trPr>
        <w:tc>
          <w:tcPr>
            <w:tcW w:w="3276" w:type="dxa"/>
            <w:shd w:val="clear" w:color="auto" w:fill="auto"/>
            <w:noWrap/>
            <w:vAlign w:val="bottom"/>
            <w:hideMark/>
          </w:tcPr>
          <w:p w:rsidR="001866D3" w:rsidRPr="001866D3" w:rsidRDefault="001866D3" w:rsidP="001866D3">
            <w:pPr>
              <w:spacing w:before="0" w:after="0" w:line="240" w:lineRule="auto"/>
              <w:rPr>
                <w:sz w:val="20"/>
                <w:lang w:eastAsia="en-GB"/>
              </w:rPr>
            </w:pPr>
            <w:r w:rsidRPr="001866D3">
              <w:rPr>
                <w:sz w:val="20"/>
                <w:lang w:eastAsia="en-GB"/>
              </w:rPr>
              <w:t>Southend-on-Sea</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8,060 </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0</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8,060 </w:t>
            </w:r>
          </w:p>
        </w:tc>
        <w:tc>
          <w:tcPr>
            <w:tcW w:w="1631"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38 </w:t>
            </w:r>
          </w:p>
        </w:tc>
      </w:tr>
      <w:tr w:rsidR="001866D3" w:rsidRPr="001866D3" w:rsidTr="001866D3">
        <w:trPr>
          <w:trHeight w:val="255"/>
        </w:trPr>
        <w:tc>
          <w:tcPr>
            <w:tcW w:w="3276" w:type="dxa"/>
            <w:shd w:val="clear" w:color="auto" w:fill="auto"/>
            <w:noWrap/>
            <w:vAlign w:val="bottom"/>
            <w:hideMark/>
          </w:tcPr>
          <w:p w:rsidR="001866D3" w:rsidRPr="001866D3" w:rsidRDefault="001866D3" w:rsidP="001866D3">
            <w:pPr>
              <w:spacing w:before="0" w:after="0" w:line="240" w:lineRule="auto"/>
              <w:rPr>
                <w:sz w:val="20"/>
                <w:lang w:eastAsia="en-GB"/>
              </w:rPr>
            </w:pPr>
            <w:r w:rsidRPr="001866D3">
              <w:rPr>
                <w:sz w:val="20"/>
                <w:lang w:eastAsia="en-GB"/>
              </w:rPr>
              <w:t>Southwark</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22,946 </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0</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22,946 </w:t>
            </w:r>
          </w:p>
        </w:tc>
        <w:tc>
          <w:tcPr>
            <w:tcW w:w="1631"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156 </w:t>
            </w:r>
          </w:p>
        </w:tc>
      </w:tr>
      <w:tr w:rsidR="001866D3" w:rsidRPr="001866D3" w:rsidTr="001866D3">
        <w:trPr>
          <w:trHeight w:val="255"/>
        </w:trPr>
        <w:tc>
          <w:tcPr>
            <w:tcW w:w="3276" w:type="dxa"/>
            <w:shd w:val="clear" w:color="auto" w:fill="auto"/>
            <w:noWrap/>
            <w:vAlign w:val="bottom"/>
            <w:hideMark/>
          </w:tcPr>
          <w:p w:rsidR="001866D3" w:rsidRPr="001866D3" w:rsidRDefault="001866D3" w:rsidP="001866D3">
            <w:pPr>
              <w:spacing w:before="0" w:after="0" w:line="240" w:lineRule="auto"/>
              <w:rPr>
                <w:sz w:val="20"/>
                <w:lang w:eastAsia="en-GB"/>
              </w:rPr>
            </w:pPr>
            <w:r w:rsidRPr="001866D3">
              <w:rPr>
                <w:sz w:val="20"/>
                <w:lang w:eastAsia="en-GB"/>
              </w:rPr>
              <w:t>St. Helens</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13,035 </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64</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13,099 </w:t>
            </w:r>
          </w:p>
        </w:tc>
        <w:tc>
          <w:tcPr>
            <w:tcW w:w="1631"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26 </w:t>
            </w:r>
          </w:p>
        </w:tc>
      </w:tr>
      <w:tr w:rsidR="001866D3" w:rsidRPr="001866D3" w:rsidTr="001866D3">
        <w:trPr>
          <w:trHeight w:val="255"/>
        </w:trPr>
        <w:tc>
          <w:tcPr>
            <w:tcW w:w="3276" w:type="dxa"/>
            <w:shd w:val="clear" w:color="auto" w:fill="auto"/>
            <w:noWrap/>
            <w:vAlign w:val="bottom"/>
            <w:hideMark/>
          </w:tcPr>
          <w:p w:rsidR="001866D3" w:rsidRPr="001866D3" w:rsidRDefault="001866D3" w:rsidP="001866D3">
            <w:pPr>
              <w:spacing w:before="0" w:after="0" w:line="240" w:lineRule="auto"/>
              <w:rPr>
                <w:sz w:val="20"/>
                <w:lang w:eastAsia="en-GB"/>
              </w:rPr>
            </w:pPr>
            <w:r w:rsidRPr="001866D3">
              <w:rPr>
                <w:sz w:val="20"/>
                <w:lang w:eastAsia="en-GB"/>
              </w:rPr>
              <w:t>Staffordshire</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33,313 </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0</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33,313 </w:t>
            </w:r>
          </w:p>
        </w:tc>
        <w:tc>
          <w:tcPr>
            <w:tcW w:w="1631"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100 </w:t>
            </w:r>
          </w:p>
        </w:tc>
      </w:tr>
      <w:tr w:rsidR="001866D3" w:rsidRPr="001866D3" w:rsidTr="001866D3">
        <w:trPr>
          <w:trHeight w:val="255"/>
        </w:trPr>
        <w:tc>
          <w:tcPr>
            <w:tcW w:w="3276" w:type="dxa"/>
            <w:shd w:val="clear" w:color="auto" w:fill="auto"/>
            <w:noWrap/>
            <w:vAlign w:val="bottom"/>
            <w:hideMark/>
          </w:tcPr>
          <w:p w:rsidR="001866D3" w:rsidRPr="001866D3" w:rsidRDefault="001866D3" w:rsidP="001866D3">
            <w:pPr>
              <w:spacing w:before="0" w:after="0" w:line="240" w:lineRule="auto"/>
              <w:rPr>
                <w:sz w:val="20"/>
                <w:lang w:eastAsia="en-GB"/>
              </w:rPr>
            </w:pPr>
            <w:r w:rsidRPr="001866D3">
              <w:rPr>
                <w:sz w:val="20"/>
                <w:lang w:eastAsia="en-GB"/>
              </w:rPr>
              <w:t>Stockport</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12,834 </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355</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13,189 </w:t>
            </w:r>
          </w:p>
        </w:tc>
        <w:tc>
          <w:tcPr>
            <w:tcW w:w="1631"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40 </w:t>
            </w:r>
          </w:p>
        </w:tc>
      </w:tr>
      <w:tr w:rsidR="001866D3" w:rsidRPr="001866D3" w:rsidTr="001866D3">
        <w:trPr>
          <w:trHeight w:val="255"/>
        </w:trPr>
        <w:tc>
          <w:tcPr>
            <w:tcW w:w="3276" w:type="dxa"/>
            <w:shd w:val="clear" w:color="auto" w:fill="auto"/>
            <w:noWrap/>
            <w:vAlign w:val="bottom"/>
            <w:hideMark/>
          </w:tcPr>
          <w:p w:rsidR="001866D3" w:rsidRPr="001866D3" w:rsidRDefault="001866D3" w:rsidP="001866D3">
            <w:pPr>
              <w:spacing w:before="0" w:after="0" w:line="240" w:lineRule="auto"/>
              <w:rPr>
                <w:sz w:val="20"/>
                <w:lang w:eastAsia="en-GB"/>
              </w:rPr>
            </w:pPr>
            <w:proofErr w:type="spellStart"/>
            <w:r w:rsidRPr="001866D3">
              <w:rPr>
                <w:sz w:val="20"/>
                <w:lang w:eastAsia="en-GB"/>
              </w:rPr>
              <w:t>Stockton-on-Tees</w:t>
            </w:r>
            <w:proofErr w:type="spellEnd"/>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13,067 </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0</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13,067 </w:t>
            </w:r>
          </w:p>
        </w:tc>
        <w:tc>
          <w:tcPr>
            <w:tcW w:w="1631"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73 </w:t>
            </w:r>
          </w:p>
        </w:tc>
      </w:tr>
      <w:tr w:rsidR="001866D3" w:rsidRPr="001866D3" w:rsidTr="001866D3">
        <w:trPr>
          <w:trHeight w:val="255"/>
        </w:trPr>
        <w:tc>
          <w:tcPr>
            <w:tcW w:w="3276" w:type="dxa"/>
            <w:shd w:val="clear" w:color="auto" w:fill="auto"/>
            <w:noWrap/>
            <w:vAlign w:val="bottom"/>
            <w:hideMark/>
          </w:tcPr>
          <w:p w:rsidR="001866D3" w:rsidRPr="001866D3" w:rsidRDefault="001866D3" w:rsidP="001866D3">
            <w:pPr>
              <w:spacing w:before="0" w:after="0" w:line="240" w:lineRule="auto"/>
              <w:rPr>
                <w:sz w:val="20"/>
                <w:lang w:eastAsia="en-GB"/>
              </w:rPr>
            </w:pPr>
            <w:r w:rsidRPr="001866D3">
              <w:rPr>
                <w:sz w:val="20"/>
                <w:lang w:eastAsia="en-GB"/>
              </w:rPr>
              <w:t>Stoke-on-Trent</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20,242 </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0</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20,242 </w:t>
            </w:r>
          </w:p>
        </w:tc>
        <w:tc>
          <w:tcPr>
            <w:tcW w:w="1631"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127 </w:t>
            </w:r>
          </w:p>
        </w:tc>
      </w:tr>
      <w:tr w:rsidR="001866D3" w:rsidRPr="001866D3" w:rsidTr="001866D3">
        <w:trPr>
          <w:trHeight w:val="255"/>
        </w:trPr>
        <w:tc>
          <w:tcPr>
            <w:tcW w:w="3276" w:type="dxa"/>
            <w:shd w:val="clear" w:color="auto" w:fill="auto"/>
            <w:noWrap/>
            <w:vAlign w:val="bottom"/>
            <w:hideMark/>
          </w:tcPr>
          <w:p w:rsidR="001866D3" w:rsidRPr="001866D3" w:rsidRDefault="001866D3" w:rsidP="001866D3">
            <w:pPr>
              <w:spacing w:before="0" w:after="0" w:line="240" w:lineRule="auto"/>
              <w:rPr>
                <w:sz w:val="20"/>
                <w:lang w:eastAsia="en-GB"/>
              </w:rPr>
            </w:pPr>
            <w:r w:rsidRPr="001866D3">
              <w:rPr>
                <w:sz w:val="20"/>
                <w:lang w:eastAsia="en-GB"/>
              </w:rPr>
              <w:t>Suffolk</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26,289 </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0</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26,289 </w:t>
            </w:r>
          </w:p>
        </w:tc>
        <w:tc>
          <w:tcPr>
            <w:tcW w:w="1631"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30 </w:t>
            </w:r>
          </w:p>
        </w:tc>
      </w:tr>
      <w:tr w:rsidR="001866D3" w:rsidRPr="001866D3" w:rsidTr="001866D3">
        <w:trPr>
          <w:trHeight w:val="255"/>
        </w:trPr>
        <w:tc>
          <w:tcPr>
            <w:tcW w:w="3276" w:type="dxa"/>
            <w:shd w:val="clear" w:color="auto" w:fill="auto"/>
            <w:noWrap/>
            <w:vAlign w:val="bottom"/>
            <w:hideMark/>
          </w:tcPr>
          <w:p w:rsidR="001866D3" w:rsidRPr="001866D3" w:rsidRDefault="001866D3" w:rsidP="001866D3">
            <w:pPr>
              <w:spacing w:before="0" w:after="0" w:line="240" w:lineRule="auto"/>
              <w:rPr>
                <w:sz w:val="20"/>
                <w:lang w:eastAsia="en-GB"/>
              </w:rPr>
            </w:pPr>
            <w:r w:rsidRPr="001866D3">
              <w:rPr>
                <w:sz w:val="20"/>
                <w:lang w:eastAsia="en-GB"/>
              </w:rPr>
              <w:t>Sunderland</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21,234 </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color w:val="FF0000"/>
                <w:sz w:val="20"/>
                <w:lang w:eastAsia="en-GB"/>
              </w:rPr>
              <w:t>(685)</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20,549 </w:t>
            </w:r>
          </w:p>
        </w:tc>
        <w:tc>
          <w:tcPr>
            <w:tcW w:w="1631"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174 </w:t>
            </w:r>
          </w:p>
        </w:tc>
      </w:tr>
      <w:tr w:rsidR="001866D3" w:rsidRPr="001866D3" w:rsidTr="001866D3">
        <w:trPr>
          <w:trHeight w:val="255"/>
        </w:trPr>
        <w:tc>
          <w:tcPr>
            <w:tcW w:w="3276" w:type="dxa"/>
            <w:shd w:val="clear" w:color="auto" w:fill="auto"/>
            <w:noWrap/>
            <w:vAlign w:val="bottom"/>
            <w:hideMark/>
          </w:tcPr>
          <w:p w:rsidR="001866D3" w:rsidRPr="001866D3" w:rsidRDefault="001866D3" w:rsidP="001866D3">
            <w:pPr>
              <w:spacing w:before="0" w:after="0" w:line="240" w:lineRule="auto"/>
              <w:rPr>
                <w:sz w:val="20"/>
                <w:lang w:eastAsia="en-GB"/>
              </w:rPr>
            </w:pPr>
            <w:r w:rsidRPr="001866D3">
              <w:rPr>
                <w:sz w:val="20"/>
                <w:lang w:eastAsia="en-GB"/>
              </w:rPr>
              <w:t>Surrey</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25,561 </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3,416</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28,977 </w:t>
            </w:r>
          </w:p>
        </w:tc>
        <w:tc>
          <w:tcPr>
            <w:tcW w:w="1631"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125 </w:t>
            </w:r>
          </w:p>
        </w:tc>
      </w:tr>
      <w:tr w:rsidR="001866D3" w:rsidRPr="001866D3" w:rsidTr="001866D3">
        <w:trPr>
          <w:trHeight w:val="255"/>
        </w:trPr>
        <w:tc>
          <w:tcPr>
            <w:tcW w:w="3276" w:type="dxa"/>
            <w:shd w:val="clear" w:color="auto" w:fill="auto"/>
            <w:noWrap/>
            <w:vAlign w:val="bottom"/>
            <w:hideMark/>
          </w:tcPr>
          <w:p w:rsidR="001866D3" w:rsidRPr="001866D3" w:rsidRDefault="001866D3" w:rsidP="001866D3">
            <w:pPr>
              <w:spacing w:before="0" w:after="0" w:line="240" w:lineRule="auto"/>
              <w:rPr>
                <w:sz w:val="20"/>
                <w:lang w:eastAsia="en-GB"/>
              </w:rPr>
            </w:pPr>
            <w:r w:rsidRPr="001866D3">
              <w:rPr>
                <w:sz w:val="20"/>
                <w:lang w:eastAsia="en-GB"/>
              </w:rPr>
              <w:t>Sutton</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8,619 </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0</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8,619 </w:t>
            </w:r>
          </w:p>
        </w:tc>
        <w:tc>
          <w:tcPr>
            <w:tcW w:w="1631"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41 </w:t>
            </w:r>
          </w:p>
        </w:tc>
      </w:tr>
      <w:tr w:rsidR="001866D3" w:rsidRPr="001866D3" w:rsidTr="001866D3">
        <w:trPr>
          <w:trHeight w:val="255"/>
        </w:trPr>
        <w:tc>
          <w:tcPr>
            <w:tcW w:w="3276" w:type="dxa"/>
            <w:shd w:val="clear" w:color="auto" w:fill="auto"/>
            <w:noWrap/>
            <w:vAlign w:val="bottom"/>
            <w:hideMark/>
          </w:tcPr>
          <w:p w:rsidR="001866D3" w:rsidRPr="001866D3" w:rsidRDefault="001866D3" w:rsidP="001866D3">
            <w:pPr>
              <w:spacing w:before="0" w:after="0" w:line="240" w:lineRule="auto"/>
              <w:rPr>
                <w:sz w:val="20"/>
                <w:lang w:eastAsia="en-GB"/>
              </w:rPr>
            </w:pPr>
            <w:r w:rsidRPr="001866D3">
              <w:rPr>
                <w:sz w:val="20"/>
                <w:lang w:eastAsia="en-GB"/>
              </w:rPr>
              <w:t>Swindon</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8,680 </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color w:val="FF0000"/>
                <w:sz w:val="20"/>
                <w:lang w:eastAsia="en-GB"/>
              </w:rPr>
              <w:t>(122)</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8,558 </w:t>
            </w:r>
          </w:p>
        </w:tc>
        <w:tc>
          <w:tcPr>
            <w:tcW w:w="1631"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26 </w:t>
            </w:r>
          </w:p>
        </w:tc>
      </w:tr>
      <w:tr w:rsidR="001866D3" w:rsidRPr="001866D3" w:rsidTr="001866D3">
        <w:trPr>
          <w:trHeight w:val="255"/>
        </w:trPr>
        <w:tc>
          <w:tcPr>
            <w:tcW w:w="3276" w:type="dxa"/>
            <w:shd w:val="clear" w:color="auto" w:fill="auto"/>
            <w:noWrap/>
            <w:vAlign w:val="bottom"/>
            <w:hideMark/>
          </w:tcPr>
          <w:p w:rsidR="001866D3" w:rsidRPr="001866D3" w:rsidRDefault="001866D3" w:rsidP="001866D3">
            <w:pPr>
              <w:spacing w:before="0" w:after="0" w:line="240" w:lineRule="auto"/>
              <w:rPr>
                <w:sz w:val="20"/>
                <w:lang w:eastAsia="en-GB"/>
              </w:rPr>
            </w:pPr>
            <w:r w:rsidRPr="001866D3">
              <w:rPr>
                <w:sz w:val="20"/>
                <w:lang w:eastAsia="en-GB"/>
              </w:rPr>
              <w:t>Tameside</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12,600 </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863</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13,463 </w:t>
            </w:r>
          </w:p>
        </w:tc>
        <w:tc>
          <w:tcPr>
            <w:tcW w:w="1631"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1,471 </w:t>
            </w:r>
          </w:p>
        </w:tc>
      </w:tr>
      <w:tr w:rsidR="001866D3" w:rsidRPr="001866D3" w:rsidTr="001866D3">
        <w:trPr>
          <w:trHeight w:val="255"/>
        </w:trPr>
        <w:tc>
          <w:tcPr>
            <w:tcW w:w="3276" w:type="dxa"/>
            <w:shd w:val="clear" w:color="auto" w:fill="auto"/>
            <w:noWrap/>
            <w:vAlign w:val="bottom"/>
            <w:hideMark/>
          </w:tcPr>
          <w:p w:rsidR="001866D3" w:rsidRPr="001866D3" w:rsidRDefault="001866D3" w:rsidP="001866D3">
            <w:pPr>
              <w:spacing w:before="0" w:after="0" w:line="240" w:lineRule="auto"/>
              <w:rPr>
                <w:sz w:val="20"/>
                <w:lang w:eastAsia="en-GB"/>
              </w:rPr>
            </w:pPr>
            <w:r w:rsidRPr="001866D3">
              <w:rPr>
                <w:sz w:val="20"/>
                <w:lang w:eastAsia="en-GB"/>
              </w:rPr>
              <w:t>Telford and Wrekin</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10,913 </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0</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10,913 </w:t>
            </w:r>
          </w:p>
        </w:tc>
        <w:tc>
          <w:tcPr>
            <w:tcW w:w="1631"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50 </w:t>
            </w:r>
          </w:p>
        </w:tc>
      </w:tr>
      <w:tr w:rsidR="001866D3" w:rsidRPr="001866D3" w:rsidTr="001866D3">
        <w:trPr>
          <w:trHeight w:val="255"/>
        </w:trPr>
        <w:tc>
          <w:tcPr>
            <w:tcW w:w="3276" w:type="dxa"/>
            <w:shd w:val="clear" w:color="auto" w:fill="auto"/>
            <w:noWrap/>
            <w:vAlign w:val="bottom"/>
            <w:hideMark/>
          </w:tcPr>
          <w:p w:rsidR="001866D3" w:rsidRPr="001866D3" w:rsidRDefault="001866D3" w:rsidP="001866D3">
            <w:pPr>
              <w:spacing w:before="0" w:after="0" w:line="240" w:lineRule="auto"/>
              <w:rPr>
                <w:sz w:val="20"/>
                <w:lang w:eastAsia="en-GB"/>
              </w:rPr>
            </w:pPr>
            <w:r w:rsidRPr="001866D3">
              <w:rPr>
                <w:sz w:val="20"/>
                <w:lang w:eastAsia="en-GB"/>
              </w:rPr>
              <w:t>Thurrock</w:t>
            </w:r>
          </w:p>
        </w:tc>
        <w:tc>
          <w:tcPr>
            <w:tcW w:w="1630" w:type="dxa"/>
            <w:shd w:val="clear" w:color="auto" w:fill="auto"/>
            <w:noWrap/>
            <w:vAlign w:val="bottom"/>
            <w:hideMark/>
          </w:tcPr>
          <w:p w:rsidR="001866D3" w:rsidRPr="001866D3" w:rsidRDefault="00672FE9" w:rsidP="001866D3">
            <w:pPr>
              <w:spacing w:before="0" w:after="0" w:line="240" w:lineRule="auto"/>
              <w:jc w:val="right"/>
              <w:rPr>
                <w:sz w:val="20"/>
                <w:lang w:eastAsia="en-GB"/>
              </w:rPr>
            </w:pPr>
            <w:r>
              <w:rPr>
                <w:sz w:val="20"/>
                <w:lang w:eastAsia="en-GB"/>
              </w:rPr>
              <w:t>…</w:t>
            </w:r>
            <w:r w:rsidR="001866D3" w:rsidRPr="001866D3">
              <w:rPr>
                <w:sz w:val="20"/>
                <w:lang w:eastAsia="en-GB"/>
              </w:rPr>
              <w:t xml:space="preserve">                   </w:t>
            </w:r>
          </w:p>
        </w:tc>
        <w:tc>
          <w:tcPr>
            <w:tcW w:w="1630" w:type="dxa"/>
            <w:shd w:val="clear" w:color="auto" w:fill="auto"/>
            <w:noWrap/>
            <w:vAlign w:val="bottom"/>
            <w:hideMark/>
          </w:tcPr>
          <w:p w:rsidR="001866D3" w:rsidRPr="001866D3" w:rsidRDefault="00672FE9" w:rsidP="001866D3">
            <w:pPr>
              <w:spacing w:before="0" w:after="0" w:line="240" w:lineRule="auto"/>
              <w:jc w:val="right"/>
              <w:rPr>
                <w:sz w:val="20"/>
                <w:lang w:eastAsia="en-GB"/>
              </w:rPr>
            </w:pPr>
            <w:r>
              <w:rPr>
                <w:sz w:val="20"/>
                <w:lang w:eastAsia="en-GB"/>
              </w:rPr>
              <w:t>…</w:t>
            </w:r>
          </w:p>
        </w:tc>
        <w:tc>
          <w:tcPr>
            <w:tcW w:w="1630" w:type="dxa"/>
            <w:shd w:val="clear" w:color="auto" w:fill="auto"/>
            <w:noWrap/>
            <w:vAlign w:val="bottom"/>
            <w:hideMark/>
          </w:tcPr>
          <w:p w:rsidR="001866D3" w:rsidRPr="001866D3" w:rsidRDefault="00672FE9" w:rsidP="001866D3">
            <w:pPr>
              <w:spacing w:before="0" w:after="0" w:line="240" w:lineRule="auto"/>
              <w:jc w:val="right"/>
              <w:rPr>
                <w:sz w:val="20"/>
                <w:lang w:eastAsia="en-GB"/>
              </w:rPr>
            </w:pPr>
            <w:r>
              <w:rPr>
                <w:sz w:val="20"/>
                <w:lang w:eastAsia="en-GB"/>
              </w:rPr>
              <w:t>…</w:t>
            </w:r>
          </w:p>
        </w:tc>
        <w:tc>
          <w:tcPr>
            <w:tcW w:w="1631"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w:t>
            </w:r>
          </w:p>
          <w:p w:rsidR="001866D3" w:rsidRPr="001866D3" w:rsidRDefault="00672FE9" w:rsidP="001866D3">
            <w:pPr>
              <w:spacing w:before="0" w:after="0" w:line="240" w:lineRule="auto"/>
              <w:jc w:val="right"/>
              <w:rPr>
                <w:sz w:val="20"/>
                <w:lang w:eastAsia="en-GB"/>
              </w:rPr>
            </w:pPr>
            <w:r>
              <w:rPr>
                <w:sz w:val="20"/>
                <w:lang w:eastAsia="en-GB"/>
              </w:rPr>
              <w:t>…</w:t>
            </w:r>
          </w:p>
        </w:tc>
      </w:tr>
      <w:tr w:rsidR="001866D3" w:rsidRPr="001866D3" w:rsidTr="001866D3">
        <w:trPr>
          <w:trHeight w:val="255"/>
        </w:trPr>
        <w:tc>
          <w:tcPr>
            <w:tcW w:w="3276" w:type="dxa"/>
            <w:shd w:val="clear" w:color="auto" w:fill="auto"/>
            <w:noWrap/>
            <w:vAlign w:val="bottom"/>
            <w:hideMark/>
          </w:tcPr>
          <w:p w:rsidR="001866D3" w:rsidRPr="001866D3" w:rsidRDefault="001866D3" w:rsidP="001866D3">
            <w:pPr>
              <w:spacing w:before="0" w:after="0" w:line="240" w:lineRule="auto"/>
              <w:rPr>
                <w:sz w:val="20"/>
                <w:lang w:eastAsia="en-GB"/>
              </w:rPr>
            </w:pPr>
            <w:r w:rsidRPr="001866D3">
              <w:rPr>
                <w:sz w:val="20"/>
                <w:lang w:eastAsia="en-GB"/>
              </w:rPr>
              <w:t>Torbay</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7,351 </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45</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7,396 </w:t>
            </w:r>
          </w:p>
        </w:tc>
        <w:tc>
          <w:tcPr>
            <w:tcW w:w="1631"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47 </w:t>
            </w:r>
          </w:p>
        </w:tc>
      </w:tr>
      <w:tr w:rsidR="001866D3" w:rsidRPr="001866D3" w:rsidTr="001866D3">
        <w:trPr>
          <w:trHeight w:val="255"/>
        </w:trPr>
        <w:tc>
          <w:tcPr>
            <w:tcW w:w="3276" w:type="dxa"/>
            <w:shd w:val="clear" w:color="auto" w:fill="auto"/>
            <w:noWrap/>
            <w:vAlign w:val="bottom"/>
            <w:hideMark/>
          </w:tcPr>
          <w:p w:rsidR="001866D3" w:rsidRPr="001866D3" w:rsidRDefault="001866D3" w:rsidP="001866D3">
            <w:pPr>
              <w:spacing w:before="0" w:after="0" w:line="240" w:lineRule="auto"/>
              <w:rPr>
                <w:sz w:val="20"/>
                <w:lang w:eastAsia="en-GB"/>
              </w:rPr>
            </w:pPr>
            <w:r w:rsidRPr="001866D3">
              <w:rPr>
                <w:sz w:val="20"/>
                <w:lang w:eastAsia="en-GB"/>
              </w:rPr>
              <w:t>Tower Hamlets</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32,261 </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0</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32,261 </w:t>
            </w:r>
          </w:p>
        </w:tc>
        <w:tc>
          <w:tcPr>
            <w:tcW w:w="1631"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60 </w:t>
            </w:r>
          </w:p>
        </w:tc>
      </w:tr>
      <w:tr w:rsidR="001866D3" w:rsidRPr="001866D3" w:rsidTr="001866D3">
        <w:trPr>
          <w:trHeight w:val="255"/>
        </w:trPr>
        <w:tc>
          <w:tcPr>
            <w:tcW w:w="3276" w:type="dxa"/>
            <w:shd w:val="clear" w:color="auto" w:fill="auto"/>
            <w:noWrap/>
            <w:vAlign w:val="bottom"/>
            <w:hideMark/>
          </w:tcPr>
          <w:p w:rsidR="001866D3" w:rsidRPr="001866D3" w:rsidRDefault="001866D3" w:rsidP="001866D3">
            <w:pPr>
              <w:spacing w:before="0" w:after="0" w:line="240" w:lineRule="auto"/>
              <w:rPr>
                <w:sz w:val="20"/>
                <w:lang w:eastAsia="en-GB"/>
              </w:rPr>
            </w:pPr>
            <w:r w:rsidRPr="001866D3">
              <w:rPr>
                <w:sz w:val="20"/>
                <w:lang w:eastAsia="en-GB"/>
              </w:rPr>
              <w:t>Trafford</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10,456 </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373</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10,829 </w:t>
            </w:r>
          </w:p>
        </w:tc>
        <w:tc>
          <w:tcPr>
            <w:tcW w:w="1631"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20 </w:t>
            </w:r>
          </w:p>
        </w:tc>
      </w:tr>
      <w:tr w:rsidR="001866D3" w:rsidRPr="001866D3" w:rsidTr="001866D3">
        <w:trPr>
          <w:trHeight w:val="255"/>
        </w:trPr>
        <w:tc>
          <w:tcPr>
            <w:tcW w:w="3276" w:type="dxa"/>
            <w:shd w:val="clear" w:color="auto" w:fill="auto"/>
            <w:noWrap/>
            <w:vAlign w:val="bottom"/>
          </w:tcPr>
          <w:p w:rsidR="001866D3" w:rsidRPr="001866D3" w:rsidRDefault="001866D3" w:rsidP="001866D3">
            <w:pPr>
              <w:spacing w:before="0" w:after="0" w:line="240" w:lineRule="auto"/>
              <w:rPr>
                <w:sz w:val="20"/>
                <w:lang w:eastAsia="en-GB"/>
              </w:rPr>
            </w:pPr>
          </w:p>
        </w:tc>
        <w:tc>
          <w:tcPr>
            <w:tcW w:w="1630" w:type="dxa"/>
            <w:shd w:val="clear" w:color="auto" w:fill="auto"/>
            <w:noWrap/>
            <w:vAlign w:val="bottom"/>
          </w:tcPr>
          <w:p w:rsidR="001866D3" w:rsidRPr="001866D3" w:rsidRDefault="001866D3" w:rsidP="001866D3">
            <w:pPr>
              <w:spacing w:before="0" w:after="0" w:line="240" w:lineRule="auto"/>
              <w:jc w:val="right"/>
              <w:rPr>
                <w:sz w:val="20"/>
                <w:lang w:eastAsia="en-GB"/>
              </w:rPr>
            </w:pPr>
          </w:p>
        </w:tc>
        <w:tc>
          <w:tcPr>
            <w:tcW w:w="1630" w:type="dxa"/>
            <w:shd w:val="clear" w:color="auto" w:fill="auto"/>
            <w:noWrap/>
            <w:vAlign w:val="bottom"/>
          </w:tcPr>
          <w:p w:rsidR="001866D3" w:rsidRPr="001866D3" w:rsidRDefault="001866D3" w:rsidP="001866D3">
            <w:pPr>
              <w:spacing w:before="0" w:after="0" w:line="240" w:lineRule="auto"/>
              <w:jc w:val="right"/>
              <w:rPr>
                <w:sz w:val="20"/>
                <w:lang w:eastAsia="en-GB"/>
              </w:rPr>
            </w:pPr>
          </w:p>
        </w:tc>
        <w:tc>
          <w:tcPr>
            <w:tcW w:w="1630" w:type="dxa"/>
            <w:shd w:val="clear" w:color="auto" w:fill="auto"/>
            <w:noWrap/>
            <w:vAlign w:val="bottom"/>
          </w:tcPr>
          <w:p w:rsidR="001866D3" w:rsidRPr="001866D3" w:rsidRDefault="001866D3" w:rsidP="001866D3">
            <w:pPr>
              <w:spacing w:before="0" w:after="0" w:line="240" w:lineRule="auto"/>
              <w:jc w:val="right"/>
              <w:rPr>
                <w:sz w:val="20"/>
                <w:lang w:eastAsia="en-GB"/>
              </w:rPr>
            </w:pPr>
          </w:p>
        </w:tc>
        <w:tc>
          <w:tcPr>
            <w:tcW w:w="1631" w:type="dxa"/>
            <w:shd w:val="clear" w:color="auto" w:fill="auto"/>
            <w:noWrap/>
            <w:vAlign w:val="bottom"/>
          </w:tcPr>
          <w:p w:rsidR="001866D3" w:rsidRPr="001866D3" w:rsidRDefault="001866D3" w:rsidP="001866D3">
            <w:pPr>
              <w:spacing w:before="0" w:after="0" w:line="240" w:lineRule="auto"/>
              <w:jc w:val="right"/>
              <w:rPr>
                <w:sz w:val="20"/>
                <w:lang w:eastAsia="en-GB"/>
              </w:rPr>
            </w:pPr>
          </w:p>
        </w:tc>
      </w:tr>
      <w:tr w:rsidR="001866D3" w:rsidRPr="001866D3" w:rsidTr="001866D3">
        <w:trPr>
          <w:trHeight w:val="255"/>
        </w:trPr>
        <w:tc>
          <w:tcPr>
            <w:tcW w:w="3276" w:type="dxa"/>
            <w:shd w:val="clear" w:color="auto" w:fill="auto"/>
            <w:noWrap/>
            <w:vAlign w:val="bottom"/>
            <w:hideMark/>
          </w:tcPr>
          <w:p w:rsidR="001866D3" w:rsidRPr="001866D3" w:rsidRDefault="001866D3" w:rsidP="001866D3">
            <w:pPr>
              <w:spacing w:before="0" w:after="0" w:line="240" w:lineRule="auto"/>
              <w:rPr>
                <w:sz w:val="20"/>
                <w:lang w:eastAsia="en-GB"/>
              </w:rPr>
            </w:pPr>
            <w:r w:rsidRPr="001866D3">
              <w:rPr>
                <w:sz w:val="20"/>
                <w:lang w:eastAsia="en-GB"/>
              </w:rPr>
              <w:lastRenderedPageBreak/>
              <w:t>Wakefield</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20,797 </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308</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21,105 </w:t>
            </w:r>
          </w:p>
        </w:tc>
        <w:tc>
          <w:tcPr>
            <w:tcW w:w="1631"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115 </w:t>
            </w:r>
          </w:p>
        </w:tc>
      </w:tr>
      <w:tr w:rsidR="001866D3" w:rsidRPr="001866D3" w:rsidTr="001866D3">
        <w:trPr>
          <w:trHeight w:val="255"/>
        </w:trPr>
        <w:tc>
          <w:tcPr>
            <w:tcW w:w="3276" w:type="dxa"/>
            <w:shd w:val="clear" w:color="auto" w:fill="auto"/>
            <w:noWrap/>
            <w:vAlign w:val="bottom"/>
            <w:hideMark/>
          </w:tcPr>
          <w:p w:rsidR="001866D3" w:rsidRPr="001866D3" w:rsidRDefault="001866D3" w:rsidP="001866D3">
            <w:pPr>
              <w:spacing w:before="0" w:after="0" w:line="240" w:lineRule="auto"/>
              <w:rPr>
                <w:sz w:val="20"/>
                <w:lang w:eastAsia="en-GB"/>
              </w:rPr>
            </w:pPr>
            <w:r w:rsidRPr="001866D3">
              <w:rPr>
                <w:sz w:val="20"/>
                <w:lang w:eastAsia="en-GB"/>
              </w:rPr>
              <w:t>Walsall</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15,827 </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0</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15,827 </w:t>
            </w:r>
          </w:p>
        </w:tc>
        <w:tc>
          <w:tcPr>
            <w:tcW w:w="1631"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13 </w:t>
            </w:r>
          </w:p>
        </w:tc>
      </w:tr>
      <w:tr w:rsidR="001866D3" w:rsidRPr="001866D3" w:rsidTr="001866D3">
        <w:trPr>
          <w:trHeight w:val="255"/>
        </w:trPr>
        <w:tc>
          <w:tcPr>
            <w:tcW w:w="3276" w:type="dxa"/>
            <w:shd w:val="clear" w:color="auto" w:fill="auto"/>
            <w:noWrap/>
            <w:vAlign w:val="bottom"/>
            <w:hideMark/>
          </w:tcPr>
          <w:p w:rsidR="001866D3" w:rsidRPr="001866D3" w:rsidRDefault="001866D3" w:rsidP="001866D3">
            <w:pPr>
              <w:spacing w:before="0" w:after="0" w:line="240" w:lineRule="auto"/>
              <w:rPr>
                <w:sz w:val="20"/>
                <w:lang w:eastAsia="en-GB"/>
              </w:rPr>
            </w:pPr>
            <w:r w:rsidRPr="001866D3">
              <w:rPr>
                <w:sz w:val="20"/>
                <w:lang w:eastAsia="en-GB"/>
              </w:rPr>
              <w:t>Waltham Forest</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12,277 </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0</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12,277 </w:t>
            </w:r>
          </w:p>
        </w:tc>
        <w:tc>
          <w:tcPr>
            <w:tcW w:w="1631"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45 </w:t>
            </w:r>
          </w:p>
        </w:tc>
      </w:tr>
      <w:tr w:rsidR="001866D3" w:rsidRPr="001866D3" w:rsidTr="001866D3">
        <w:trPr>
          <w:trHeight w:val="255"/>
        </w:trPr>
        <w:tc>
          <w:tcPr>
            <w:tcW w:w="3276" w:type="dxa"/>
            <w:shd w:val="clear" w:color="auto" w:fill="auto"/>
            <w:noWrap/>
            <w:vAlign w:val="bottom"/>
            <w:hideMark/>
          </w:tcPr>
          <w:p w:rsidR="001866D3" w:rsidRPr="001866D3" w:rsidRDefault="001866D3" w:rsidP="001866D3">
            <w:pPr>
              <w:spacing w:before="0" w:after="0" w:line="240" w:lineRule="auto"/>
              <w:rPr>
                <w:sz w:val="20"/>
                <w:lang w:eastAsia="en-GB"/>
              </w:rPr>
            </w:pPr>
            <w:proofErr w:type="spellStart"/>
            <w:r w:rsidRPr="001866D3">
              <w:rPr>
                <w:sz w:val="20"/>
                <w:lang w:eastAsia="en-GB"/>
              </w:rPr>
              <w:t>Wandsworth</w:t>
            </w:r>
            <w:proofErr w:type="spellEnd"/>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25,431 </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0</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25,431 </w:t>
            </w:r>
          </w:p>
        </w:tc>
        <w:tc>
          <w:tcPr>
            <w:tcW w:w="1631"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170 </w:t>
            </w:r>
          </w:p>
        </w:tc>
      </w:tr>
      <w:tr w:rsidR="001866D3" w:rsidRPr="001866D3" w:rsidTr="001866D3">
        <w:trPr>
          <w:trHeight w:val="255"/>
        </w:trPr>
        <w:tc>
          <w:tcPr>
            <w:tcW w:w="3276" w:type="dxa"/>
            <w:shd w:val="clear" w:color="auto" w:fill="auto"/>
            <w:noWrap/>
            <w:vAlign w:val="bottom"/>
            <w:hideMark/>
          </w:tcPr>
          <w:p w:rsidR="001866D3" w:rsidRPr="001866D3" w:rsidRDefault="001866D3" w:rsidP="001866D3">
            <w:pPr>
              <w:spacing w:before="0" w:after="0" w:line="240" w:lineRule="auto"/>
              <w:rPr>
                <w:sz w:val="20"/>
                <w:lang w:eastAsia="en-GB"/>
              </w:rPr>
            </w:pPr>
            <w:r w:rsidRPr="001866D3">
              <w:rPr>
                <w:sz w:val="20"/>
                <w:lang w:eastAsia="en-GB"/>
              </w:rPr>
              <w:t>Warrington</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10,439 </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0</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10,439 </w:t>
            </w:r>
          </w:p>
        </w:tc>
        <w:tc>
          <w:tcPr>
            <w:tcW w:w="1631"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33 </w:t>
            </w:r>
          </w:p>
        </w:tc>
      </w:tr>
      <w:tr w:rsidR="001866D3" w:rsidRPr="001866D3" w:rsidTr="001866D3">
        <w:trPr>
          <w:trHeight w:val="255"/>
        </w:trPr>
        <w:tc>
          <w:tcPr>
            <w:tcW w:w="3276" w:type="dxa"/>
            <w:shd w:val="clear" w:color="auto" w:fill="auto"/>
            <w:noWrap/>
            <w:vAlign w:val="bottom"/>
            <w:hideMark/>
          </w:tcPr>
          <w:p w:rsidR="001866D3" w:rsidRPr="001866D3" w:rsidRDefault="001866D3" w:rsidP="001866D3">
            <w:pPr>
              <w:spacing w:before="0" w:after="0" w:line="240" w:lineRule="auto"/>
              <w:rPr>
                <w:sz w:val="20"/>
                <w:lang w:eastAsia="en-GB"/>
              </w:rPr>
            </w:pPr>
            <w:r w:rsidRPr="001866D3">
              <w:rPr>
                <w:sz w:val="20"/>
                <w:lang w:eastAsia="en-GB"/>
              </w:rPr>
              <w:t>Warwickshire</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21,810 </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color w:val="FF0000"/>
                <w:sz w:val="20"/>
                <w:lang w:eastAsia="en-GB"/>
              </w:rPr>
              <w:t>(2,333)</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19,477 </w:t>
            </w:r>
          </w:p>
        </w:tc>
        <w:tc>
          <w:tcPr>
            <w:tcW w:w="1631"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29 </w:t>
            </w:r>
          </w:p>
        </w:tc>
      </w:tr>
      <w:tr w:rsidR="001866D3" w:rsidRPr="001866D3" w:rsidTr="001866D3">
        <w:trPr>
          <w:trHeight w:val="255"/>
        </w:trPr>
        <w:tc>
          <w:tcPr>
            <w:tcW w:w="3276" w:type="dxa"/>
            <w:shd w:val="clear" w:color="auto" w:fill="auto"/>
            <w:noWrap/>
            <w:vAlign w:val="bottom"/>
            <w:hideMark/>
          </w:tcPr>
          <w:p w:rsidR="001866D3" w:rsidRPr="001866D3" w:rsidRDefault="001866D3" w:rsidP="001866D3">
            <w:pPr>
              <w:spacing w:before="0" w:after="0" w:line="240" w:lineRule="auto"/>
              <w:rPr>
                <w:sz w:val="20"/>
                <w:lang w:eastAsia="en-GB"/>
              </w:rPr>
            </w:pPr>
            <w:r w:rsidRPr="001866D3">
              <w:rPr>
                <w:sz w:val="20"/>
                <w:lang w:eastAsia="en-GB"/>
              </w:rPr>
              <w:t>West Berkshire</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4,819 </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0</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4,819 </w:t>
            </w:r>
          </w:p>
        </w:tc>
        <w:tc>
          <w:tcPr>
            <w:tcW w:w="1631"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27 </w:t>
            </w:r>
          </w:p>
        </w:tc>
      </w:tr>
      <w:tr w:rsidR="001866D3" w:rsidRPr="001866D3" w:rsidTr="001866D3">
        <w:trPr>
          <w:trHeight w:val="255"/>
        </w:trPr>
        <w:tc>
          <w:tcPr>
            <w:tcW w:w="3276" w:type="dxa"/>
            <w:shd w:val="clear" w:color="auto" w:fill="auto"/>
            <w:noWrap/>
            <w:vAlign w:val="bottom"/>
            <w:hideMark/>
          </w:tcPr>
          <w:p w:rsidR="001866D3" w:rsidRPr="001866D3" w:rsidRDefault="001866D3" w:rsidP="001866D3">
            <w:pPr>
              <w:spacing w:before="0" w:after="0" w:line="240" w:lineRule="auto"/>
              <w:rPr>
                <w:sz w:val="20"/>
                <w:lang w:eastAsia="en-GB"/>
              </w:rPr>
            </w:pPr>
            <w:r w:rsidRPr="001866D3">
              <w:rPr>
                <w:sz w:val="20"/>
                <w:lang w:eastAsia="en-GB"/>
              </w:rPr>
              <w:t>West Sussex</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27,445 </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0</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27,445 </w:t>
            </w:r>
          </w:p>
        </w:tc>
        <w:tc>
          <w:tcPr>
            <w:tcW w:w="1631"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82 </w:t>
            </w:r>
          </w:p>
        </w:tc>
      </w:tr>
      <w:tr w:rsidR="001866D3" w:rsidRPr="001866D3" w:rsidTr="001866D3">
        <w:trPr>
          <w:trHeight w:val="255"/>
        </w:trPr>
        <w:tc>
          <w:tcPr>
            <w:tcW w:w="3276" w:type="dxa"/>
            <w:shd w:val="clear" w:color="auto" w:fill="auto"/>
            <w:noWrap/>
            <w:vAlign w:val="bottom"/>
            <w:hideMark/>
          </w:tcPr>
          <w:p w:rsidR="001866D3" w:rsidRPr="001866D3" w:rsidRDefault="001866D3" w:rsidP="001866D3">
            <w:pPr>
              <w:spacing w:before="0" w:after="0" w:line="240" w:lineRule="auto"/>
              <w:rPr>
                <w:sz w:val="20"/>
                <w:lang w:eastAsia="en-GB"/>
              </w:rPr>
            </w:pPr>
            <w:r w:rsidRPr="001866D3">
              <w:rPr>
                <w:sz w:val="20"/>
                <w:lang w:eastAsia="en-GB"/>
              </w:rPr>
              <w:t>Westminster</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31,235 </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0</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31,235 </w:t>
            </w:r>
          </w:p>
        </w:tc>
        <w:tc>
          <w:tcPr>
            <w:tcW w:w="1631"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128 </w:t>
            </w:r>
          </w:p>
        </w:tc>
      </w:tr>
      <w:tr w:rsidR="001866D3" w:rsidRPr="001866D3" w:rsidTr="001866D3">
        <w:trPr>
          <w:trHeight w:val="255"/>
        </w:trPr>
        <w:tc>
          <w:tcPr>
            <w:tcW w:w="3276" w:type="dxa"/>
            <w:shd w:val="clear" w:color="auto" w:fill="auto"/>
            <w:noWrap/>
            <w:vAlign w:val="bottom"/>
            <w:hideMark/>
          </w:tcPr>
          <w:p w:rsidR="001866D3" w:rsidRPr="001866D3" w:rsidRDefault="001866D3" w:rsidP="001866D3">
            <w:pPr>
              <w:spacing w:before="0" w:after="0" w:line="240" w:lineRule="auto"/>
              <w:rPr>
                <w:sz w:val="20"/>
                <w:lang w:eastAsia="en-GB"/>
              </w:rPr>
            </w:pPr>
            <w:r w:rsidRPr="001866D3">
              <w:rPr>
                <w:sz w:val="20"/>
                <w:lang w:eastAsia="en-GB"/>
              </w:rPr>
              <w:t>Wigan</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23,665 </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0</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23,665 </w:t>
            </w:r>
          </w:p>
        </w:tc>
        <w:tc>
          <w:tcPr>
            <w:tcW w:w="1631"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45 </w:t>
            </w:r>
          </w:p>
        </w:tc>
      </w:tr>
      <w:tr w:rsidR="001866D3" w:rsidRPr="001866D3" w:rsidTr="001866D3">
        <w:trPr>
          <w:trHeight w:val="255"/>
        </w:trPr>
        <w:tc>
          <w:tcPr>
            <w:tcW w:w="3276" w:type="dxa"/>
            <w:shd w:val="clear" w:color="auto" w:fill="auto"/>
            <w:noWrap/>
            <w:vAlign w:val="bottom"/>
            <w:hideMark/>
          </w:tcPr>
          <w:p w:rsidR="001866D3" w:rsidRPr="001866D3" w:rsidRDefault="001866D3" w:rsidP="001866D3">
            <w:pPr>
              <w:spacing w:before="0" w:after="0" w:line="240" w:lineRule="auto"/>
              <w:rPr>
                <w:sz w:val="20"/>
                <w:lang w:eastAsia="en-GB"/>
              </w:rPr>
            </w:pPr>
            <w:r w:rsidRPr="001866D3">
              <w:rPr>
                <w:sz w:val="20"/>
                <w:lang w:eastAsia="en-GB"/>
              </w:rPr>
              <w:t>Wiltshire</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14,587 </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0</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14,587 </w:t>
            </w:r>
          </w:p>
        </w:tc>
        <w:tc>
          <w:tcPr>
            <w:tcW w:w="1631"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45 </w:t>
            </w:r>
          </w:p>
        </w:tc>
      </w:tr>
      <w:tr w:rsidR="001866D3" w:rsidRPr="001866D3" w:rsidTr="001866D3">
        <w:trPr>
          <w:trHeight w:val="255"/>
        </w:trPr>
        <w:tc>
          <w:tcPr>
            <w:tcW w:w="3276" w:type="dxa"/>
            <w:shd w:val="clear" w:color="auto" w:fill="auto"/>
            <w:noWrap/>
            <w:vAlign w:val="bottom"/>
            <w:hideMark/>
          </w:tcPr>
          <w:p w:rsidR="001866D3" w:rsidRPr="001866D3" w:rsidRDefault="001866D3" w:rsidP="001866D3">
            <w:pPr>
              <w:spacing w:before="0" w:after="0" w:line="240" w:lineRule="auto"/>
              <w:rPr>
                <w:sz w:val="20"/>
                <w:lang w:eastAsia="en-GB"/>
              </w:rPr>
            </w:pPr>
            <w:r w:rsidRPr="001866D3">
              <w:rPr>
                <w:sz w:val="20"/>
                <w:lang w:eastAsia="en-GB"/>
              </w:rPr>
              <w:t>Windsor and Maidenhead</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3,511 </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0</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3,511 </w:t>
            </w:r>
          </w:p>
        </w:tc>
        <w:tc>
          <w:tcPr>
            <w:tcW w:w="1631"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18 </w:t>
            </w:r>
          </w:p>
        </w:tc>
      </w:tr>
      <w:tr w:rsidR="001866D3" w:rsidRPr="001866D3" w:rsidTr="001866D3">
        <w:trPr>
          <w:trHeight w:val="255"/>
        </w:trPr>
        <w:tc>
          <w:tcPr>
            <w:tcW w:w="3276" w:type="dxa"/>
            <w:shd w:val="clear" w:color="auto" w:fill="auto"/>
            <w:noWrap/>
            <w:vAlign w:val="bottom"/>
            <w:hideMark/>
          </w:tcPr>
          <w:p w:rsidR="001866D3" w:rsidRPr="001866D3" w:rsidRDefault="001866D3" w:rsidP="001866D3">
            <w:pPr>
              <w:spacing w:before="0" w:after="0" w:line="240" w:lineRule="auto"/>
              <w:rPr>
                <w:sz w:val="20"/>
                <w:lang w:eastAsia="en-GB"/>
              </w:rPr>
            </w:pPr>
            <w:r w:rsidRPr="001866D3">
              <w:rPr>
                <w:sz w:val="20"/>
                <w:lang w:eastAsia="en-GB"/>
              </w:rPr>
              <w:t>Wirral</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26,440 </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1,724</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28,164 </w:t>
            </w:r>
          </w:p>
        </w:tc>
        <w:tc>
          <w:tcPr>
            <w:tcW w:w="1631"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109 </w:t>
            </w:r>
          </w:p>
        </w:tc>
      </w:tr>
      <w:tr w:rsidR="001866D3" w:rsidRPr="001866D3" w:rsidTr="001866D3">
        <w:trPr>
          <w:trHeight w:val="255"/>
        </w:trPr>
        <w:tc>
          <w:tcPr>
            <w:tcW w:w="3276" w:type="dxa"/>
            <w:shd w:val="clear" w:color="auto" w:fill="auto"/>
            <w:noWrap/>
            <w:vAlign w:val="bottom"/>
            <w:hideMark/>
          </w:tcPr>
          <w:p w:rsidR="001866D3" w:rsidRPr="001866D3" w:rsidRDefault="001866D3" w:rsidP="001866D3">
            <w:pPr>
              <w:spacing w:before="0" w:after="0" w:line="240" w:lineRule="auto"/>
              <w:rPr>
                <w:sz w:val="20"/>
                <w:lang w:eastAsia="en-GB"/>
              </w:rPr>
            </w:pPr>
            <w:r w:rsidRPr="001866D3">
              <w:rPr>
                <w:sz w:val="20"/>
                <w:lang w:eastAsia="en-GB"/>
              </w:rPr>
              <w:t>Wokingham</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4,223 </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0</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4,223 </w:t>
            </w:r>
          </w:p>
        </w:tc>
        <w:tc>
          <w:tcPr>
            <w:tcW w:w="1631"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17 </w:t>
            </w:r>
          </w:p>
        </w:tc>
      </w:tr>
      <w:tr w:rsidR="001866D3" w:rsidRPr="001866D3" w:rsidTr="001866D3">
        <w:trPr>
          <w:trHeight w:val="255"/>
        </w:trPr>
        <w:tc>
          <w:tcPr>
            <w:tcW w:w="3276" w:type="dxa"/>
            <w:shd w:val="clear" w:color="auto" w:fill="auto"/>
            <w:noWrap/>
            <w:vAlign w:val="bottom"/>
            <w:hideMark/>
          </w:tcPr>
          <w:p w:rsidR="001866D3" w:rsidRPr="001866D3" w:rsidRDefault="001866D3" w:rsidP="001866D3">
            <w:pPr>
              <w:spacing w:before="0" w:after="0" w:line="240" w:lineRule="auto"/>
              <w:rPr>
                <w:sz w:val="20"/>
                <w:lang w:eastAsia="en-GB"/>
              </w:rPr>
            </w:pPr>
            <w:r w:rsidRPr="001866D3">
              <w:rPr>
                <w:sz w:val="20"/>
                <w:lang w:eastAsia="en-GB"/>
              </w:rPr>
              <w:t>Wolverhampton</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19,296 </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0</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19,296 </w:t>
            </w:r>
          </w:p>
        </w:tc>
        <w:tc>
          <w:tcPr>
            <w:tcW w:w="1631"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25 </w:t>
            </w:r>
          </w:p>
        </w:tc>
      </w:tr>
      <w:tr w:rsidR="001866D3" w:rsidRPr="001866D3" w:rsidTr="001866D3">
        <w:trPr>
          <w:trHeight w:val="255"/>
        </w:trPr>
        <w:tc>
          <w:tcPr>
            <w:tcW w:w="3276" w:type="dxa"/>
            <w:shd w:val="clear" w:color="auto" w:fill="auto"/>
            <w:noWrap/>
            <w:vAlign w:val="bottom"/>
            <w:hideMark/>
          </w:tcPr>
          <w:p w:rsidR="001866D3" w:rsidRPr="001866D3" w:rsidRDefault="001866D3" w:rsidP="001866D3">
            <w:pPr>
              <w:spacing w:before="0" w:after="0" w:line="240" w:lineRule="auto"/>
              <w:rPr>
                <w:sz w:val="20"/>
                <w:lang w:eastAsia="en-GB"/>
              </w:rPr>
            </w:pPr>
            <w:r w:rsidRPr="001866D3">
              <w:rPr>
                <w:sz w:val="20"/>
                <w:lang w:eastAsia="en-GB"/>
              </w:rPr>
              <w:t>Worcestershire</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26,528 </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0</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26,528 </w:t>
            </w:r>
          </w:p>
        </w:tc>
        <w:tc>
          <w:tcPr>
            <w:tcW w:w="1631"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91 </w:t>
            </w:r>
          </w:p>
        </w:tc>
      </w:tr>
      <w:tr w:rsidR="001866D3" w:rsidRPr="001866D3" w:rsidTr="001866D3">
        <w:trPr>
          <w:trHeight w:val="255"/>
        </w:trPr>
        <w:tc>
          <w:tcPr>
            <w:tcW w:w="3276" w:type="dxa"/>
            <w:shd w:val="clear" w:color="auto" w:fill="auto"/>
            <w:noWrap/>
            <w:vAlign w:val="bottom"/>
            <w:hideMark/>
          </w:tcPr>
          <w:p w:rsidR="001866D3" w:rsidRPr="001866D3" w:rsidRDefault="001866D3" w:rsidP="001866D3">
            <w:pPr>
              <w:spacing w:before="0" w:after="0" w:line="240" w:lineRule="auto"/>
              <w:rPr>
                <w:sz w:val="20"/>
                <w:lang w:eastAsia="en-GB"/>
              </w:rPr>
            </w:pPr>
            <w:r w:rsidRPr="001866D3">
              <w:rPr>
                <w:sz w:val="20"/>
                <w:lang w:eastAsia="en-GB"/>
              </w:rPr>
              <w:t>York</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7,305 </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0</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7,305 </w:t>
            </w:r>
          </w:p>
        </w:tc>
        <w:tc>
          <w:tcPr>
            <w:tcW w:w="1631"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                                    21 </w:t>
            </w:r>
          </w:p>
        </w:tc>
      </w:tr>
      <w:tr w:rsidR="001866D3" w:rsidRPr="001866D3" w:rsidTr="001866D3">
        <w:trPr>
          <w:trHeight w:val="255"/>
        </w:trPr>
        <w:tc>
          <w:tcPr>
            <w:tcW w:w="3276" w:type="dxa"/>
            <w:shd w:val="clear" w:color="auto" w:fill="auto"/>
            <w:noWrap/>
            <w:vAlign w:val="bottom"/>
            <w:hideMark/>
          </w:tcPr>
          <w:p w:rsidR="001866D3" w:rsidRPr="001866D3" w:rsidRDefault="001866D3" w:rsidP="001866D3">
            <w:pPr>
              <w:spacing w:before="0" w:after="0" w:line="240" w:lineRule="auto"/>
              <w:rPr>
                <w:sz w:val="20"/>
                <w:lang w:eastAsia="en-GB"/>
              </w:rPr>
            </w:pP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p>
        </w:tc>
        <w:tc>
          <w:tcPr>
            <w:tcW w:w="1631" w:type="dxa"/>
            <w:shd w:val="clear" w:color="auto" w:fill="auto"/>
            <w:noWrap/>
            <w:vAlign w:val="bottom"/>
            <w:hideMark/>
          </w:tcPr>
          <w:p w:rsidR="001866D3" w:rsidRPr="001866D3" w:rsidRDefault="001866D3" w:rsidP="001866D3">
            <w:pPr>
              <w:spacing w:before="0" w:after="0" w:line="240" w:lineRule="auto"/>
              <w:jc w:val="right"/>
              <w:rPr>
                <w:sz w:val="20"/>
                <w:lang w:eastAsia="en-GB"/>
              </w:rPr>
            </w:pPr>
          </w:p>
        </w:tc>
      </w:tr>
      <w:tr w:rsidR="001866D3" w:rsidRPr="001866D3" w:rsidTr="001866D3">
        <w:trPr>
          <w:trHeight w:val="493"/>
        </w:trPr>
        <w:tc>
          <w:tcPr>
            <w:tcW w:w="3276" w:type="dxa"/>
            <w:shd w:val="clear" w:color="auto" w:fill="auto"/>
            <w:noWrap/>
            <w:vAlign w:val="bottom"/>
            <w:hideMark/>
          </w:tcPr>
          <w:p w:rsidR="001866D3" w:rsidRPr="001866D3" w:rsidRDefault="001866D3" w:rsidP="001866D3">
            <w:pPr>
              <w:spacing w:before="0" w:after="0" w:line="240" w:lineRule="auto"/>
              <w:rPr>
                <w:sz w:val="20"/>
                <w:lang w:eastAsia="en-GB"/>
              </w:rPr>
            </w:pPr>
            <w:r w:rsidRPr="001866D3">
              <w:rPr>
                <w:sz w:val="20"/>
                <w:lang w:eastAsia="en-GB"/>
              </w:rPr>
              <w:t>England</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2,793,775 </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5,487</w:t>
            </w:r>
          </w:p>
        </w:tc>
        <w:tc>
          <w:tcPr>
            <w:tcW w:w="1630"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2,799,263 </w:t>
            </w:r>
          </w:p>
        </w:tc>
        <w:tc>
          <w:tcPr>
            <w:tcW w:w="1631" w:type="dxa"/>
            <w:shd w:val="clear" w:color="auto" w:fill="auto"/>
            <w:noWrap/>
            <w:vAlign w:val="bottom"/>
            <w:hideMark/>
          </w:tcPr>
          <w:p w:rsidR="001866D3" w:rsidRPr="001866D3" w:rsidRDefault="001866D3" w:rsidP="001866D3">
            <w:pPr>
              <w:spacing w:before="0" w:after="0" w:line="240" w:lineRule="auto"/>
              <w:jc w:val="right"/>
              <w:rPr>
                <w:sz w:val="20"/>
                <w:lang w:eastAsia="en-GB"/>
              </w:rPr>
            </w:pPr>
            <w:r w:rsidRPr="001866D3">
              <w:rPr>
                <w:sz w:val="20"/>
                <w:lang w:eastAsia="en-GB"/>
              </w:rPr>
              <w:t xml:space="preserve">51 </w:t>
            </w:r>
          </w:p>
        </w:tc>
      </w:tr>
    </w:tbl>
    <w:p w:rsidR="00CF32E9" w:rsidRPr="00B74827" w:rsidRDefault="00B74827" w:rsidP="00CF32E9">
      <w:pPr>
        <w:spacing w:line="240" w:lineRule="auto"/>
        <w:rPr>
          <w:sz w:val="18"/>
          <w:szCs w:val="18"/>
        </w:rPr>
      </w:pPr>
      <w:r w:rsidRPr="00B74827">
        <w:rPr>
          <w:sz w:val="18"/>
          <w:szCs w:val="18"/>
        </w:rPr>
        <w:t xml:space="preserve">Note: </w:t>
      </w:r>
    </w:p>
    <w:p w:rsidR="00B74827" w:rsidRDefault="00DB491B" w:rsidP="00CF32E9">
      <w:pPr>
        <w:spacing w:line="240" w:lineRule="auto"/>
        <w:rPr>
          <w:sz w:val="18"/>
          <w:szCs w:val="18"/>
        </w:rPr>
      </w:pPr>
      <w:r>
        <w:rPr>
          <w:sz w:val="18"/>
          <w:szCs w:val="18"/>
        </w:rPr>
        <w:t xml:space="preserve">“…” </w:t>
      </w:r>
      <w:r w:rsidR="00B74827" w:rsidRPr="00B74827">
        <w:rPr>
          <w:sz w:val="18"/>
          <w:szCs w:val="18"/>
        </w:rPr>
        <w:t>Essex and Thurrock’s allocations will be published after the 9</w:t>
      </w:r>
      <w:r w:rsidR="00B74827" w:rsidRPr="00B74827">
        <w:rPr>
          <w:sz w:val="18"/>
          <w:szCs w:val="18"/>
          <w:vertAlign w:val="superscript"/>
        </w:rPr>
        <w:t>th</w:t>
      </w:r>
      <w:r w:rsidR="00DE2F0D">
        <w:rPr>
          <w:sz w:val="18"/>
          <w:szCs w:val="18"/>
        </w:rPr>
        <w:t xml:space="preserve"> October due to the by-</w:t>
      </w:r>
      <w:r w:rsidR="00B74827" w:rsidRPr="00B74827">
        <w:rPr>
          <w:sz w:val="18"/>
          <w:szCs w:val="18"/>
        </w:rPr>
        <w:t>election</w:t>
      </w:r>
      <w:r w:rsidR="00B74827">
        <w:rPr>
          <w:sz w:val="18"/>
          <w:szCs w:val="18"/>
        </w:rPr>
        <w:t xml:space="preserve"> in Clacton</w:t>
      </w:r>
      <w:r w:rsidR="00B74827" w:rsidRPr="00B74827">
        <w:rPr>
          <w:sz w:val="18"/>
          <w:szCs w:val="18"/>
        </w:rPr>
        <w:t>.</w:t>
      </w:r>
    </w:p>
    <w:p w:rsidR="00944DE2" w:rsidRPr="00B74827" w:rsidRDefault="00DE2F0D" w:rsidP="00CF32E9">
      <w:pPr>
        <w:spacing w:line="240" w:lineRule="auto"/>
        <w:rPr>
          <w:sz w:val="18"/>
          <w:szCs w:val="18"/>
        </w:rPr>
      </w:pPr>
      <w:r>
        <w:rPr>
          <w:sz w:val="18"/>
          <w:szCs w:val="18"/>
        </w:rPr>
        <w:t>The total allocation for England does not equal the sum of LA allocation published.</w:t>
      </w:r>
    </w:p>
    <w:p w:rsidR="00CF32E9" w:rsidRPr="00CF32E9" w:rsidRDefault="00CF32E9" w:rsidP="00CF32E9">
      <w:pPr>
        <w:spacing w:line="240" w:lineRule="auto"/>
      </w:pPr>
    </w:p>
    <w:sectPr w:rsidR="00CF32E9" w:rsidRPr="00CF32E9" w:rsidSect="00D65622">
      <w:pgSz w:w="11906" w:h="16838" w:code="9"/>
      <w:pgMar w:top="1418" w:right="992" w:bottom="907" w:left="851" w:header="624" w:footer="624"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827" w:rsidRDefault="00B74827">
      <w:r>
        <w:separator/>
      </w:r>
    </w:p>
  </w:endnote>
  <w:endnote w:type="continuationSeparator" w:id="0">
    <w:p w:rsidR="00B74827" w:rsidRDefault="00B74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Helvetica Neue">
    <w:altName w:val="Malgun Gothic"/>
    <w:charset w:val="00"/>
    <w:family w:val="auto"/>
    <w:pitch w:val="variable"/>
    <w:sig w:usb0="8000006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827" w:rsidRDefault="00B74827" w:rsidP="00E36C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B5476">
      <w:rPr>
        <w:rStyle w:val="PageNumber"/>
        <w:noProof/>
      </w:rPr>
      <w:t>28</w:t>
    </w:r>
    <w:r>
      <w:rPr>
        <w:rStyle w:val="PageNumber"/>
      </w:rPr>
      <w:fldChar w:fldCharType="end"/>
    </w:r>
  </w:p>
  <w:p w:rsidR="00B74827" w:rsidRDefault="00B74827">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827" w:rsidRDefault="00B74827" w:rsidP="004333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B5476">
      <w:rPr>
        <w:rStyle w:val="PageNumber"/>
        <w:noProof/>
      </w:rPr>
      <w:t>29</w:t>
    </w:r>
    <w:r>
      <w:rPr>
        <w:rStyle w:val="PageNumber"/>
      </w:rPr>
      <w:fldChar w:fldCharType="end"/>
    </w:r>
  </w:p>
  <w:p w:rsidR="00B74827" w:rsidRDefault="00B74827">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827" w:rsidRPr="003D1506" w:rsidRDefault="00B74827" w:rsidP="00CB2711">
    <w:pPr>
      <w:pStyle w:val="Footer"/>
      <w:ind w:right="140" w:firstLine="360"/>
      <w:jc w:val="right"/>
      <w:rPr>
        <w:b/>
        <w:color w:val="FFFFFF" w:themeColor="background1"/>
      </w:rPr>
    </w:pPr>
    <w:r w:rsidRPr="003D1506">
      <w:rPr>
        <w:rStyle w:val="PageNumber"/>
        <w:b/>
        <w:color w:val="FFFFFF" w:themeColor="background1"/>
      </w:rPr>
      <w:t xml:space="preserve">September 2014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827" w:rsidRDefault="00B74827" w:rsidP="00E152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B5476">
      <w:rPr>
        <w:rStyle w:val="PageNumber"/>
        <w:noProof/>
      </w:rPr>
      <w:t>7</w:t>
    </w:r>
    <w:r>
      <w:rPr>
        <w:rStyle w:val="PageNumber"/>
      </w:rPr>
      <w:fldChar w:fldCharType="end"/>
    </w:r>
  </w:p>
  <w:p w:rsidR="00B74827" w:rsidRDefault="00B74827" w:rsidP="00887C29">
    <w:pPr>
      <w:pStyle w:val="Footer"/>
      <w:ind w:right="360" w:firstLine="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827" w:rsidRDefault="00B74827">
      <w:r>
        <w:separator/>
      </w:r>
    </w:p>
  </w:footnote>
  <w:footnote w:type="continuationSeparator" w:id="0">
    <w:p w:rsidR="00B74827" w:rsidRDefault="00B74827">
      <w:r>
        <w:continuationSeparator/>
      </w:r>
    </w:p>
  </w:footnote>
  <w:footnote w:id="1">
    <w:p w:rsidR="00B74827" w:rsidRDefault="00B74827">
      <w:pPr>
        <w:pStyle w:val="FootnoteText"/>
      </w:pPr>
      <w:r>
        <w:rPr>
          <w:rStyle w:val="FootnoteReference"/>
        </w:rPr>
        <w:footnoteRef/>
      </w:r>
      <w:r>
        <w:t xml:space="preserve"> NHS England hosts the team providing analytical support on a range of allocations issues, including the Health Premium Incentive Scheme for the Department of Health</w:t>
      </w:r>
    </w:p>
  </w:footnote>
  <w:footnote w:id="2">
    <w:p w:rsidR="00B74827" w:rsidRPr="00190E80" w:rsidRDefault="00B74827">
      <w:pPr>
        <w:pStyle w:val="FootnoteText"/>
      </w:pPr>
      <w:r w:rsidRPr="00190E80">
        <w:rPr>
          <w:rStyle w:val="FootnoteReference"/>
        </w:rPr>
        <w:footnoteRef/>
      </w:r>
      <w:r w:rsidRPr="00190E80">
        <w:t xml:space="preserve"> </w:t>
      </w:r>
      <w:hyperlink r:id="rId1" w:history="1">
        <w:r w:rsidRPr="00190E80">
          <w:rPr>
            <w:rStyle w:val="Hyperlink"/>
            <w:rFonts w:ascii="Arial" w:hAnsi="Arial"/>
            <w:sz w:val="20"/>
          </w:rPr>
          <w:t>https://www.gov.uk/government/uploads/system/uploads/attachment_data/file/213684/dh_134580.pdf</w:t>
        </w:r>
      </w:hyperlink>
      <w:r w:rsidRPr="00190E80">
        <w:t xml:space="preserve"> </w:t>
      </w:r>
    </w:p>
  </w:footnote>
  <w:footnote w:id="3">
    <w:p w:rsidR="00B74827" w:rsidRPr="00190E80" w:rsidRDefault="00B74827" w:rsidP="004A3A2B">
      <w:pPr>
        <w:pStyle w:val="Paragraphtext"/>
        <w:rPr>
          <w:sz w:val="20"/>
        </w:rPr>
      </w:pPr>
      <w:r w:rsidRPr="00190E80">
        <w:rPr>
          <w:rStyle w:val="FootnoteReference"/>
          <w:sz w:val="20"/>
        </w:rPr>
        <w:footnoteRef/>
      </w:r>
      <w:r w:rsidRPr="00190E80">
        <w:rPr>
          <w:sz w:val="20"/>
        </w:rPr>
        <w:t xml:space="preserve"> </w:t>
      </w:r>
      <w:hyperlink r:id="rId2" w:history="1">
        <w:r w:rsidRPr="00190E80">
          <w:rPr>
            <w:rStyle w:val="Hyperlink"/>
            <w:rFonts w:ascii="Arial" w:hAnsi="Arial"/>
            <w:sz w:val="20"/>
          </w:rPr>
          <w:t>https://www.gov.uk/government/groups/health-premium-incentive-advisory-group</w:t>
        </w:r>
      </w:hyperlink>
    </w:p>
    <w:p w:rsidR="00B74827" w:rsidRDefault="00B74827">
      <w:pPr>
        <w:pStyle w:val="FootnoteText"/>
      </w:pPr>
    </w:p>
  </w:footnote>
  <w:footnote w:id="4">
    <w:p w:rsidR="00B74827" w:rsidRPr="004A3A2B" w:rsidRDefault="00B74827" w:rsidP="00AB00D4">
      <w:pPr>
        <w:rPr>
          <w:sz w:val="20"/>
        </w:rPr>
      </w:pPr>
      <w:r w:rsidRPr="004A3A2B">
        <w:rPr>
          <w:sz w:val="20"/>
        </w:rPr>
        <w:footnoteRef/>
      </w:r>
      <w:r w:rsidRPr="004A3A2B">
        <w:rPr>
          <w:sz w:val="20"/>
        </w:rPr>
        <w:t xml:space="preserve"> </w:t>
      </w:r>
      <w:hyperlink r:id="rId3" w:history="1">
        <w:r w:rsidRPr="004A3A2B">
          <w:rPr>
            <w:rStyle w:val="Hyperlink"/>
            <w:sz w:val="20"/>
          </w:rPr>
          <w:t>https://www.gov.uk/government/uploads/system/.../dh_117794.pdf</w:t>
        </w:r>
      </w:hyperlink>
      <w:r w:rsidRPr="004A3A2B">
        <w:rPr>
          <w:sz w:val="20"/>
        </w:rPr>
        <w:t xml:space="preserve">    </w:t>
      </w:r>
    </w:p>
  </w:footnote>
  <w:footnote w:id="5">
    <w:p w:rsidR="00B74827" w:rsidRPr="004A3A2B" w:rsidRDefault="00B74827" w:rsidP="00AB00D4">
      <w:pPr>
        <w:rPr>
          <w:sz w:val="20"/>
        </w:rPr>
      </w:pPr>
      <w:r w:rsidRPr="004A3A2B">
        <w:rPr>
          <w:sz w:val="20"/>
        </w:rPr>
        <w:footnoteRef/>
      </w:r>
      <w:r w:rsidRPr="004A3A2B">
        <w:rPr>
          <w:sz w:val="20"/>
        </w:rPr>
        <w:t xml:space="preserve"> </w:t>
      </w:r>
      <w:hyperlink r:id="rId4" w:history="1">
        <w:r w:rsidRPr="004A3A2B">
          <w:rPr>
            <w:rStyle w:val="Hyperlink"/>
            <w:sz w:val="20"/>
          </w:rPr>
          <w:t>https://www.gov.uk/government/uploads/system/uploads/attachment_data/file/216096/dh_127424.pdf</w:t>
        </w:r>
      </w:hyperlink>
    </w:p>
  </w:footnote>
  <w:footnote w:id="6">
    <w:p w:rsidR="00B74827" w:rsidRPr="004A3A2B" w:rsidRDefault="00B74827" w:rsidP="00AB00D4">
      <w:pPr>
        <w:rPr>
          <w:sz w:val="20"/>
        </w:rPr>
      </w:pPr>
      <w:r w:rsidRPr="004A3A2B">
        <w:rPr>
          <w:sz w:val="20"/>
        </w:rPr>
        <w:footnoteRef/>
      </w:r>
      <w:r w:rsidRPr="004A3A2B">
        <w:rPr>
          <w:sz w:val="20"/>
        </w:rPr>
        <w:t xml:space="preserve"> </w:t>
      </w:r>
      <w:hyperlink r:id="rId5" w:history="1">
        <w:r w:rsidRPr="004A3A2B">
          <w:rPr>
            <w:rStyle w:val="Hyperlink"/>
            <w:rFonts w:ascii="Arial" w:hAnsi="Arial"/>
            <w:sz w:val="20"/>
          </w:rPr>
          <w:t>https://www.gov.uk/government/publications/healthy-lives-healthy-people-update-on-public-health-funding</w:t>
        </w:r>
      </w:hyperlink>
    </w:p>
  </w:footnote>
  <w:footnote w:id="7">
    <w:p w:rsidR="00B74827" w:rsidRPr="004A3A2B" w:rsidRDefault="00B74827" w:rsidP="004A3A2B">
      <w:pPr>
        <w:pStyle w:val="Paragraphtext"/>
        <w:rPr>
          <w:sz w:val="20"/>
        </w:rPr>
      </w:pPr>
      <w:r w:rsidRPr="004A3A2B">
        <w:rPr>
          <w:rStyle w:val="FootnoteReference"/>
          <w:sz w:val="20"/>
        </w:rPr>
        <w:footnoteRef/>
      </w:r>
      <w:r w:rsidRPr="004A3A2B">
        <w:rPr>
          <w:sz w:val="20"/>
        </w:rPr>
        <w:t xml:space="preserve"> </w:t>
      </w:r>
      <w:hyperlink r:id="rId6" w:history="1">
        <w:r w:rsidRPr="004A3A2B">
          <w:rPr>
            <w:rStyle w:val="Hyperlink"/>
            <w:rFonts w:ascii="Arial" w:hAnsi="Arial"/>
            <w:sz w:val="20"/>
          </w:rPr>
          <w:t>https://www.gov.uk/government/groups/health-premium-incentive-advisory-group</w:t>
        </w:r>
      </w:hyperlink>
    </w:p>
    <w:p w:rsidR="00B74827" w:rsidRDefault="00B74827">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827" w:rsidRDefault="00B74827">
    <w:pPr>
      <w:pStyle w:val="Header"/>
    </w:pPr>
  </w:p>
  <w:p w:rsidR="00B74827" w:rsidRDefault="00B74827" w:rsidP="008F3C62">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827" w:rsidRDefault="00B74827">
    <w:pPr>
      <w:pStyle w:val="Header"/>
    </w:pPr>
    <w:r>
      <w:rPr>
        <w:noProof/>
        <w:lang w:eastAsia="en-GB"/>
      </w:rPr>
      <w:drawing>
        <wp:anchor distT="0" distB="0" distL="114300" distR="114300" simplePos="0" relativeHeight="251657728" behindDoc="1" locked="0" layoutInCell="1" allowOverlap="1" wp14:anchorId="54A606E3" wp14:editId="006302F1">
          <wp:simplePos x="0" y="0"/>
          <wp:positionH relativeFrom="column">
            <wp:posOffset>-633095</wp:posOffset>
          </wp:positionH>
          <wp:positionV relativeFrom="paragraph">
            <wp:posOffset>-553085</wp:posOffset>
          </wp:positionV>
          <wp:extent cx="7776210" cy="11003915"/>
          <wp:effectExtent l="0" t="0" r="0" b="0"/>
          <wp:wrapNone/>
          <wp:docPr id="1" name="Picture 1" descr="DH_BoxA4_ful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H_BoxA4_full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6210" cy="110039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827" w:rsidRDefault="00B7482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827" w:rsidRDefault="00B748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7767E4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9D27DB"/>
    <w:multiLevelType w:val="hybridMultilevel"/>
    <w:tmpl w:val="5448CC7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nsid w:val="0AF80179"/>
    <w:multiLevelType w:val="hybridMultilevel"/>
    <w:tmpl w:val="71AEB7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EAF733A"/>
    <w:multiLevelType w:val="multilevel"/>
    <w:tmpl w:val="8914427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91F67CA"/>
    <w:multiLevelType w:val="multilevel"/>
    <w:tmpl w:val="0B201DD8"/>
    <w:lvl w:ilvl="0">
      <w:start w:val="4"/>
      <w:numFmt w:val="decimal"/>
      <w:lvlText w:val="%1"/>
      <w:lvlJc w:val="left"/>
      <w:pPr>
        <w:ind w:left="465" w:hanging="465"/>
      </w:pPr>
      <w:rPr>
        <w:rFonts w:ascii="Arial" w:eastAsia="Times New Roman" w:hAnsi="Arial" w:cs="Arial" w:hint="default"/>
      </w:rPr>
    </w:lvl>
    <w:lvl w:ilvl="1">
      <w:start w:val="14"/>
      <w:numFmt w:val="decimal"/>
      <w:lvlText w:val="%1.%2"/>
      <w:lvlJc w:val="left"/>
      <w:pPr>
        <w:ind w:left="1185" w:hanging="465"/>
      </w:pPr>
      <w:rPr>
        <w:rFonts w:ascii="Arial" w:eastAsia="Times New Roman" w:hAnsi="Arial" w:cs="Arial" w:hint="default"/>
      </w:rPr>
    </w:lvl>
    <w:lvl w:ilvl="2">
      <w:start w:val="1"/>
      <w:numFmt w:val="decimal"/>
      <w:lvlText w:val="%1.%2.%3"/>
      <w:lvlJc w:val="left"/>
      <w:pPr>
        <w:ind w:left="2160" w:hanging="720"/>
      </w:pPr>
      <w:rPr>
        <w:rFonts w:ascii="Arial" w:eastAsia="Times New Roman" w:hAnsi="Arial" w:cs="Arial" w:hint="default"/>
      </w:rPr>
    </w:lvl>
    <w:lvl w:ilvl="3">
      <w:start w:val="1"/>
      <w:numFmt w:val="decimal"/>
      <w:lvlText w:val="%1.%2.%3.%4"/>
      <w:lvlJc w:val="left"/>
      <w:pPr>
        <w:ind w:left="2880" w:hanging="720"/>
      </w:pPr>
      <w:rPr>
        <w:rFonts w:ascii="Arial" w:eastAsia="Times New Roman" w:hAnsi="Arial" w:cs="Arial" w:hint="default"/>
      </w:rPr>
    </w:lvl>
    <w:lvl w:ilvl="4">
      <w:start w:val="1"/>
      <w:numFmt w:val="decimal"/>
      <w:lvlText w:val="%1.%2.%3.%4.%5"/>
      <w:lvlJc w:val="left"/>
      <w:pPr>
        <w:ind w:left="3960" w:hanging="1080"/>
      </w:pPr>
      <w:rPr>
        <w:rFonts w:ascii="Arial" w:eastAsia="Times New Roman" w:hAnsi="Arial" w:cs="Arial" w:hint="default"/>
      </w:rPr>
    </w:lvl>
    <w:lvl w:ilvl="5">
      <w:start w:val="1"/>
      <w:numFmt w:val="decimal"/>
      <w:lvlText w:val="%1.%2.%3.%4.%5.%6"/>
      <w:lvlJc w:val="left"/>
      <w:pPr>
        <w:ind w:left="4680" w:hanging="1080"/>
      </w:pPr>
      <w:rPr>
        <w:rFonts w:ascii="Arial" w:eastAsia="Times New Roman" w:hAnsi="Arial" w:cs="Arial" w:hint="default"/>
      </w:rPr>
    </w:lvl>
    <w:lvl w:ilvl="6">
      <w:start w:val="1"/>
      <w:numFmt w:val="decimal"/>
      <w:lvlText w:val="%1.%2.%3.%4.%5.%6.%7"/>
      <w:lvlJc w:val="left"/>
      <w:pPr>
        <w:ind w:left="5760" w:hanging="1440"/>
      </w:pPr>
      <w:rPr>
        <w:rFonts w:ascii="Arial" w:eastAsia="Times New Roman" w:hAnsi="Arial" w:cs="Arial" w:hint="default"/>
      </w:rPr>
    </w:lvl>
    <w:lvl w:ilvl="7">
      <w:start w:val="1"/>
      <w:numFmt w:val="decimal"/>
      <w:lvlText w:val="%1.%2.%3.%4.%5.%6.%7.%8"/>
      <w:lvlJc w:val="left"/>
      <w:pPr>
        <w:ind w:left="6480" w:hanging="1440"/>
      </w:pPr>
      <w:rPr>
        <w:rFonts w:ascii="Arial" w:eastAsia="Times New Roman" w:hAnsi="Arial" w:cs="Arial" w:hint="default"/>
      </w:rPr>
    </w:lvl>
    <w:lvl w:ilvl="8">
      <w:start w:val="1"/>
      <w:numFmt w:val="decimal"/>
      <w:lvlText w:val="%1.%2.%3.%4.%5.%6.%7.%8.%9"/>
      <w:lvlJc w:val="left"/>
      <w:pPr>
        <w:ind w:left="7560" w:hanging="1800"/>
      </w:pPr>
      <w:rPr>
        <w:rFonts w:ascii="Arial" w:eastAsia="Times New Roman" w:hAnsi="Arial" w:cs="Arial" w:hint="default"/>
      </w:rPr>
    </w:lvl>
  </w:abstractNum>
  <w:abstractNum w:abstractNumId="5">
    <w:nsid w:val="1AED320E"/>
    <w:multiLevelType w:val="multilevel"/>
    <w:tmpl w:val="F12CB6DC"/>
    <w:lvl w:ilvl="0">
      <w:start w:val="4"/>
      <w:numFmt w:val="decimal"/>
      <w:lvlText w:val="%1."/>
      <w:lvlJc w:val="left"/>
      <w:pPr>
        <w:ind w:left="1080" w:hanging="720"/>
      </w:pPr>
      <w:rPr>
        <w:rFonts w:hint="default"/>
      </w:rPr>
    </w:lvl>
    <w:lvl w:ilvl="1">
      <w:start w:val="1"/>
      <w:numFmt w:val="decimal"/>
      <w:isLgl/>
      <w:lvlText w:val="%1.%2"/>
      <w:lvlJc w:val="left"/>
      <w:pPr>
        <w:ind w:left="1080" w:hanging="360"/>
      </w:pPr>
      <w:rPr>
        <w:rFonts w:eastAsia="Times New Roman" w:hint="default"/>
        <w:color w:val="auto"/>
      </w:rPr>
    </w:lvl>
    <w:lvl w:ilvl="2">
      <w:start w:val="1"/>
      <w:numFmt w:val="decimal"/>
      <w:isLgl/>
      <w:lvlText w:val="%1.%2.%3"/>
      <w:lvlJc w:val="left"/>
      <w:pPr>
        <w:ind w:left="1800" w:hanging="720"/>
      </w:pPr>
      <w:rPr>
        <w:rFonts w:eastAsia="Times New Roman" w:hint="default"/>
        <w:color w:val="auto"/>
      </w:rPr>
    </w:lvl>
    <w:lvl w:ilvl="3">
      <w:start w:val="1"/>
      <w:numFmt w:val="decimal"/>
      <w:isLgl/>
      <w:lvlText w:val="%1.%2.%3.%4"/>
      <w:lvlJc w:val="left"/>
      <w:pPr>
        <w:ind w:left="2520" w:hanging="1080"/>
      </w:pPr>
      <w:rPr>
        <w:rFonts w:eastAsia="Times New Roman" w:hint="default"/>
        <w:color w:val="auto"/>
      </w:rPr>
    </w:lvl>
    <w:lvl w:ilvl="4">
      <w:start w:val="1"/>
      <w:numFmt w:val="decimal"/>
      <w:isLgl/>
      <w:lvlText w:val="%1.%2.%3.%4.%5"/>
      <w:lvlJc w:val="left"/>
      <w:pPr>
        <w:ind w:left="2880" w:hanging="1080"/>
      </w:pPr>
      <w:rPr>
        <w:rFonts w:eastAsia="Times New Roman" w:hint="default"/>
        <w:color w:val="auto"/>
      </w:rPr>
    </w:lvl>
    <w:lvl w:ilvl="5">
      <w:start w:val="1"/>
      <w:numFmt w:val="decimal"/>
      <w:isLgl/>
      <w:lvlText w:val="%1.%2.%3.%4.%5.%6"/>
      <w:lvlJc w:val="left"/>
      <w:pPr>
        <w:ind w:left="3600" w:hanging="1440"/>
      </w:pPr>
      <w:rPr>
        <w:rFonts w:eastAsia="Times New Roman" w:hint="default"/>
        <w:color w:val="auto"/>
      </w:rPr>
    </w:lvl>
    <w:lvl w:ilvl="6">
      <w:start w:val="1"/>
      <w:numFmt w:val="decimal"/>
      <w:isLgl/>
      <w:lvlText w:val="%1.%2.%3.%4.%5.%6.%7"/>
      <w:lvlJc w:val="left"/>
      <w:pPr>
        <w:ind w:left="3960" w:hanging="1440"/>
      </w:pPr>
      <w:rPr>
        <w:rFonts w:eastAsia="Times New Roman" w:hint="default"/>
        <w:color w:val="auto"/>
      </w:rPr>
    </w:lvl>
    <w:lvl w:ilvl="7">
      <w:start w:val="1"/>
      <w:numFmt w:val="decimal"/>
      <w:isLgl/>
      <w:lvlText w:val="%1.%2.%3.%4.%5.%6.%7.%8"/>
      <w:lvlJc w:val="left"/>
      <w:pPr>
        <w:ind w:left="4680" w:hanging="1800"/>
      </w:pPr>
      <w:rPr>
        <w:rFonts w:eastAsia="Times New Roman" w:hint="default"/>
        <w:color w:val="auto"/>
      </w:rPr>
    </w:lvl>
    <w:lvl w:ilvl="8">
      <w:start w:val="1"/>
      <w:numFmt w:val="decimal"/>
      <w:isLgl/>
      <w:lvlText w:val="%1.%2.%3.%4.%5.%6.%7.%8.%9"/>
      <w:lvlJc w:val="left"/>
      <w:pPr>
        <w:ind w:left="5040" w:hanging="1800"/>
      </w:pPr>
      <w:rPr>
        <w:rFonts w:eastAsia="Times New Roman" w:hint="default"/>
        <w:color w:val="auto"/>
      </w:rPr>
    </w:lvl>
  </w:abstractNum>
  <w:abstractNum w:abstractNumId="6">
    <w:nsid w:val="1C8B436E"/>
    <w:multiLevelType w:val="multilevel"/>
    <w:tmpl w:val="2D8257B8"/>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1E310278"/>
    <w:multiLevelType w:val="multilevel"/>
    <w:tmpl w:val="A5342D1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60C41CA"/>
    <w:multiLevelType w:val="multilevel"/>
    <w:tmpl w:val="674087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267E7A4F"/>
    <w:multiLevelType w:val="hybridMultilevel"/>
    <w:tmpl w:val="04102BA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0">
    <w:nsid w:val="32053791"/>
    <w:multiLevelType w:val="multilevel"/>
    <w:tmpl w:val="2D8CE0CA"/>
    <w:lvl w:ilvl="0">
      <w:start w:val="1"/>
      <w:numFmt w:val="lowerRoman"/>
      <w:pStyle w:val="Listnumbered"/>
      <w:lvlText w:val="%1."/>
      <w:lvlJc w:val="left"/>
      <w:pPr>
        <w:tabs>
          <w:tab w:val="num" w:pos="360"/>
        </w:tabs>
        <w:ind w:left="360" w:hanging="360"/>
      </w:pPr>
      <w:rPr>
        <w:rFonts w:hint="default"/>
      </w:rPr>
    </w:lvl>
    <w:lvl w:ilvl="1">
      <w:start w:val="1"/>
      <w:numFmt w:val="lowerRoman"/>
      <w:lvlText w:val="%1.%2."/>
      <w:lvlJc w:val="left"/>
      <w:pPr>
        <w:tabs>
          <w:tab w:val="num" w:pos="792"/>
        </w:tabs>
        <w:ind w:left="792" w:hanging="432"/>
      </w:pPr>
      <w:rPr>
        <w:rFonts w:hint="default"/>
        <w:color w:val="auto"/>
      </w:rPr>
    </w:lvl>
    <w:lvl w:ilvl="2">
      <w:start w:val="1"/>
      <w:numFmt w:val="lowerRoman"/>
      <w:lvlText w:val="%1.%2.%3."/>
      <w:lvlJc w:val="left"/>
      <w:pPr>
        <w:tabs>
          <w:tab w:val="num" w:pos="1440"/>
        </w:tabs>
        <w:ind w:left="1224" w:hanging="504"/>
      </w:pPr>
      <w:rPr>
        <w:rFonts w:hint="default"/>
        <w:color w:val="auto"/>
      </w:rPr>
    </w:lvl>
    <w:lvl w:ilvl="3">
      <w:start w:val="1"/>
      <w:numFmt w:val="none"/>
      <w:lvlText w:val="%1.%2.%3.%4."/>
      <w:lvlJc w:val="left"/>
      <w:pPr>
        <w:tabs>
          <w:tab w:val="num" w:pos="2160"/>
        </w:tabs>
        <w:ind w:left="1728" w:hanging="648"/>
      </w:pPr>
      <w:rPr>
        <w:rFonts w:hint="default"/>
      </w:rPr>
    </w:lvl>
    <w:lvl w:ilvl="4">
      <w:start w:val="1"/>
      <w:numFmt w:val="none"/>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32D66F96"/>
    <w:multiLevelType w:val="multilevel"/>
    <w:tmpl w:val="76E22ED2"/>
    <w:lvl w:ilvl="0">
      <w:start w:val="4"/>
      <w:numFmt w:val="decimal"/>
      <w:lvlText w:val="%1"/>
      <w:lvlJc w:val="left"/>
      <w:pPr>
        <w:ind w:left="465" w:hanging="465"/>
      </w:pPr>
      <w:rPr>
        <w:rFonts w:ascii="Arial" w:eastAsia="Times New Roman" w:hAnsi="Arial" w:cs="Arial" w:hint="default"/>
      </w:rPr>
    </w:lvl>
    <w:lvl w:ilvl="1">
      <w:start w:val="15"/>
      <w:numFmt w:val="decimal"/>
      <w:lvlText w:val="%1.%2"/>
      <w:lvlJc w:val="left"/>
      <w:pPr>
        <w:ind w:left="1185" w:hanging="465"/>
      </w:pPr>
      <w:rPr>
        <w:rFonts w:ascii="Arial" w:eastAsia="Times New Roman" w:hAnsi="Arial" w:cs="Arial" w:hint="default"/>
      </w:rPr>
    </w:lvl>
    <w:lvl w:ilvl="2">
      <w:start w:val="1"/>
      <w:numFmt w:val="decimal"/>
      <w:lvlText w:val="%1.%2.%3"/>
      <w:lvlJc w:val="left"/>
      <w:pPr>
        <w:ind w:left="2160" w:hanging="720"/>
      </w:pPr>
      <w:rPr>
        <w:rFonts w:ascii="Arial" w:eastAsia="Times New Roman" w:hAnsi="Arial" w:cs="Arial" w:hint="default"/>
      </w:rPr>
    </w:lvl>
    <w:lvl w:ilvl="3">
      <w:start w:val="1"/>
      <w:numFmt w:val="decimal"/>
      <w:lvlText w:val="%1.%2.%3.%4"/>
      <w:lvlJc w:val="left"/>
      <w:pPr>
        <w:ind w:left="2880" w:hanging="720"/>
      </w:pPr>
      <w:rPr>
        <w:rFonts w:ascii="Arial" w:eastAsia="Times New Roman" w:hAnsi="Arial" w:cs="Arial" w:hint="default"/>
      </w:rPr>
    </w:lvl>
    <w:lvl w:ilvl="4">
      <w:start w:val="1"/>
      <w:numFmt w:val="decimal"/>
      <w:lvlText w:val="%1.%2.%3.%4.%5"/>
      <w:lvlJc w:val="left"/>
      <w:pPr>
        <w:ind w:left="3960" w:hanging="1080"/>
      </w:pPr>
      <w:rPr>
        <w:rFonts w:ascii="Arial" w:eastAsia="Times New Roman" w:hAnsi="Arial" w:cs="Arial" w:hint="default"/>
      </w:rPr>
    </w:lvl>
    <w:lvl w:ilvl="5">
      <w:start w:val="1"/>
      <w:numFmt w:val="decimal"/>
      <w:lvlText w:val="%1.%2.%3.%4.%5.%6"/>
      <w:lvlJc w:val="left"/>
      <w:pPr>
        <w:ind w:left="4680" w:hanging="1080"/>
      </w:pPr>
      <w:rPr>
        <w:rFonts w:ascii="Arial" w:eastAsia="Times New Roman" w:hAnsi="Arial" w:cs="Arial" w:hint="default"/>
      </w:rPr>
    </w:lvl>
    <w:lvl w:ilvl="6">
      <w:start w:val="1"/>
      <w:numFmt w:val="decimal"/>
      <w:lvlText w:val="%1.%2.%3.%4.%5.%6.%7"/>
      <w:lvlJc w:val="left"/>
      <w:pPr>
        <w:ind w:left="5760" w:hanging="1440"/>
      </w:pPr>
      <w:rPr>
        <w:rFonts w:ascii="Arial" w:eastAsia="Times New Roman" w:hAnsi="Arial" w:cs="Arial" w:hint="default"/>
      </w:rPr>
    </w:lvl>
    <w:lvl w:ilvl="7">
      <w:start w:val="1"/>
      <w:numFmt w:val="decimal"/>
      <w:lvlText w:val="%1.%2.%3.%4.%5.%6.%7.%8"/>
      <w:lvlJc w:val="left"/>
      <w:pPr>
        <w:ind w:left="6480" w:hanging="1440"/>
      </w:pPr>
      <w:rPr>
        <w:rFonts w:ascii="Arial" w:eastAsia="Times New Roman" w:hAnsi="Arial" w:cs="Arial" w:hint="default"/>
      </w:rPr>
    </w:lvl>
    <w:lvl w:ilvl="8">
      <w:start w:val="1"/>
      <w:numFmt w:val="decimal"/>
      <w:lvlText w:val="%1.%2.%3.%4.%5.%6.%7.%8.%9"/>
      <w:lvlJc w:val="left"/>
      <w:pPr>
        <w:ind w:left="7560" w:hanging="1800"/>
      </w:pPr>
      <w:rPr>
        <w:rFonts w:ascii="Arial" w:eastAsia="Times New Roman" w:hAnsi="Arial" w:cs="Arial" w:hint="default"/>
      </w:rPr>
    </w:lvl>
  </w:abstractNum>
  <w:abstractNum w:abstractNumId="12">
    <w:nsid w:val="34067CC6"/>
    <w:multiLevelType w:val="multilevel"/>
    <w:tmpl w:val="0A303D78"/>
    <w:lvl w:ilvl="0">
      <w:start w:val="1"/>
      <w:numFmt w:val="lowerLetter"/>
      <w:pStyle w:val="Listalpha"/>
      <w:lvlText w:val="%1)"/>
      <w:lvlJc w:val="left"/>
      <w:pPr>
        <w:tabs>
          <w:tab w:val="num" w:pos="1080"/>
        </w:tabs>
        <w:ind w:left="1080" w:hanging="360"/>
      </w:pPr>
      <w:rPr>
        <w:rFonts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1800"/>
        </w:tabs>
        <w:ind w:left="1800" w:hanging="360"/>
      </w:pPr>
      <w:rPr>
        <w:rFonts w:ascii="Symbol" w:hAnsi="Symbol" w:hint="default"/>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3">
    <w:nsid w:val="36D956D6"/>
    <w:multiLevelType w:val="hybridMultilevel"/>
    <w:tmpl w:val="67E414E6"/>
    <w:lvl w:ilvl="0" w:tplc="08090001">
      <w:start w:val="1"/>
      <w:numFmt w:val="bullet"/>
      <w:lvlText w:val=""/>
      <w:lvlJc w:val="left"/>
      <w:pPr>
        <w:ind w:left="360" w:hanging="360"/>
      </w:pPr>
      <w:rPr>
        <w:rFonts w:ascii="Symbol" w:hAnsi="Symbol" w:hint="default"/>
      </w:rPr>
    </w:lvl>
    <w:lvl w:ilvl="1" w:tplc="4432A816">
      <w:numFmt w:val="bullet"/>
      <w:lvlText w:val="•"/>
      <w:lvlJc w:val="left"/>
      <w:pPr>
        <w:ind w:left="1440" w:hanging="72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7DD48EF"/>
    <w:multiLevelType w:val="multilevel"/>
    <w:tmpl w:val="A5342D1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3E0E6647"/>
    <w:multiLevelType w:val="multilevel"/>
    <w:tmpl w:val="6F0A45FA"/>
    <w:lvl w:ilvl="0">
      <w:start w:val="1"/>
      <w:numFmt w:val="bullet"/>
      <w:pStyle w:val="Listbullet1"/>
      <w:lvlText w:val=""/>
      <w:lvlJc w:val="left"/>
      <w:pPr>
        <w:ind w:left="1211" w:hanging="360"/>
      </w:pPr>
      <w:rPr>
        <w:rFonts w:ascii="Symbol" w:hAnsi="Symbol" w:hint="default"/>
        <w:color w:val="01D1AE"/>
      </w:rPr>
    </w:lvl>
    <w:lvl w:ilvl="1">
      <w:start w:val="1"/>
      <w:numFmt w:val="bullet"/>
      <w:pStyle w:val="Listbullet2"/>
      <w:lvlText w:val=""/>
      <w:lvlJc w:val="left"/>
      <w:pPr>
        <w:tabs>
          <w:tab w:val="num" w:pos="720"/>
        </w:tabs>
        <w:ind w:left="720" w:hanging="360"/>
      </w:pPr>
      <w:rPr>
        <w:rFonts w:ascii="Symbol" w:hAnsi="Symbol" w:hint="default"/>
        <w:color w:val="auto"/>
      </w:rPr>
    </w:lvl>
    <w:lvl w:ilvl="2">
      <w:start w:val="1"/>
      <w:numFmt w:val="bullet"/>
      <w:pStyle w:val="Listbullet1"/>
      <w:lvlText w:val="-"/>
      <w:lvlJc w:val="left"/>
      <w:pPr>
        <w:tabs>
          <w:tab w:val="num" w:pos="1080"/>
        </w:tabs>
        <w:ind w:left="1080" w:hanging="360"/>
      </w:pPr>
      <w:rPr>
        <w:rFonts w:ascii="Arial" w:hAnsi="Arial" w:hint="default"/>
        <w:color w:val="auto"/>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nsid w:val="43C114AC"/>
    <w:multiLevelType w:val="multilevel"/>
    <w:tmpl w:val="674A0E7C"/>
    <w:lvl w:ilvl="0">
      <w:start w:val="4"/>
      <w:numFmt w:val="decimal"/>
      <w:lvlText w:val="%1"/>
      <w:lvlJc w:val="left"/>
      <w:pPr>
        <w:ind w:left="465" w:hanging="465"/>
      </w:pPr>
      <w:rPr>
        <w:rFonts w:eastAsia="Times New Roman" w:hint="default"/>
      </w:rPr>
    </w:lvl>
    <w:lvl w:ilvl="1">
      <w:start w:val="13"/>
      <w:numFmt w:val="decimal"/>
      <w:lvlText w:val="%1.%2"/>
      <w:lvlJc w:val="left"/>
      <w:pPr>
        <w:ind w:left="749" w:hanging="465"/>
      </w:pPr>
      <w:rPr>
        <w:rFonts w:eastAsia="Times New Roman" w:hint="default"/>
      </w:rPr>
    </w:lvl>
    <w:lvl w:ilvl="2">
      <w:start w:val="1"/>
      <w:numFmt w:val="decimal"/>
      <w:lvlText w:val="%1.%2.%3"/>
      <w:lvlJc w:val="left"/>
      <w:pPr>
        <w:ind w:left="1288" w:hanging="720"/>
      </w:pPr>
      <w:rPr>
        <w:rFonts w:eastAsia="Times New Roman" w:hint="default"/>
      </w:rPr>
    </w:lvl>
    <w:lvl w:ilvl="3">
      <w:start w:val="1"/>
      <w:numFmt w:val="decimal"/>
      <w:lvlText w:val="%1.%2.%3.%4"/>
      <w:lvlJc w:val="left"/>
      <w:pPr>
        <w:ind w:left="1932" w:hanging="1080"/>
      </w:pPr>
      <w:rPr>
        <w:rFonts w:eastAsia="Times New Roman" w:hint="default"/>
      </w:rPr>
    </w:lvl>
    <w:lvl w:ilvl="4">
      <w:start w:val="1"/>
      <w:numFmt w:val="decimal"/>
      <w:lvlText w:val="%1.%2.%3.%4.%5"/>
      <w:lvlJc w:val="left"/>
      <w:pPr>
        <w:ind w:left="2216" w:hanging="1080"/>
      </w:pPr>
      <w:rPr>
        <w:rFonts w:eastAsia="Times New Roman" w:hint="default"/>
      </w:rPr>
    </w:lvl>
    <w:lvl w:ilvl="5">
      <w:start w:val="1"/>
      <w:numFmt w:val="decimal"/>
      <w:lvlText w:val="%1.%2.%3.%4.%5.%6"/>
      <w:lvlJc w:val="left"/>
      <w:pPr>
        <w:ind w:left="2860" w:hanging="1440"/>
      </w:pPr>
      <w:rPr>
        <w:rFonts w:eastAsia="Times New Roman" w:hint="default"/>
      </w:rPr>
    </w:lvl>
    <w:lvl w:ilvl="6">
      <w:start w:val="1"/>
      <w:numFmt w:val="decimal"/>
      <w:lvlText w:val="%1.%2.%3.%4.%5.%6.%7"/>
      <w:lvlJc w:val="left"/>
      <w:pPr>
        <w:ind w:left="3144" w:hanging="1440"/>
      </w:pPr>
      <w:rPr>
        <w:rFonts w:eastAsia="Times New Roman" w:hint="default"/>
      </w:rPr>
    </w:lvl>
    <w:lvl w:ilvl="7">
      <w:start w:val="1"/>
      <w:numFmt w:val="decimal"/>
      <w:lvlText w:val="%1.%2.%3.%4.%5.%6.%7.%8"/>
      <w:lvlJc w:val="left"/>
      <w:pPr>
        <w:ind w:left="3788" w:hanging="1800"/>
      </w:pPr>
      <w:rPr>
        <w:rFonts w:eastAsia="Times New Roman" w:hint="default"/>
      </w:rPr>
    </w:lvl>
    <w:lvl w:ilvl="8">
      <w:start w:val="1"/>
      <w:numFmt w:val="decimal"/>
      <w:lvlText w:val="%1.%2.%3.%4.%5.%6.%7.%8.%9"/>
      <w:lvlJc w:val="left"/>
      <w:pPr>
        <w:ind w:left="4072" w:hanging="1800"/>
      </w:pPr>
      <w:rPr>
        <w:rFonts w:eastAsia="Times New Roman" w:hint="default"/>
      </w:rPr>
    </w:lvl>
  </w:abstractNum>
  <w:abstractNum w:abstractNumId="17">
    <w:nsid w:val="45D6610C"/>
    <w:multiLevelType w:val="hybridMultilevel"/>
    <w:tmpl w:val="C2F241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5CDD5AFB"/>
    <w:multiLevelType w:val="hybridMultilevel"/>
    <w:tmpl w:val="20EEC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8571774"/>
    <w:multiLevelType w:val="multilevel"/>
    <w:tmpl w:val="09FC88DE"/>
    <w:lvl w:ilvl="0">
      <w:start w:val="3"/>
      <w:numFmt w:val="decimal"/>
      <w:lvlText w:val="%1"/>
      <w:lvlJc w:val="left"/>
      <w:pPr>
        <w:ind w:left="360" w:hanging="360"/>
      </w:pPr>
      <w:rPr>
        <w:rFonts w:cs="Arial" w:hint="default"/>
      </w:rPr>
    </w:lvl>
    <w:lvl w:ilvl="1">
      <w:start w:val="2"/>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0">
    <w:nsid w:val="6BB30482"/>
    <w:multiLevelType w:val="multilevel"/>
    <w:tmpl w:val="25EC5922"/>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1">
    <w:nsid w:val="6D326F33"/>
    <w:multiLevelType w:val="hybridMultilevel"/>
    <w:tmpl w:val="4FDAC07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FA96C9E"/>
    <w:multiLevelType w:val="hybridMultilevel"/>
    <w:tmpl w:val="8220A04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3">
    <w:nsid w:val="742B7440"/>
    <w:multiLevelType w:val="multilevel"/>
    <w:tmpl w:val="DA823368"/>
    <w:lvl w:ilvl="0">
      <w:start w:val="1"/>
      <w:numFmt w:val="decimal"/>
      <w:pStyle w:val="ChptHead"/>
      <w:lvlText w:val="%1."/>
      <w:lvlJc w:val="left"/>
      <w:pPr>
        <w:tabs>
          <w:tab w:val="num" w:pos="360"/>
        </w:tabs>
        <w:ind w:left="360" w:hanging="360"/>
      </w:pPr>
      <w:rPr>
        <w:rFonts w:hint="default"/>
      </w:rPr>
    </w:lvl>
    <w:lvl w:ilvl="1">
      <w:start w:val="1"/>
      <w:numFmt w:val="decimal"/>
      <w:pStyle w:val="Paragraphnumbered"/>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nsid w:val="74B20FEA"/>
    <w:multiLevelType w:val="multilevel"/>
    <w:tmpl w:val="73F85F12"/>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nsid w:val="7DEF1C8D"/>
    <w:multiLevelType w:val="hybridMultilevel"/>
    <w:tmpl w:val="0318F4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5"/>
  </w:num>
  <w:num w:numId="2">
    <w:abstractNumId w:val="23"/>
  </w:num>
  <w:num w:numId="3">
    <w:abstractNumId w:val="10"/>
  </w:num>
  <w:num w:numId="4">
    <w:abstractNumId w:val="12"/>
  </w:num>
  <w:num w:numId="5">
    <w:abstractNumId w:val="0"/>
  </w:num>
  <w:num w:numId="6">
    <w:abstractNumId w:val="13"/>
  </w:num>
  <w:num w:numId="7">
    <w:abstractNumId w:val="2"/>
  </w:num>
  <w:num w:numId="8">
    <w:abstractNumId w:val="8"/>
  </w:num>
  <w:num w:numId="9">
    <w:abstractNumId w:val="6"/>
  </w:num>
  <w:num w:numId="10">
    <w:abstractNumId w:val="24"/>
  </w:num>
  <w:num w:numId="11">
    <w:abstractNumId w:val="18"/>
  </w:num>
  <w:num w:numId="12">
    <w:abstractNumId w:val="19"/>
  </w:num>
  <w:num w:numId="13">
    <w:abstractNumId w:val="1"/>
  </w:num>
  <w:num w:numId="14">
    <w:abstractNumId w:val="25"/>
  </w:num>
  <w:num w:numId="15">
    <w:abstractNumId w:val="5"/>
  </w:num>
  <w:num w:numId="16">
    <w:abstractNumId w:val="21"/>
  </w:num>
  <w:num w:numId="17">
    <w:abstractNumId w:val="9"/>
  </w:num>
  <w:num w:numId="18">
    <w:abstractNumId w:val="4"/>
  </w:num>
  <w:num w:numId="19">
    <w:abstractNumId w:val="17"/>
  </w:num>
  <w:num w:numId="20">
    <w:abstractNumId w:val="20"/>
  </w:num>
  <w:num w:numId="21">
    <w:abstractNumId w:val="22"/>
  </w:num>
  <w:num w:numId="22">
    <w:abstractNumId w:val="16"/>
  </w:num>
  <w:num w:numId="23">
    <w:abstractNumId w:val="7"/>
  </w:num>
  <w:num w:numId="24">
    <w:abstractNumId w:val="14"/>
  </w:num>
  <w:num w:numId="25">
    <w:abstractNumId w:val="11"/>
  </w:num>
  <w:num w:numId="26">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GB" w:vendorID="64" w:dllVersion="131078" w:nlCheck="1" w:checkStyle="1"/>
  <w:activeWritingStyle w:appName="MSWord" w:lang="en-GB" w:vendorID="64" w:dllVersion="131077" w:nlCheck="1" w:checkStyle="1"/>
  <w:activeWritingStyle w:appName="MSWord" w:lang="en-US" w:vendorID="64" w:dllVersion="131078" w:nlCheck="1" w:checkStyle="1"/>
  <w:proofState w:spelling="clean" w:grammar="clean"/>
  <w:attachedTemplate r:id="rId1"/>
  <w:defaultTabStop w:val="720"/>
  <w:evenAndOddHeader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6B1"/>
    <w:rsid w:val="00000EA3"/>
    <w:rsid w:val="00001CA3"/>
    <w:rsid w:val="0000286F"/>
    <w:rsid w:val="00011DB4"/>
    <w:rsid w:val="0001438E"/>
    <w:rsid w:val="00016231"/>
    <w:rsid w:val="00017478"/>
    <w:rsid w:val="00020688"/>
    <w:rsid w:val="00021789"/>
    <w:rsid w:val="00024AB5"/>
    <w:rsid w:val="000310F6"/>
    <w:rsid w:val="000322C8"/>
    <w:rsid w:val="000343E5"/>
    <w:rsid w:val="00034FC3"/>
    <w:rsid w:val="00044130"/>
    <w:rsid w:val="000448CC"/>
    <w:rsid w:val="00046E14"/>
    <w:rsid w:val="000521CF"/>
    <w:rsid w:val="00053187"/>
    <w:rsid w:val="00053E3A"/>
    <w:rsid w:val="00054A41"/>
    <w:rsid w:val="00057020"/>
    <w:rsid w:val="000600B5"/>
    <w:rsid w:val="000605A1"/>
    <w:rsid w:val="0006077F"/>
    <w:rsid w:val="00074D6A"/>
    <w:rsid w:val="000803B5"/>
    <w:rsid w:val="00086666"/>
    <w:rsid w:val="00093D98"/>
    <w:rsid w:val="000A1CE0"/>
    <w:rsid w:val="000A1D35"/>
    <w:rsid w:val="000A4030"/>
    <w:rsid w:val="000A5F4B"/>
    <w:rsid w:val="000C3AA8"/>
    <w:rsid w:val="000D0170"/>
    <w:rsid w:val="000D3027"/>
    <w:rsid w:val="000D4100"/>
    <w:rsid w:val="000D4D22"/>
    <w:rsid w:val="000D7804"/>
    <w:rsid w:val="000D79E9"/>
    <w:rsid w:val="000E6104"/>
    <w:rsid w:val="000E707D"/>
    <w:rsid w:val="000F59F6"/>
    <w:rsid w:val="000F75C7"/>
    <w:rsid w:val="00103618"/>
    <w:rsid w:val="00106FFA"/>
    <w:rsid w:val="00110636"/>
    <w:rsid w:val="0011173A"/>
    <w:rsid w:val="00114EAD"/>
    <w:rsid w:val="0012383E"/>
    <w:rsid w:val="001247CC"/>
    <w:rsid w:val="001251CA"/>
    <w:rsid w:val="00130C87"/>
    <w:rsid w:val="00145028"/>
    <w:rsid w:val="0014550C"/>
    <w:rsid w:val="0015130C"/>
    <w:rsid w:val="001552B3"/>
    <w:rsid w:val="00155D9D"/>
    <w:rsid w:val="00160333"/>
    <w:rsid w:val="00161918"/>
    <w:rsid w:val="00161C10"/>
    <w:rsid w:val="00165169"/>
    <w:rsid w:val="00170305"/>
    <w:rsid w:val="00170DB3"/>
    <w:rsid w:val="00171950"/>
    <w:rsid w:val="001755CB"/>
    <w:rsid w:val="00182B08"/>
    <w:rsid w:val="001866D3"/>
    <w:rsid w:val="00190E80"/>
    <w:rsid w:val="001956F4"/>
    <w:rsid w:val="001B0C86"/>
    <w:rsid w:val="001B60A3"/>
    <w:rsid w:val="001B6A41"/>
    <w:rsid w:val="001C4BEF"/>
    <w:rsid w:val="001C74AB"/>
    <w:rsid w:val="001D1B3A"/>
    <w:rsid w:val="001D3945"/>
    <w:rsid w:val="001E271D"/>
    <w:rsid w:val="001F0285"/>
    <w:rsid w:val="001F2E0B"/>
    <w:rsid w:val="0020282C"/>
    <w:rsid w:val="00202E97"/>
    <w:rsid w:val="00204B55"/>
    <w:rsid w:val="0020686E"/>
    <w:rsid w:val="0021138F"/>
    <w:rsid w:val="00213BA5"/>
    <w:rsid w:val="00220B24"/>
    <w:rsid w:val="00246517"/>
    <w:rsid w:val="00252510"/>
    <w:rsid w:val="002542DE"/>
    <w:rsid w:val="00257640"/>
    <w:rsid w:val="0026756A"/>
    <w:rsid w:val="00273725"/>
    <w:rsid w:val="00276394"/>
    <w:rsid w:val="0027799B"/>
    <w:rsid w:val="00280730"/>
    <w:rsid w:val="002860BE"/>
    <w:rsid w:val="002866F0"/>
    <w:rsid w:val="00290CA0"/>
    <w:rsid w:val="00292963"/>
    <w:rsid w:val="00292E7F"/>
    <w:rsid w:val="00295F37"/>
    <w:rsid w:val="0029631B"/>
    <w:rsid w:val="00297C31"/>
    <w:rsid w:val="002A1EC6"/>
    <w:rsid w:val="002A2F2E"/>
    <w:rsid w:val="002B1EA4"/>
    <w:rsid w:val="002B6624"/>
    <w:rsid w:val="002C1B16"/>
    <w:rsid w:val="002C533C"/>
    <w:rsid w:val="002C69B3"/>
    <w:rsid w:val="002D03F3"/>
    <w:rsid w:val="002D7943"/>
    <w:rsid w:val="002E0D20"/>
    <w:rsid w:val="002F1C39"/>
    <w:rsid w:val="002F6330"/>
    <w:rsid w:val="00306814"/>
    <w:rsid w:val="00312E6F"/>
    <w:rsid w:val="00313FA7"/>
    <w:rsid w:val="00316AEE"/>
    <w:rsid w:val="0032480A"/>
    <w:rsid w:val="0033095E"/>
    <w:rsid w:val="00343609"/>
    <w:rsid w:val="00347817"/>
    <w:rsid w:val="00355992"/>
    <w:rsid w:val="0035605B"/>
    <w:rsid w:val="00362F5B"/>
    <w:rsid w:val="00366CCA"/>
    <w:rsid w:val="0037200A"/>
    <w:rsid w:val="0037250F"/>
    <w:rsid w:val="0037565D"/>
    <w:rsid w:val="00377616"/>
    <w:rsid w:val="00377B71"/>
    <w:rsid w:val="00382180"/>
    <w:rsid w:val="00384D78"/>
    <w:rsid w:val="003A2B94"/>
    <w:rsid w:val="003A399B"/>
    <w:rsid w:val="003A3A25"/>
    <w:rsid w:val="003A428A"/>
    <w:rsid w:val="003B3D6F"/>
    <w:rsid w:val="003B3EB3"/>
    <w:rsid w:val="003B4C36"/>
    <w:rsid w:val="003B7176"/>
    <w:rsid w:val="003C05C1"/>
    <w:rsid w:val="003C0FDB"/>
    <w:rsid w:val="003C73BD"/>
    <w:rsid w:val="003C7CDB"/>
    <w:rsid w:val="003D1506"/>
    <w:rsid w:val="003D73FB"/>
    <w:rsid w:val="003E2108"/>
    <w:rsid w:val="003E23FC"/>
    <w:rsid w:val="003E36C3"/>
    <w:rsid w:val="003E6FF5"/>
    <w:rsid w:val="003F13C8"/>
    <w:rsid w:val="003F16D1"/>
    <w:rsid w:val="003F32B0"/>
    <w:rsid w:val="003F3F8E"/>
    <w:rsid w:val="003F7581"/>
    <w:rsid w:val="00400FC4"/>
    <w:rsid w:val="00407790"/>
    <w:rsid w:val="00410E3C"/>
    <w:rsid w:val="004156F4"/>
    <w:rsid w:val="004163B4"/>
    <w:rsid w:val="00420B28"/>
    <w:rsid w:val="0042390F"/>
    <w:rsid w:val="00425046"/>
    <w:rsid w:val="00431E2C"/>
    <w:rsid w:val="004333E9"/>
    <w:rsid w:val="0043577F"/>
    <w:rsid w:val="00441911"/>
    <w:rsid w:val="0044439B"/>
    <w:rsid w:val="00460FF9"/>
    <w:rsid w:val="00465EC4"/>
    <w:rsid w:val="0046762D"/>
    <w:rsid w:val="00470FBA"/>
    <w:rsid w:val="00472FDE"/>
    <w:rsid w:val="00474002"/>
    <w:rsid w:val="0048266C"/>
    <w:rsid w:val="00484E26"/>
    <w:rsid w:val="00487738"/>
    <w:rsid w:val="004941E3"/>
    <w:rsid w:val="00497B2E"/>
    <w:rsid w:val="004A3A2B"/>
    <w:rsid w:val="004A465E"/>
    <w:rsid w:val="004A613F"/>
    <w:rsid w:val="004A75E5"/>
    <w:rsid w:val="004B39FF"/>
    <w:rsid w:val="004B7A67"/>
    <w:rsid w:val="004C105E"/>
    <w:rsid w:val="004D138E"/>
    <w:rsid w:val="004D5D49"/>
    <w:rsid w:val="004D77F9"/>
    <w:rsid w:val="004E7845"/>
    <w:rsid w:val="004F1352"/>
    <w:rsid w:val="004F357B"/>
    <w:rsid w:val="00501178"/>
    <w:rsid w:val="005162EB"/>
    <w:rsid w:val="005165E2"/>
    <w:rsid w:val="00516AE8"/>
    <w:rsid w:val="005326DE"/>
    <w:rsid w:val="00532D84"/>
    <w:rsid w:val="0053351A"/>
    <w:rsid w:val="00533C36"/>
    <w:rsid w:val="0053498E"/>
    <w:rsid w:val="00534CCD"/>
    <w:rsid w:val="00535832"/>
    <w:rsid w:val="005368D9"/>
    <w:rsid w:val="00537C59"/>
    <w:rsid w:val="00540242"/>
    <w:rsid w:val="00544A91"/>
    <w:rsid w:val="00545FA8"/>
    <w:rsid w:val="005564FE"/>
    <w:rsid w:val="0056285A"/>
    <w:rsid w:val="00563BF1"/>
    <w:rsid w:val="00564211"/>
    <w:rsid w:val="005673F9"/>
    <w:rsid w:val="00570DE6"/>
    <w:rsid w:val="005716F1"/>
    <w:rsid w:val="005810D8"/>
    <w:rsid w:val="00581266"/>
    <w:rsid w:val="005841B7"/>
    <w:rsid w:val="005847B9"/>
    <w:rsid w:val="00585D63"/>
    <w:rsid w:val="00593C63"/>
    <w:rsid w:val="00594976"/>
    <w:rsid w:val="005A18B7"/>
    <w:rsid w:val="005A27BC"/>
    <w:rsid w:val="005A4526"/>
    <w:rsid w:val="005B271A"/>
    <w:rsid w:val="005B410C"/>
    <w:rsid w:val="005B4563"/>
    <w:rsid w:val="005C1A3E"/>
    <w:rsid w:val="005D1DDF"/>
    <w:rsid w:val="005D3B4A"/>
    <w:rsid w:val="005D4590"/>
    <w:rsid w:val="005D5BC0"/>
    <w:rsid w:val="005E19BA"/>
    <w:rsid w:val="005F47CE"/>
    <w:rsid w:val="005F4BAE"/>
    <w:rsid w:val="005F4E15"/>
    <w:rsid w:val="0061018F"/>
    <w:rsid w:val="006132B0"/>
    <w:rsid w:val="00613DC4"/>
    <w:rsid w:val="00615658"/>
    <w:rsid w:val="00621B8E"/>
    <w:rsid w:val="00623222"/>
    <w:rsid w:val="00625A7C"/>
    <w:rsid w:val="00635494"/>
    <w:rsid w:val="00640AC2"/>
    <w:rsid w:val="00642F6B"/>
    <w:rsid w:val="0064345A"/>
    <w:rsid w:val="00643596"/>
    <w:rsid w:val="006457CE"/>
    <w:rsid w:val="00652328"/>
    <w:rsid w:val="006540ED"/>
    <w:rsid w:val="00661F5A"/>
    <w:rsid w:val="00662038"/>
    <w:rsid w:val="00663B08"/>
    <w:rsid w:val="00672FE9"/>
    <w:rsid w:val="00676EF5"/>
    <w:rsid w:val="006840FC"/>
    <w:rsid w:val="00694131"/>
    <w:rsid w:val="006A21EF"/>
    <w:rsid w:val="006A6CF7"/>
    <w:rsid w:val="006C3189"/>
    <w:rsid w:val="006C593B"/>
    <w:rsid w:val="006C7C48"/>
    <w:rsid w:val="006E0406"/>
    <w:rsid w:val="006E05D9"/>
    <w:rsid w:val="006E18EA"/>
    <w:rsid w:val="006F5967"/>
    <w:rsid w:val="006F79A0"/>
    <w:rsid w:val="006F7A11"/>
    <w:rsid w:val="00703428"/>
    <w:rsid w:val="00704CBE"/>
    <w:rsid w:val="00707BB3"/>
    <w:rsid w:val="0071252D"/>
    <w:rsid w:val="007229DC"/>
    <w:rsid w:val="007231C6"/>
    <w:rsid w:val="00726E05"/>
    <w:rsid w:val="007318E7"/>
    <w:rsid w:val="00732E33"/>
    <w:rsid w:val="00741D31"/>
    <w:rsid w:val="00746CDD"/>
    <w:rsid w:val="00757BA6"/>
    <w:rsid w:val="00764F30"/>
    <w:rsid w:val="00774101"/>
    <w:rsid w:val="007828A0"/>
    <w:rsid w:val="00790BF8"/>
    <w:rsid w:val="00792418"/>
    <w:rsid w:val="0079287F"/>
    <w:rsid w:val="00794B26"/>
    <w:rsid w:val="007A02E6"/>
    <w:rsid w:val="007A1133"/>
    <w:rsid w:val="007A710F"/>
    <w:rsid w:val="007A7E2B"/>
    <w:rsid w:val="007B3044"/>
    <w:rsid w:val="007B55DB"/>
    <w:rsid w:val="007C247D"/>
    <w:rsid w:val="007C740E"/>
    <w:rsid w:val="007D0359"/>
    <w:rsid w:val="007D0EBF"/>
    <w:rsid w:val="007D189E"/>
    <w:rsid w:val="007E399E"/>
    <w:rsid w:val="007F0D5E"/>
    <w:rsid w:val="007F12E5"/>
    <w:rsid w:val="007F2E47"/>
    <w:rsid w:val="007F572B"/>
    <w:rsid w:val="00804943"/>
    <w:rsid w:val="008052CA"/>
    <w:rsid w:val="0081375B"/>
    <w:rsid w:val="00814C0E"/>
    <w:rsid w:val="008156AA"/>
    <w:rsid w:val="00821108"/>
    <w:rsid w:val="00821932"/>
    <w:rsid w:val="00825304"/>
    <w:rsid w:val="00825885"/>
    <w:rsid w:val="00831C4D"/>
    <w:rsid w:val="0083493A"/>
    <w:rsid w:val="0085230D"/>
    <w:rsid w:val="00862350"/>
    <w:rsid w:val="0086309D"/>
    <w:rsid w:val="00863853"/>
    <w:rsid w:val="00864668"/>
    <w:rsid w:val="00864FEE"/>
    <w:rsid w:val="008659F4"/>
    <w:rsid w:val="00866E3E"/>
    <w:rsid w:val="00867066"/>
    <w:rsid w:val="00870115"/>
    <w:rsid w:val="00873057"/>
    <w:rsid w:val="00875296"/>
    <w:rsid w:val="00887C29"/>
    <w:rsid w:val="008930B0"/>
    <w:rsid w:val="00894DD0"/>
    <w:rsid w:val="008A45D3"/>
    <w:rsid w:val="008B6164"/>
    <w:rsid w:val="008B6F16"/>
    <w:rsid w:val="008C17B6"/>
    <w:rsid w:val="008C2902"/>
    <w:rsid w:val="008C4ABB"/>
    <w:rsid w:val="008C726A"/>
    <w:rsid w:val="008D4316"/>
    <w:rsid w:val="008D59BE"/>
    <w:rsid w:val="008D78FC"/>
    <w:rsid w:val="008E1AC8"/>
    <w:rsid w:val="008E4C24"/>
    <w:rsid w:val="008E6704"/>
    <w:rsid w:val="008E6CB4"/>
    <w:rsid w:val="008F3C62"/>
    <w:rsid w:val="008F3DC3"/>
    <w:rsid w:val="00911F35"/>
    <w:rsid w:val="009208FC"/>
    <w:rsid w:val="00920C93"/>
    <w:rsid w:val="00921946"/>
    <w:rsid w:val="00922982"/>
    <w:rsid w:val="0092378B"/>
    <w:rsid w:val="009311B1"/>
    <w:rsid w:val="00936998"/>
    <w:rsid w:val="00940AEC"/>
    <w:rsid w:val="00942FE7"/>
    <w:rsid w:val="00944DE2"/>
    <w:rsid w:val="00951633"/>
    <w:rsid w:val="009543D6"/>
    <w:rsid w:val="00954C1F"/>
    <w:rsid w:val="0095511C"/>
    <w:rsid w:val="009570C6"/>
    <w:rsid w:val="00965755"/>
    <w:rsid w:val="00966560"/>
    <w:rsid w:val="0096787A"/>
    <w:rsid w:val="00971BDD"/>
    <w:rsid w:val="00975798"/>
    <w:rsid w:val="00977FB2"/>
    <w:rsid w:val="00982369"/>
    <w:rsid w:val="00982778"/>
    <w:rsid w:val="009877A4"/>
    <w:rsid w:val="00987CC2"/>
    <w:rsid w:val="009911C8"/>
    <w:rsid w:val="0099162C"/>
    <w:rsid w:val="009A0D44"/>
    <w:rsid w:val="009A27BF"/>
    <w:rsid w:val="009A4014"/>
    <w:rsid w:val="009A5E36"/>
    <w:rsid w:val="009B06DB"/>
    <w:rsid w:val="009B17B2"/>
    <w:rsid w:val="009B2C93"/>
    <w:rsid w:val="009B59D7"/>
    <w:rsid w:val="009C6C29"/>
    <w:rsid w:val="009C7E8D"/>
    <w:rsid w:val="009D573C"/>
    <w:rsid w:val="009E0E61"/>
    <w:rsid w:val="009E2CB7"/>
    <w:rsid w:val="009E7B33"/>
    <w:rsid w:val="009F22B5"/>
    <w:rsid w:val="009F629E"/>
    <w:rsid w:val="00A00C20"/>
    <w:rsid w:val="00A03F1B"/>
    <w:rsid w:val="00A0544F"/>
    <w:rsid w:val="00A06921"/>
    <w:rsid w:val="00A12410"/>
    <w:rsid w:val="00A13AE6"/>
    <w:rsid w:val="00A13B82"/>
    <w:rsid w:val="00A16638"/>
    <w:rsid w:val="00A17FFC"/>
    <w:rsid w:val="00A225B5"/>
    <w:rsid w:val="00A23DAA"/>
    <w:rsid w:val="00A25D81"/>
    <w:rsid w:val="00A27508"/>
    <w:rsid w:val="00A30287"/>
    <w:rsid w:val="00A3396D"/>
    <w:rsid w:val="00A36187"/>
    <w:rsid w:val="00A41046"/>
    <w:rsid w:val="00A44585"/>
    <w:rsid w:val="00A446FB"/>
    <w:rsid w:val="00A50975"/>
    <w:rsid w:val="00A52970"/>
    <w:rsid w:val="00A7420A"/>
    <w:rsid w:val="00A77EA3"/>
    <w:rsid w:val="00A85904"/>
    <w:rsid w:val="00A937D7"/>
    <w:rsid w:val="00A93D3D"/>
    <w:rsid w:val="00A9534E"/>
    <w:rsid w:val="00AA6D40"/>
    <w:rsid w:val="00AB00D4"/>
    <w:rsid w:val="00AB1FF5"/>
    <w:rsid w:val="00AB291B"/>
    <w:rsid w:val="00AB2B65"/>
    <w:rsid w:val="00AC017A"/>
    <w:rsid w:val="00AC0651"/>
    <w:rsid w:val="00AC1F95"/>
    <w:rsid w:val="00AC5314"/>
    <w:rsid w:val="00AC66D4"/>
    <w:rsid w:val="00AC6BE5"/>
    <w:rsid w:val="00AD7016"/>
    <w:rsid w:val="00AE0CB3"/>
    <w:rsid w:val="00AE11E7"/>
    <w:rsid w:val="00AE3D92"/>
    <w:rsid w:val="00AE53D2"/>
    <w:rsid w:val="00AE7C43"/>
    <w:rsid w:val="00AF456B"/>
    <w:rsid w:val="00AF7CE5"/>
    <w:rsid w:val="00B0174F"/>
    <w:rsid w:val="00B07A64"/>
    <w:rsid w:val="00B11102"/>
    <w:rsid w:val="00B15B8C"/>
    <w:rsid w:val="00B16B07"/>
    <w:rsid w:val="00B222B8"/>
    <w:rsid w:val="00B2544E"/>
    <w:rsid w:val="00B303E2"/>
    <w:rsid w:val="00B306FB"/>
    <w:rsid w:val="00B32061"/>
    <w:rsid w:val="00B32AC9"/>
    <w:rsid w:val="00B43660"/>
    <w:rsid w:val="00B457AF"/>
    <w:rsid w:val="00B62F9B"/>
    <w:rsid w:val="00B65824"/>
    <w:rsid w:val="00B67662"/>
    <w:rsid w:val="00B67B7F"/>
    <w:rsid w:val="00B70697"/>
    <w:rsid w:val="00B74827"/>
    <w:rsid w:val="00B769FF"/>
    <w:rsid w:val="00B771B3"/>
    <w:rsid w:val="00B85750"/>
    <w:rsid w:val="00B930B3"/>
    <w:rsid w:val="00B94A9B"/>
    <w:rsid w:val="00BA2C85"/>
    <w:rsid w:val="00BA5A1C"/>
    <w:rsid w:val="00BA6883"/>
    <w:rsid w:val="00BA6E35"/>
    <w:rsid w:val="00BA760E"/>
    <w:rsid w:val="00BB475F"/>
    <w:rsid w:val="00BB5F6F"/>
    <w:rsid w:val="00BC1471"/>
    <w:rsid w:val="00BC3AC2"/>
    <w:rsid w:val="00BC7230"/>
    <w:rsid w:val="00BC765F"/>
    <w:rsid w:val="00BD31AD"/>
    <w:rsid w:val="00BD3596"/>
    <w:rsid w:val="00BD4055"/>
    <w:rsid w:val="00BE16E9"/>
    <w:rsid w:val="00BE1AD8"/>
    <w:rsid w:val="00BE20CA"/>
    <w:rsid w:val="00BE735D"/>
    <w:rsid w:val="00BF28E8"/>
    <w:rsid w:val="00BF3799"/>
    <w:rsid w:val="00BF4A58"/>
    <w:rsid w:val="00BF6C39"/>
    <w:rsid w:val="00BF7248"/>
    <w:rsid w:val="00BF74C4"/>
    <w:rsid w:val="00C06A12"/>
    <w:rsid w:val="00C10F03"/>
    <w:rsid w:val="00C1329A"/>
    <w:rsid w:val="00C14B7D"/>
    <w:rsid w:val="00C17B7C"/>
    <w:rsid w:val="00C21F5B"/>
    <w:rsid w:val="00C2350A"/>
    <w:rsid w:val="00C30E8D"/>
    <w:rsid w:val="00C316B6"/>
    <w:rsid w:val="00C35176"/>
    <w:rsid w:val="00C35B09"/>
    <w:rsid w:val="00C3746E"/>
    <w:rsid w:val="00C45D9F"/>
    <w:rsid w:val="00C506B5"/>
    <w:rsid w:val="00C50763"/>
    <w:rsid w:val="00C55CCC"/>
    <w:rsid w:val="00C56298"/>
    <w:rsid w:val="00C5689E"/>
    <w:rsid w:val="00C56CCB"/>
    <w:rsid w:val="00C5776F"/>
    <w:rsid w:val="00C61E2C"/>
    <w:rsid w:val="00C630D2"/>
    <w:rsid w:val="00C65507"/>
    <w:rsid w:val="00C73EF9"/>
    <w:rsid w:val="00C779C7"/>
    <w:rsid w:val="00C8251E"/>
    <w:rsid w:val="00C90D87"/>
    <w:rsid w:val="00CA2567"/>
    <w:rsid w:val="00CA28EB"/>
    <w:rsid w:val="00CA4434"/>
    <w:rsid w:val="00CB2711"/>
    <w:rsid w:val="00CB5476"/>
    <w:rsid w:val="00CB5636"/>
    <w:rsid w:val="00CC1B14"/>
    <w:rsid w:val="00CC1B43"/>
    <w:rsid w:val="00CC29F0"/>
    <w:rsid w:val="00CC4D60"/>
    <w:rsid w:val="00CC5FF2"/>
    <w:rsid w:val="00CD3E94"/>
    <w:rsid w:val="00CD4A85"/>
    <w:rsid w:val="00CD7FA2"/>
    <w:rsid w:val="00CE488B"/>
    <w:rsid w:val="00CE6451"/>
    <w:rsid w:val="00CF32E9"/>
    <w:rsid w:val="00CF4AB1"/>
    <w:rsid w:val="00CF7828"/>
    <w:rsid w:val="00D0195A"/>
    <w:rsid w:val="00D01E31"/>
    <w:rsid w:val="00D05324"/>
    <w:rsid w:val="00D134F7"/>
    <w:rsid w:val="00D1486C"/>
    <w:rsid w:val="00D17327"/>
    <w:rsid w:val="00D2163B"/>
    <w:rsid w:val="00D25B8C"/>
    <w:rsid w:val="00D3040A"/>
    <w:rsid w:val="00D37AA1"/>
    <w:rsid w:val="00D55142"/>
    <w:rsid w:val="00D55BA8"/>
    <w:rsid w:val="00D64D99"/>
    <w:rsid w:val="00D65622"/>
    <w:rsid w:val="00D70E55"/>
    <w:rsid w:val="00D74575"/>
    <w:rsid w:val="00D759C5"/>
    <w:rsid w:val="00D8560A"/>
    <w:rsid w:val="00D876C5"/>
    <w:rsid w:val="00D87AFF"/>
    <w:rsid w:val="00D90922"/>
    <w:rsid w:val="00D912D5"/>
    <w:rsid w:val="00D91B4D"/>
    <w:rsid w:val="00DA138F"/>
    <w:rsid w:val="00DA3594"/>
    <w:rsid w:val="00DA7331"/>
    <w:rsid w:val="00DA7FEF"/>
    <w:rsid w:val="00DB3CA1"/>
    <w:rsid w:val="00DB491B"/>
    <w:rsid w:val="00DC06B1"/>
    <w:rsid w:val="00DC0FEE"/>
    <w:rsid w:val="00DC10B1"/>
    <w:rsid w:val="00DC29AB"/>
    <w:rsid w:val="00DC386E"/>
    <w:rsid w:val="00DC3EA0"/>
    <w:rsid w:val="00DC67FF"/>
    <w:rsid w:val="00DD0BE1"/>
    <w:rsid w:val="00DD5A2F"/>
    <w:rsid w:val="00DD7AD6"/>
    <w:rsid w:val="00DE201C"/>
    <w:rsid w:val="00DE2831"/>
    <w:rsid w:val="00DE2F0D"/>
    <w:rsid w:val="00DE3AB6"/>
    <w:rsid w:val="00DE503A"/>
    <w:rsid w:val="00DF0DDB"/>
    <w:rsid w:val="00DF6F2F"/>
    <w:rsid w:val="00DF7781"/>
    <w:rsid w:val="00E00754"/>
    <w:rsid w:val="00E00BC6"/>
    <w:rsid w:val="00E011EE"/>
    <w:rsid w:val="00E0273C"/>
    <w:rsid w:val="00E06534"/>
    <w:rsid w:val="00E10168"/>
    <w:rsid w:val="00E11614"/>
    <w:rsid w:val="00E12F23"/>
    <w:rsid w:val="00E13630"/>
    <w:rsid w:val="00E14A29"/>
    <w:rsid w:val="00E152D8"/>
    <w:rsid w:val="00E16175"/>
    <w:rsid w:val="00E1667B"/>
    <w:rsid w:val="00E16E91"/>
    <w:rsid w:val="00E22941"/>
    <w:rsid w:val="00E238EB"/>
    <w:rsid w:val="00E25228"/>
    <w:rsid w:val="00E25589"/>
    <w:rsid w:val="00E3272D"/>
    <w:rsid w:val="00E36C4C"/>
    <w:rsid w:val="00E46534"/>
    <w:rsid w:val="00E46F4E"/>
    <w:rsid w:val="00E5007F"/>
    <w:rsid w:val="00E50CB3"/>
    <w:rsid w:val="00E52967"/>
    <w:rsid w:val="00E57B48"/>
    <w:rsid w:val="00E63C65"/>
    <w:rsid w:val="00E657D2"/>
    <w:rsid w:val="00E712CC"/>
    <w:rsid w:val="00E802AC"/>
    <w:rsid w:val="00E8248C"/>
    <w:rsid w:val="00E83CFB"/>
    <w:rsid w:val="00E859D2"/>
    <w:rsid w:val="00E86388"/>
    <w:rsid w:val="00E8785D"/>
    <w:rsid w:val="00E878D5"/>
    <w:rsid w:val="00E90002"/>
    <w:rsid w:val="00E90D8A"/>
    <w:rsid w:val="00E92CB1"/>
    <w:rsid w:val="00E93F9E"/>
    <w:rsid w:val="00E95CA8"/>
    <w:rsid w:val="00E96407"/>
    <w:rsid w:val="00E96A58"/>
    <w:rsid w:val="00EA5962"/>
    <w:rsid w:val="00EB01E5"/>
    <w:rsid w:val="00EB18AC"/>
    <w:rsid w:val="00EB2EBC"/>
    <w:rsid w:val="00EB62DE"/>
    <w:rsid w:val="00EB6438"/>
    <w:rsid w:val="00EC48BA"/>
    <w:rsid w:val="00ED018B"/>
    <w:rsid w:val="00ED50C1"/>
    <w:rsid w:val="00ED5BED"/>
    <w:rsid w:val="00EE17DA"/>
    <w:rsid w:val="00EE4B26"/>
    <w:rsid w:val="00EE4B99"/>
    <w:rsid w:val="00EF1507"/>
    <w:rsid w:val="00EF2700"/>
    <w:rsid w:val="00F00DF3"/>
    <w:rsid w:val="00F01E7D"/>
    <w:rsid w:val="00F278ED"/>
    <w:rsid w:val="00F30E50"/>
    <w:rsid w:val="00F3106F"/>
    <w:rsid w:val="00F336BF"/>
    <w:rsid w:val="00F353B7"/>
    <w:rsid w:val="00F46FEF"/>
    <w:rsid w:val="00F5795C"/>
    <w:rsid w:val="00F60E2A"/>
    <w:rsid w:val="00F67C5B"/>
    <w:rsid w:val="00F722F6"/>
    <w:rsid w:val="00F725F3"/>
    <w:rsid w:val="00F770DF"/>
    <w:rsid w:val="00F801CF"/>
    <w:rsid w:val="00F860BC"/>
    <w:rsid w:val="00F87BBE"/>
    <w:rsid w:val="00F95E8E"/>
    <w:rsid w:val="00FA03A9"/>
    <w:rsid w:val="00FB6116"/>
    <w:rsid w:val="00FB6798"/>
    <w:rsid w:val="00FC016B"/>
    <w:rsid w:val="00FC2AF9"/>
    <w:rsid w:val="00FC52F5"/>
    <w:rsid w:val="00FC6E4A"/>
    <w:rsid w:val="00FD0FA5"/>
    <w:rsid w:val="00FD5DC8"/>
    <w:rsid w:val="00FD74A4"/>
    <w:rsid w:val="00FE0985"/>
    <w:rsid w:val="00FE13B7"/>
    <w:rsid w:val="00FE6082"/>
    <w:rsid w:val="00FF23AC"/>
    <w:rsid w:val="00FF2E39"/>
    <w:rsid w:val="00FF6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56298"/>
    <w:pPr>
      <w:spacing w:before="120" w:after="120" w:line="280" w:lineRule="exact"/>
    </w:pPr>
    <w:rPr>
      <w:rFonts w:ascii="Arial" w:hAnsi="Arial" w:cs="Arial"/>
      <w:sz w:val="24"/>
      <w:lang w:eastAsia="en-US"/>
    </w:rPr>
  </w:style>
  <w:style w:type="paragraph" w:styleId="Heading1">
    <w:name w:val="heading 1"/>
    <w:basedOn w:val="Normal"/>
    <w:next w:val="Paragraphtext"/>
    <w:link w:val="Heading1Char"/>
    <w:qFormat/>
    <w:rsid w:val="00DA7331"/>
    <w:pPr>
      <w:keepNext/>
      <w:spacing w:before="240" w:line="380" w:lineRule="exact"/>
      <w:outlineLvl w:val="0"/>
    </w:pPr>
    <w:rPr>
      <w:color w:val="00D1AE"/>
      <w:sz w:val="32"/>
    </w:rPr>
  </w:style>
  <w:style w:type="paragraph" w:styleId="Heading2">
    <w:name w:val="heading 2"/>
    <w:basedOn w:val="Normal"/>
    <w:next w:val="Normal"/>
    <w:qFormat/>
    <w:rsid w:val="00171950"/>
    <w:pPr>
      <w:spacing w:before="240"/>
      <w:outlineLvl w:val="1"/>
    </w:pPr>
    <w:rPr>
      <w:b/>
      <w:color w:val="00D1AE"/>
    </w:rPr>
  </w:style>
  <w:style w:type="paragraph" w:styleId="Heading3">
    <w:name w:val="heading 3"/>
    <w:basedOn w:val="Normal"/>
    <w:next w:val="Normal"/>
    <w:link w:val="Heading3Char"/>
    <w:qFormat/>
    <w:rsid w:val="00171950"/>
    <w:pPr>
      <w:outlineLvl w:val="2"/>
    </w:pPr>
    <w:rPr>
      <w:b/>
    </w:rPr>
  </w:style>
  <w:style w:type="paragraph" w:styleId="Heading4">
    <w:name w:val="heading 4"/>
    <w:basedOn w:val="Normal"/>
    <w:next w:val="Normal"/>
    <w:qFormat/>
    <w:rsid w:val="003E6FF5"/>
    <w:pPr>
      <w:outlineLvl w:val="3"/>
    </w:pPr>
    <w:rPr>
      <w:color w:val="00D1AE"/>
    </w:rPr>
  </w:style>
  <w:style w:type="paragraph" w:styleId="Heading5">
    <w:name w:val="heading 5"/>
    <w:basedOn w:val="Normal"/>
    <w:next w:val="Normal"/>
    <w:qFormat/>
    <w:pPr>
      <w:spacing w:before="240" w:after="60"/>
      <w:outlineLvl w:val="4"/>
    </w:pPr>
    <w:rPr>
      <w:bCs/>
      <w:i/>
      <w:iCs/>
      <w:szCs w:val="26"/>
    </w:rPr>
  </w:style>
  <w:style w:type="paragraph" w:styleId="Heading6">
    <w:name w:val="heading 6"/>
    <w:basedOn w:val="Normal"/>
    <w:next w:val="Normal"/>
    <w:link w:val="Heading6Char"/>
    <w:uiPriority w:val="9"/>
    <w:qFormat/>
    <w:rsid w:val="00171950"/>
    <w:pPr>
      <w:spacing w:before="240" w:after="60"/>
      <w:outlineLvl w:val="5"/>
    </w:pPr>
    <w:rPr>
      <w:rFonts w:eastAsia="MS Mincho" w:cs="Times New Roman"/>
      <w:b/>
      <w:bCs/>
      <w:sz w:val="22"/>
      <w:szCs w:val="22"/>
    </w:rPr>
  </w:style>
  <w:style w:type="paragraph" w:styleId="Heading7">
    <w:name w:val="heading 7"/>
    <w:basedOn w:val="Normal"/>
    <w:next w:val="Normal"/>
    <w:link w:val="Heading7Char"/>
    <w:uiPriority w:val="9"/>
    <w:qFormat/>
    <w:rsid w:val="00171950"/>
    <w:pPr>
      <w:spacing w:before="240" w:after="60"/>
      <w:outlineLvl w:val="6"/>
    </w:pPr>
    <w:rPr>
      <w:rFonts w:eastAsia="MS Mincho" w:cs="Times New Roman"/>
      <w:szCs w:val="24"/>
    </w:rPr>
  </w:style>
  <w:style w:type="paragraph" w:styleId="Heading8">
    <w:name w:val="heading 8"/>
    <w:basedOn w:val="Normal"/>
    <w:next w:val="Normal"/>
    <w:link w:val="Heading8Char"/>
    <w:uiPriority w:val="9"/>
    <w:unhideWhenUsed/>
    <w:qFormat/>
    <w:rsid w:val="00E16E91"/>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E16E91"/>
    <w:pPr>
      <w:keepNext/>
      <w:keepLines/>
      <w:spacing w:before="200" w:after="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text">
    <w:name w:val="Paragraph text"/>
    <w:basedOn w:val="Normal"/>
    <w:qFormat/>
    <w:rsid w:val="004D5D49"/>
    <w:rPr>
      <w:rFonts w:cs="Times New Roman"/>
    </w:rPr>
  </w:style>
  <w:style w:type="character" w:customStyle="1" w:styleId="Heading1Char">
    <w:name w:val="Heading 1 Char"/>
    <w:basedOn w:val="DefaultParagraphFont"/>
    <w:link w:val="Heading1"/>
    <w:rsid w:val="000521CF"/>
    <w:rPr>
      <w:rFonts w:ascii="Arial" w:hAnsi="Arial" w:cs="Arial"/>
      <w:color w:val="00D1AE"/>
      <w:sz w:val="32"/>
      <w:lang w:eastAsia="en-US"/>
    </w:rPr>
  </w:style>
  <w:style w:type="character" w:customStyle="1" w:styleId="Heading3Char">
    <w:name w:val="Heading 3 Char"/>
    <w:basedOn w:val="DefaultParagraphFont"/>
    <w:link w:val="Heading3"/>
    <w:rsid w:val="00DC06B1"/>
    <w:rPr>
      <w:rFonts w:ascii="Arial" w:hAnsi="Arial" w:cs="Arial"/>
      <w:b/>
      <w:sz w:val="24"/>
      <w:lang w:eastAsia="en-US"/>
    </w:rPr>
  </w:style>
  <w:style w:type="character" w:customStyle="1" w:styleId="Heading6Char">
    <w:name w:val="Heading 6 Char"/>
    <w:link w:val="Heading6"/>
    <w:uiPriority w:val="9"/>
    <w:rsid w:val="00171950"/>
    <w:rPr>
      <w:rFonts w:ascii="Arial" w:eastAsia="MS Mincho" w:hAnsi="Arial"/>
      <w:b/>
      <w:bCs/>
      <w:sz w:val="22"/>
      <w:szCs w:val="22"/>
    </w:rPr>
  </w:style>
  <w:style w:type="character" w:customStyle="1" w:styleId="Heading7Char">
    <w:name w:val="Heading 7 Char"/>
    <w:link w:val="Heading7"/>
    <w:uiPriority w:val="9"/>
    <w:semiHidden/>
    <w:rsid w:val="00171950"/>
    <w:rPr>
      <w:rFonts w:ascii="Arial" w:eastAsia="MS Mincho" w:hAnsi="Arial" w:cs="Times New Roman"/>
      <w:sz w:val="24"/>
      <w:szCs w:val="24"/>
    </w:rPr>
  </w:style>
  <w:style w:type="character" w:customStyle="1" w:styleId="Heading8Char">
    <w:name w:val="Heading 8 Char"/>
    <w:basedOn w:val="DefaultParagraphFont"/>
    <w:link w:val="Heading8"/>
    <w:uiPriority w:val="9"/>
    <w:rsid w:val="00E16E91"/>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rsid w:val="00E16E91"/>
    <w:rPr>
      <w:rFonts w:asciiTheme="majorHAnsi" w:eastAsiaTheme="majorEastAsia" w:hAnsiTheme="majorHAnsi" w:cstheme="majorBidi"/>
      <w:i/>
      <w:iCs/>
      <w:color w:val="404040" w:themeColor="text1" w:themeTint="BF"/>
      <w:lang w:eastAsia="en-US"/>
    </w:rPr>
  </w:style>
  <w:style w:type="paragraph" w:customStyle="1" w:styleId="Listbullet2">
    <w:name w:val="List bullet2"/>
    <w:rsid w:val="00171950"/>
    <w:pPr>
      <w:numPr>
        <w:ilvl w:val="1"/>
        <w:numId w:val="1"/>
      </w:numPr>
      <w:tabs>
        <w:tab w:val="clear" w:pos="720"/>
        <w:tab w:val="num" w:pos="360"/>
      </w:tabs>
      <w:ind w:left="1418" w:hanging="284"/>
    </w:pPr>
    <w:rPr>
      <w:rFonts w:ascii="Arial" w:hAnsi="Arial"/>
      <w:sz w:val="24"/>
      <w:lang w:eastAsia="en-US"/>
    </w:rPr>
  </w:style>
  <w:style w:type="paragraph" w:customStyle="1" w:styleId="Figureschartstitle">
    <w:name w:val="Figures/charts title"/>
    <w:basedOn w:val="Introduction"/>
    <w:qFormat/>
    <w:rsid w:val="00171950"/>
    <w:pPr>
      <w:spacing w:before="120" w:after="60" w:line="240" w:lineRule="auto"/>
      <w:outlineLvl w:val="5"/>
    </w:pPr>
    <w:rPr>
      <w:sz w:val="22"/>
    </w:rPr>
  </w:style>
  <w:style w:type="paragraph" w:customStyle="1" w:styleId="Introduction">
    <w:name w:val="Introduction"/>
    <w:basedOn w:val="Normal"/>
    <w:next w:val="Paragraphtext"/>
    <w:rsid w:val="00DD0BE1"/>
    <w:pPr>
      <w:spacing w:before="240" w:line="380" w:lineRule="exact"/>
    </w:pPr>
    <w:rPr>
      <w:rFonts w:cs="Times New Roman"/>
      <w:color w:val="01D1AE"/>
      <w:sz w:val="32"/>
    </w:rPr>
  </w:style>
  <w:style w:type="paragraph" w:customStyle="1" w:styleId="Titlepagetext">
    <w:name w:val="Title page text"/>
    <w:basedOn w:val="Normal"/>
    <w:next w:val="Paragraphtext"/>
    <w:rPr>
      <w:b/>
    </w:rPr>
  </w:style>
  <w:style w:type="character" w:styleId="FollowedHyperlink">
    <w:name w:val="FollowedHyperlink"/>
    <w:uiPriority w:val="99"/>
    <w:semiHidden/>
    <w:rPr>
      <w:rFonts w:ascii="Arial" w:hAnsi="Arial"/>
      <w:color w:val="800080"/>
      <w:sz w:val="24"/>
      <w:u w:val="single"/>
    </w:rPr>
  </w:style>
  <w:style w:type="paragraph" w:customStyle="1" w:styleId="Listalpha">
    <w:name w:val="List alpha"/>
    <w:rsid w:val="00171950"/>
    <w:pPr>
      <w:numPr>
        <w:numId w:val="4"/>
      </w:numPr>
      <w:spacing w:before="120" w:after="120" w:line="320" w:lineRule="exact"/>
      <w:ind w:left="357" w:hanging="357"/>
    </w:pPr>
    <w:rPr>
      <w:rFonts w:ascii="Arial" w:hAnsi="Arial"/>
      <w:sz w:val="24"/>
      <w:lang w:eastAsia="en-US"/>
    </w:rPr>
  </w:style>
  <w:style w:type="paragraph" w:customStyle="1" w:styleId="Listbullet1">
    <w:name w:val="List bullet1"/>
    <w:rsid w:val="00171950"/>
    <w:pPr>
      <w:numPr>
        <w:numId w:val="1"/>
      </w:numPr>
      <w:spacing w:before="120" w:after="120" w:line="320" w:lineRule="exact"/>
    </w:pPr>
    <w:rPr>
      <w:rFonts w:ascii="Arial" w:hAnsi="Arial"/>
      <w:sz w:val="24"/>
      <w:lang w:eastAsia="en-US"/>
    </w:rPr>
  </w:style>
  <w:style w:type="paragraph" w:customStyle="1" w:styleId="ChapterHead">
    <w:name w:val="Chapter Head"/>
    <w:basedOn w:val="Normal"/>
    <w:next w:val="Introduction"/>
    <w:qFormat/>
    <w:rsid w:val="00DA7331"/>
    <w:pPr>
      <w:keepNext/>
      <w:spacing w:after="360" w:line="540" w:lineRule="exact"/>
      <w:outlineLvl w:val="0"/>
    </w:pPr>
    <w:rPr>
      <w:rFonts w:cs="Times New Roman"/>
      <w:color w:val="00D1AE"/>
      <w:sz w:val="50"/>
    </w:rPr>
  </w:style>
  <w:style w:type="paragraph" w:customStyle="1" w:styleId="Footnote">
    <w:name w:val="Footnote"/>
    <w:basedOn w:val="Normal"/>
    <w:pPr>
      <w:spacing w:after="60"/>
    </w:pPr>
    <w:rPr>
      <w:color w:val="666666"/>
      <w:sz w:val="22"/>
    </w:rPr>
  </w:style>
  <w:style w:type="paragraph" w:customStyle="1" w:styleId="Listnumbered">
    <w:name w:val="List numbered"/>
    <w:rsid w:val="00171950"/>
    <w:pPr>
      <w:numPr>
        <w:numId w:val="3"/>
      </w:numPr>
      <w:spacing w:before="120" w:after="120" w:line="320" w:lineRule="exact"/>
      <w:ind w:left="357" w:hanging="357"/>
    </w:pPr>
    <w:rPr>
      <w:rFonts w:ascii="Arial" w:hAnsi="Arial"/>
      <w:sz w:val="24"/>
      <w:lang w:eastAsia="en-US"/>
    </w:rPr>
  </w:style>
  <w:style w:type="paragraph" w:customStyle="1" w:styleId="Listbullet3">
    <w:name w:val="List bullet3"/>
    <w:rsid w:val="00171950"/>
    <w:pPr>
      <w:tabs>
        <w:tab w:val="num" w:pos="1080"/>
      </w:tabs>
      <w:ind w:left="1985" w:hanging="284"/>
    </w:pPr>
    <w:rPr>
      <w:rFonts w:ascii="Arial" w:hAnsi="Arial"/>
      <w:sz w:val="24"/>
      <w:lang w:eastAsia="en-US"/>
    </w:rPr>
  </w:style>
  <w:style w:type="paragraph" w:customStyle="1" w:styleId="Notesexample">
    <w:name w:val="Notes/example"/>
    <w:basedOn w:val="Caption"/>
    <w:next w:val="Paragraphtext"/>
    <w:rsid w:val="003E6FF5"/>
    <w:pPr>
      <w:outlineLvl w:val="4"/>
    </w:pPr>
    <w:rPr>
      <w:color w:val="00D1AE"/>
      <w:sz w:val="22"/>
    </w:rPr>
  </w:style>
  <w:style w:type="paragraph" w:styleId="Caption">
    <w:name w:val="caption"/>
    <w:basedOn w:val="Normal"/>
    <w:next w:val="Normal"/>
    <w:qFormat/>
    <w:rsid w:val="00171950"/>
    <w:rPr>
      <w:b/>
      <w:bCs/>
      <w:sz w:val="20"/>
    </w:rPr>
  </w:style>
  <w:style w:type="paragraph" w:customStyle="1" w:styleId="RunningHeads">
    <w:name w:val="Running Heads"/>
    <w:basedOn w:val="Normal"/>
    <w:rsid w:val="00171950"/>
    <w:pPr>
      <w:spacing w:line="240" w:lineRule="exact"/>
    </w:pPr>
    <w:rPr>
      <w:b/>
      <w:color w:val="00D1AE"/>
      <w:sz w:val="20"/>
    </w:rPr>
  </w:style>
  <w:style w:type="paragraph" w:styleId="Footer">
    <w:name w:val="footer"/>
    <w:basedOn w:val="Normal"/>
    <w:semiHidden/>
    <w:pPr>
      <w:tabs>
        <w:tab w:val="center" w:pos="4153"/>
        <w:tab w:val="right" w:pos="8306"/>
      </w:tabs>
    </w:pPr>
    <w:rPr>
      <w:sz w:val="22"/>
    </w:rPr>
  </w:style>
  <w:style w:type="paragraph" w:styleId="Title">
    <w:name w:val="Title"/>
    <w:basedOn w:val="Normal"/>
    <w:qFormat/>
    <w:rsid w:val="008E1AC8"/>
    <w:pPr>
      <w:spacing w:after="240" w:line="840" w:lineRule="exact"/>
      <w:outlineLvl w:val="0"/>
    </w:pPr>
    <w:rPr>
      <w:rFonts w:cs="Times New Roman"/>
      <w:color w:val="01D1AE"/>
      <w:sz w:val="76"/>
    </w:rPr>
  </w:style>
  <w:style w:type="character" w:customStyle="1" w:styleId="Bold">
    <w:name w:val="Bold"/>
    <w:rPr>
      <w:b/>
    </w:rPr>
  </w:style>
  <w:style w:type="character" w:styleId="Hyperlink">
    <w:name w:val="Hyperlink"/>
    <w:uiPriority w:val="99"/>
    <w:semiHidden/>
    <w:rsid w:val="008E6704"/>
    <w:rPr>
      <w:rFonts w:ascii="Helvetica Neue" w:hAnsi="Helvetica Neue"/>
      <w:color w:val="0000FF"/>
      <w:sz w:val="24"/>
      <w:u w:val="single"/>
    </w:rPr>
  </w:style>
  <w:style w:type="paragraph" w:styleId="TOC1">
    <w:name w:val="toc 1"/>
    <w:basedOn w:val="Normal"/>
    <w:next w:val="Normal"/>
    <w:autoRedefine/>
    <w:uiPriority w:val="39"/>
    <w:rsid w:val="00044130"/>
    <w:pPr>
      <w:tabs>
        <w:tab w:val="left" w:pos="480"/>
        <w:tab w:val="right" w:leader="dot" w:pos="9923"/>
      </w:tabs>
      <w:ind w:right="140"/>
    </w:pPr>
  </w:style>
  <w:style w:type="paragraph" w:styleId="TOC2">
    <w:name w:val="toc 2"/>
    <w:basedOn w:val="Normal"/>
    <w:next w:val="Normal"/>
    <w:autoRedefine/>
    <w:uiPriority w:val="39"/>
    <w:rsid w:val="00792418"/>
    <w:pPr>
      <w:tabs>
        <w:tab w:val="left" w:pos="426"/>
        <w:tab w:val="right" w:leader="dot" w:pos="9923"/>
      </w:tabs>
    </w:pPr>
    <w:rPr>
      <w:noProof/>
      <w:color w:val="FF0000"/>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Italics">
    <w:name w:val="Italics"/>
    <w:rPr>
      <w:i/>
    </w:rPr>
  </w:style>
  <w:style w:type="paragraph" w:styleId="Subtitle">
    <w:name w:val="Subtitle"/>
    <w:basedOn w:val="Normal"/>
    <w:qFormat/>
    <w:rsid w:val="008E1AC8"/>
    <w:pPr>
      <w:spacing w:line="520" w:lineRule="exact"/>
      <w:outlineLvl w:val="1"/>
    </w:pPr>
    <w:rPr>
      <w:rFonts w:cs="Times New Roman"/>
      <w:sz w:val="44"/>
    </w:rPr>
  </w:style>
  <w:style w:type="paragraph" w:customStyle="1" w:styleId="Paragraphnumbered">
    <w:name w:val="Paragraph numbered"/>
    <w:basedOn w:val="Paragraphtext"/>
    <w:pPr>
      <w:numPr>
        <w:ilvl w:val="1"/>
        <w:numId w:val="2"/>
      </w:numPr>
      <w:ind w:left="794" w:hanging="794"/>
    </w:pPr>
  </w:style>
  <w:style w:type="paragraph" w:customStyle="1" w:styleId="ChptHead">
    <w:name w:val="Chpt Head"/>
    <w:basedOn w:val="ChapterHead"/>
    <w:next w:val="Paragraphtext"/>
    <w:pPr>
      <w:numPr>
        <w:numId w:val="2"/>
      </w:numPr>
      <w:ind w:left="357" w:hanging="357"/>
    </w:pPr>
  </w:style>
  <w:style w:type="paragraph" w:styleId="BalloonText">
    <w:name w:val="Balloon Text"/>
    <w:basedOn w:val="Normal"/>
    <w:semiHidden/>
    <w:rPr>
      <w:rFonts w:ascii="Tahoma" w:hAnsi="Tahoma" w:cs="Tahoma"/>
      <w:sz w:val="16"/>
      <w:szCs w:val="16"/>
    </w:rPr>
  </w:style>
  <w:style w:type="paragraph" w:styleId="Header">
    <w:name w:val="header"/>
    <w:basedOn w:val="Normal"/>
    <w:semiHidden/>
    <w:rsid w:val="003C7CDB"/>
    <w:pPr>
      <w:tabs>
        <w:tab w:val="center" w:pos="4153"/>
        <w:tab w:val="right" w:pos="8306"/>
      </w:tabs>
      <w:jc w:val="right"/>
    </w:pPr>
    <w:rPr>
      <w:color w:val="009966"/>
      <w:sz w:val="22"/>
    </w:rPr>
  </w:style>
  <w:style w:type="paragraph" w:styleId="FootnoteText">
    <w:name w:val="footnote text"/>
    <w:basedOn w:val="Normal"/>
    <w:link w:val="FootnoteTextChar"/>
    <w:uiPriority w:val="99"/>
    <w:semiHidden/>
    <w:rPr>
      <w:sz w:val="20"/>
    </w:rPr>
  </w:style>
  <w:style w:type="character" w:customStyle="1" w:styleId="FootnoteTextChar">
    <w:name w:val="Footnote Text Char"/>
    <w:basedOn w:val="DefaultParagraphFont"/>
    <w:link w:val="FootnoteText"/>
    <w:uiPriority w:val="99"/>
    <w:semiHidden/>
    <w:rsid w:val="000521CF"/>
    <w:rPr>
      <w:rFonts w:ascii="Arial" w:hAnsi="Arial" w:cs="Arial"/>
      <w:lang w:eastAsia="en-US"/>
    </w:rPr>
  </w:style>
  <w:style w:type="character" w:styleId="FootnoteReference">
    <w:name w:val="footnote reference"/>
    <w:uiPriority w:val="99"/>
    <w:semiHidden/>
    <w:rPr>
      <w:vertAlign w:val="superscript"/>
    </w:rPr>
  </w:style>
  <w:style w:type="character" w:styleId="PageNumber">
    <w:name w:val="page number"/>
    <w:basedOn w:val="DefaultParagraphFont"/>
    <w:semiHidden/>
  </w:style>
  <w:style w:type="character" w:customStyle="1" w:styleId="colour">
    <w:name w:val="colour"/>
    <w:uiPriority w:val="1"/>
    <w:qFormat/>
    <w:rsid w:val="00DA7331"/>
    <w:rPr>
      <w:color w:val="01D1AE"/>
    </w:rPr>
  </w:style>
  <w:style w:type="table" w:styleId="TableGrid">
    <w:name w:val="Table Grid"/>
    <w:basedOn w:val="TableNormal"/>
    <w:uiPriority w:val="59"/>
    <w:rsid w:val="00DC06B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06B1"/>
    <w:pPr>
      <w:spacing w:before="0" w:after="0" w:line="240" w:lineRule="auto"/>
      <w:ind w:left="720"/>
      <w:contextualSpacing/>
    </w:pPr>
    <w:rPr>
      <w:rFonts w:ascii="Times New Roman" w:hAnsi="Times New Roman" w:cs="Times New Roman"/>
      <w:szCs w:val="24"/>
      <w:lang w:eastAsia="en-GB"/>
    </w:rPr>
  </w:style>
  <w:style w:type="paragraph" w:styleId="NoSpacing">
    <w:name w:val="No Spacing"/>
    <w:uiPriority w:val="1"/>
    <w:qFormat/>
    <w:rsid w:val="00951633"/>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E011EE"/>
    <w:rPr>
      <w:sz w:val="16"/>
      <w:szCs w:val="16"/>
    </w:rPr>
  </w:style>
  <w:style w:type="paragraph" w:styleId="CommentText">
    <w:name w:val="annotation text"/>
    <w:basedOn w:val="Normal"/>
    <w:link w:val="CommentTextChar"/>
    <w:uiPriority w:val="99"/>
    <w:semiHidden/>
    <w:unhideWhenUsed/>
    <w:rsid w:val="00E011EE"/>
    <w:pPr>
      <w:spacing w:line="240" w:lineRule="auto"/>
    </w:pPr>
    <w:rPr>
      <w:sz w:val="20"/>
    </w:rPr>
  </w:style>
  <w:style w:type="character" w:customStyle="1" w:styleId="CommentTextChar">
    <w:name w:val="Comment Text Char"/>
    <w:basedOn w:val="DefaultParagraphFont"/>
    <w:link w:val="CommentText"/>
    <w:uiPriority w:val="99"/>
    <w:semiHidden/>
    <w:rsid w:val="00E011EE"/>
    <w:rPr>
      <w:rFonts w:ascii="Arial" w:hAnsi="Arial" w:cs="Arial"/>
      <w:lang w:eastAsia="en-US"/>
    </w:rPr>
  </w:style>
  <w:style w:type="paragraph" w:styleId="CommentSubject">
    <w:name w:val="annotation subject"/>
    <w:basedOn w:val="CommentText"/>
    <w:next w:val="CommentText"/>
    <w:link w:val="CommentSubjectChar"/>
    <w:uiPriority w:val="99"/>
    <w:semiHidden/>
    <w:unhideWhenUsed/>
    <w:rsid w:val="00E011EE"/>
    <w:rPr>
      <w:b/>
      <w:bCs/>
    </w:rPr>
  </w:style>
  <w:style w:type="character" w:customStyle="1" w:styleId="CommentSubjectChar">
    <w:name w:val="Comment Subject Char"/>
    <w:basedOn w:val="CommentTextChar"/>
    <w:link w:val="CommentSubject"/>
    <w:uiPriority w:val="99"/>
    <w:semiHidden/>
    <w:rsid w:val="00E011EE"/>
    <w:rPr>
      <w:rFonts w:ascii="Arial" w:hAnsi="Arial" w:cs="Arial"/>
      <w:b/>
      <w:bCs/>
      <w:lang w:eastAsia="en-US"/>
    </w:rPr>
  </w:style>
  <w:style w:type="table" w:customStyle="1" w:styleId="TableGrid1">
    <w:name w:val="Table Grid1"/>
    <w:basedOn w:val="TableNormal"/>
    <w:next w:val="TableGrid"/>
    <w:uiPriority w:val="59"/>
    <w:rsid w:val="00C55CC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E90002"/>
    <w:pPr>
      <w:numPr>
        <w:numId w:val="5"/>
      </w:numPr>
      <w:contextualSpacing/>
    </w:pPr>
  </w:style>
  <w:style w:type="paragraph" w:customStyle="1" w:styleId="Default">
    <w:name w:val="Default"/>
    <w:rsid w:val="001F2E0B"/>
    <w:pPr>
      <w:autoSpaceDE w:val="0"/>
      <w:autoSpaceDN w:val="0"/>
      <w:adjustRightInd w:val="0"/>
    </w:pPr>
    <w:rPr>
      <w:rFonts w:ascii="Calibri" w:hAnsi="Calibri" w:cs="Calibri"/>
      <w:color w:val="000000"/>
      <w:sz w:val="24"/>
      <w:szCs w:val="24"/>
    </w:rPr>
  </w:style>
  <w:style w:type="paragraph" w:customStyle="1" w:styleId="xl65">
    <w:name w:val="xl65"/>
    <w:basedOn w:val="Normal"/>
    <w:rsid w:val="00E52967"/>
    <w:pPr>
      <w:spacing w:before="100" w:beforeAutospacing="1" w:after="100" w:afterAutospacing="1" w:line="240" w:lineRule="auto"/>
    </w:pPr>
    <w:rPr>
      <w:rFonts w:ascii="Times New Roman" w:hAnsi="Times New Roman" w:cs="Times New Roman"/>
      <w:szCs w:val="24"/>
      <w:lang w:eastAsia="en-GB"/>
    </w:rPr>
  </w:style>
  <w:style w:type="paragraph" w:customStyle="1" w:styleId="xl66">
    <w:name w:val="xl66"/>
    <w:basedOn w:val="Normal"/>
    <w:rsid w:val="00E52967"/>
    <w:pPr>
      <w:spacing w:before="100" w:beforeAutospacing="1" w:after="100" w:afterAutospacing="1" w:line="240" w:lineRule="auto"/>
    </w:pPr>
    <w:rPr>
      <w:rFonts w:ascii="Times New Roman" w:hAnsi="Times New Roman" w:cs="Times New Roman"/>
      <w:b/>
      <w:bCs/>
      <w:szCs w:val="24"/>
      <w:lang w:eastAsia="en-GB"/>
    </w:rPr>
  </w:style>
  <w:style w:type="paragraph" w:customStyle="1" w:styleId="xl67">
    <w:name w:val="xl67"/>
    <w:basedOn w:val="Normal"/>
    <w:rsid w:val="00E52967"/>
    <w:pPr>
      <w:spacing w:before="100" w:beforeAutospacing="1" w:after="100" w:afterAutospacing="1" w:line="240" w:lineRule="auto"/>
    </w:pPr>
    <w:rPr>
      <w:rFonts w:ascii="Times New Roman" w:hAnsi="Times New Roman" w:cs="Times New Roman"/>
      <w:b/>
      <w:bCs/>
      <w:szCs w:val="24"/>
      <w:lang w:eastAsia="en-GB"/>
    </w:rPr>
  </w:style>
  <w:style w:type="paragraph" w:customStyle="1" w:styleId="xl68">
    <w:name w:val="xl68"/>
    <w:basedOn w:val="Normal"/>
    <w:rsid w:val="00E52967"/>
    <w:pPr>
      <w:spacing w:before="100" w:beforeAutospacing="1" w:after="100" w:afterAutospacing="1" w:line="240" w:lineRule="auto"/>
    </w:pPr>
    <w:rPr>
      <w:rFonts w:ascii="Times New Roman" w:hAnsi="Times New Roman" w:cs="Times New Roman"/>
      <w:b/>
      <w:bCs/>
      <w:szCs w:val="24"/>
      <w:lang w:eastAsia="en-GB"/>
    </w:rPr>
  </w:style>
  <w:style w:type="paragraph" w:customStyle="1" w:styleId="xl69">
    <w:name w:val="xl69"/>
    <w:basedOn w:val="Normal"/>
    <w:rsid w:val="00E52967"/>
    <w:pPr>
      <w:spacing w:before="100" w:beforeAutospacing="1" w:after="100" w:afterAutospacing="1" w:line="240" w:lineRule="auto"/>
    </w:pPr>
    <w:rPr>
      <w:rFonts w:ascii="Times New Roman" w:hAnsi="Times New Roman" w:cs="Times New Roman"/>
      <w:b/>
      <w:bCs/>
      <w:szCs w:val="24"/>
      <w:lang w:eastAsia="en-GB"/>
    </w:rPr>
  </w:style>
  <w:style w:type="paragraph" w:customStyle="1" w:styleId="xl70">
    <w:name w:val="xl70"/>
    <w:basedOn w:val="Normal"/>
    <w:rsid w:val="00E52967"/>
    <w:pPr>
      <w:pBdr>
        <w:top w:val="single" w:sz="4" w:space="0" w:color="auto"/>
        <w:bottom w:val="single" w:sz="4" w:space="0" w:color="auto"/>
      </w:pBdr>
      <w:spacing w:before="100" w:beforeAutospacing="1" w:after="100" w:afterAutospacing="1" w:line="240" w:lineRule="auto"/>
    </w:pPr>
    <w:rPr>
      <w:rFonts w:ascii="Times New Roman" w:hAnsi="Times New Roman" w:cs="Times New Roman"/>
      <w:b/>
      <w:bCs/>
      <w:szCs w:val="24"/>
      <w:lang w:eastAsia="en-GB"/>
    </w:rPr>
  </w:style>
  <w:style w:type="paragraph" w:customStyle="1" w:styleId="xl71">
    <w:name w:val="xl71"/>
    <w:basedOn w:val="Normal"/>
    <w:rsid w:val="00E52967"/>
    <w:pPr>
      <w:pBdr>
        <w:top w:val="single" w:sz="4" w:space="0" w:color="auto"/>
        <w:bottom w:val="single" w:sz="4" w:space="0" w:color="auto"/>
      </w:pBdr>
      <w:spacing w:before="100" w:beforeAutospacing="1" w:after="100" w:afterAutospacing="1" w:line="240" w:lineRule="auto"/>
      <w:jc w:val="right"/>
    </w:pPr>
    <w:rPr>
      <w:rFonts w:ascii="Times New Roman" w:hAnsi="Times New Roman" w:cs="Times New Roman"/>
      <w:b/>
      <w:bCs/>
      <w:szCs w:val="24"/>
      <w:lang w:eastAsia="en-GB"/>
    </w:rPr>
  </w:style>
  <w:style w:type="paragraph" w:customStyle="1" w:styleId="xl72">
    <w:name w:val="xl72"/>
    <w:basedOn w:val="Normal"/>
    <w:rsid w:val="00E52967"/>
    <w:pPr>
      <w:pBdr>
        <w:top w:val="single" w:sz="4" w:space="0" w:color="auto"/>
        <w:bottom w:val="single" w:sz="4" w:space="0" w:color="auto"/>
      </w:pBdr>
      <w:spacing w:before="100" w:beforeAutospacing="1" w:after="100" w:afterAutospacing="1" w:line="240" w:lineRule="auto"/>
      <w:jc w:val="right"/>
    </w:pPr>
    <w:rPr>
      <w:rFonts w:ascii="Times New Roman" w:hAnsi="Times New Roman" w:cs="Times New Roman"/>
      <w:b/>
      <w:bCs/>
      <w:szCs w:val="24"/>
      <w:lang w:eastAsia="en-GB"/>
    </w:rPr>
  </w:style>
  <w:style w:type="paragraph" w:customStyle="1" w:styleId="xl73">
    <w:name w:val="xl73"/>
    <w:basedOn w:val="Normal"/>
    <w:rsid w:val="00E52967"/>
    <w:pPr>
      <w:pBdr>
        <w:top w:val="single" w:sz="4" w:space="0" w:color="auto"/>
        <w:bottom w:val="single" w:sz="4" w:space="0" w:color="auto"/>
      </w:pBdr>
      <w:spacing w:before="100" w:beforeAutospacing="1" w:after="100" w:afterAutospacing="1" w:line="240" w:lineRule="auto"/>
      <w:jc w:val="right"/>
    </w:pPr>
    <w:rPr>
      <w:rFonts w:ascii="Times New Roman" w:hAnsi="Times New Roman" w:cs="Times New Roman"/>
      <w:b/>
      <w:bCs/>
      <w:szCs w:val="24"/>
      <w:lang w:eastAsia="en-GB"/>
    </w:rPr>
  </w:style>
  <w:style w:type="paragraph" w:customStyle="1" w:styleId="xl74">
    <w:name w:val="xl74"/>
    <w:basedOn w:val="Normal"/>
    <w:rsid w:val="00E52967"/>
    <w:pPr>
      <w:spacing w:before="100" w:beforeAutospacing="1" w:after="100" w:afterAutospacing="1" w:line="240" w:lineRule="auto"/>
    </w:pPr>
    <w:rPr>
      <w:rFonts w:ascii="Times New Roman" w:hAnsi="Times New Roman" w:cs="Times New Roman"/>
      <w:b/>
      <w:bCs/>
      <w:szCs w:val="24"/>
      <w:lang w:eastAsia="en-GB"/>
    </w:rPr>
  </w:style>
  <w:style w:type="paragraph" w:customStyle="1" w:styleId="xl75">
    <w:name w:val="xl75"/>
    <w:basedOn w:val="Normal"/>
    <w:rsid w:val="00E52967"/>
    <w:pPr>
      <w:spacing w:before="100" w:beforeAutospacing="1" w:after="100" w:afterAutospacing="1" w:line="240" w:lineRule="auto"/>
    </w:pPr>
    <w:rPr>
      <w:rFonts w:ascii="Times New Roman" w:hAnsi="Times New Roman" w:cs="Times New Roman"/>
      <w:b/>
      <w:bCs/>
      <w:szCs w:val="24"/>
      <w:lang w:eastAsia="en-GB"/>
    </w:rPr>
  </w:style>
  <w:style w:type="paragraph" w:customStyle="1" w:styleId="xl76">
    <w:name w:val="xl76"/>
    <w:basedOn w:val="Normal"/>
    <w:rsid w:val="00E52967"/>
    <w:pPr>
      <w:pBdr>
        <w:top w:val="single" w:sz="4" w:space="0" w:color="auto"/>
        <w:bottom w:val="single" w:sz="4" w:space="0" w:color="auto"/>
      </w:pBdr>
      <w:spacing w:before="100" w:beforeAutospacing="1" w:after="100" w:afterAutospacing="1" w:line="240" w:lineRule="auto"/>
    </w:pPr>
    <w:rPr>
      <w:rFonts w:ascii="Times New Roman" w:hAnsi="Times New Roman" w:cs="Times New Roman"/>
      <w:b/>
      <w:bCs/>
      <w:szCs w:val="24"/>
      <w:lang w:eastAsia="en-GB"/>
    </w:rPr>
  </w:style>
  <w:style w:type="paragraph" w:customStyle="1" w:styleId="xl77">
    <w:name w:val="xl77"/>
    <w:basedOn w:val="Normal"/>
    <w:rsid w:val="00E52967"/>
    <w:pPr>
      <w:pBdr>
        <w:top w:val="single" w:sz="4" w:space="0" w:color="auto"/>
        <w:bottom w:val="single" w:sz="4" w:space="0" w:color="auto"/>
      </w:pBdr>
      <w:spacing w:before="100" w:beforeAutospacing="1" w:after="100" w:afterAutospacing="1" w:line="240" w:lineRule="auto"/>
    </w:pPr>
    <w:rPr>
      <w:rFonts w:ascii="Times New Roman" w:hAnsi="Times New Roman" w:cs="Times New Roman"/>
      <w:b/>
      <w:bCs/>
      <w:szCs w:val="24"/>
      <w:lang w:eastAsia="en-GB"/>
    </w:rPr>
  </w:style>
  <w:style w:type="paragraph" w:customStyle="1" w:styleId="xl78">
    <w:name w:val="xl78"/>
    <w:basedOn w:val="Normal"/>
    <w:rsid w:val="00E52967"/>
    <w:pPr>
      <w:pBdr>
        <w:bottom w:val="single" w:sz="4" w:space="0" w:color="auto"/>
      </w:pBdr>
      <w:spacing w:before="100" w:beforeAutospacing="1" w:after="100" w:afterAutospacing="1" w:line="240" w:lineRule="auto"/>
    </w:pPr>
    <w:rPr>
      <w:rFonts w:ascii="Times New Roman" w:hAnsi="Times New Roman" w:cs="Times New Roman"/>
      <w:b/>
      <w:bCs/>
      <w:szCs w:val="24"/>
      <w:lang w:eastAsia="en-GB"/>
    </w:rPr>
  </w:style>
  <w:style w:type="paragraph" w:customStyle="1" w:styleId="xl79">
    <w:name w:val="xl79"/>
    <w:basedOn w:val="Normal"/>
    <w:rsid w:val="00E52967"/>
    <w:pPr>
      <w:pBdr>
        <w:bottom w:val="single" w:sz="4" w:space="0" w:color="auto"/>
      </w:pBdr>
      <w:spacing w:before="100" w:beforeAutospacing="1" w:after="100" w:afterAutospacing="1" w:line="240" w:lineRule="auto"/>
    </w:pPr>
    <w:rPr>
      <w:rFonts w:ascii="Times New Roman" w:hAnsi="Times New Roman" w:cs="Times New Roman"/>
      <w:b/>
      <w:bCs/>
      <w:szCs w:val="24"/>
      <w:lang w:eastAsia="en-GB"/>
    </w:rPr>
  </w:style>
  <w:style w:type="paragraph" w:customStyle="1" w:styleId="xl80">
    <w:name w:val="xl80"/>
    <w:basedOn w:val="Normal"/>
    <w:rsid w:val="00E52967"/>
    <w:pPr>
      <w:pBdr>
        <w:bottom w:val="single" w:sz="4" w:space="0" w:color="auto"/>
      </w:pBdr>
      <w:spacing w:before="100" w:beforeAutospacing="1" w:after="100" w:afterAutospacing="1" w:line="240" w:lineRule="auto"/>
    </w:pPr>
    <w:rPr>
      <w:rFonts w:ascii="Times New Roman" w:hAnsi="Times New Roman" w:cs="Times New Roman"/>
      <w:b/>
      <w:bCs/>
      <w:szCs w:val="24"/>
      <w:lang w:eastAsia="en-GB"/>
    </w:rPr>
  </w:style>
  <w:style w:type="paragraph" w:customStyle="1" w:styleId="xl81">
    <w:name w:val="xl81"/>
    <w:basedOn w:val="Normal"/>
    <w:rsid w:val="00E52967"/>
    <w:pPr>
      <w:pBdr>
        <w:bottom w:val="single" w:sz="4" w:space="0" w:color="auto"/>
      </w:pBdr>
      <w:spacing w:before="100" w:beforeAutospacing="1" w:after="100" w:afterAutospacing="1" w:line="240" w:lineRule="auto"/>
    </w:pPr>
    <w:rPr>
      <w:rFonts w:ascii="Times New Roman" w:hAnsi="Times New Roman" w:cs="Times New Roman"/>
      <w:szCs w:val="24"/>
      <w:lang w:eastAsia="en-GB"/>
    </w:rPr>
  </w:style>
  <w:style w:type="paragraph" w:customStyle="1" w:styleId="xl82">
    <w:name w:val="xl82"/>
    <w:basedOn w:val="Normal"/>
    <w:rsid w:val="00E52967"/>
    <w:pPr>
      <w:pBdr>
        <w:bottom w:val="single" w:sz="4" w:space="0" w:color="auto"/>
      </w:pBdr>
      <w:spacing w:before="100" w:beforeAutospacing="1" w:after="100" w:afterAutospacing="1" w:line="240" w:lineRule="auto"/>
    </w:pPr>
    <w:rPr>
      <w:rFonts w:ascii="Times New Roman" w:hAnsi="Times New Roman" w:cs="Times New Roman"/>
      <w:szCs w:val="24"/>
      <w:lang w:eastAsia="en-GB"/>
    </w:rPr>
  </w:style>
  <w:style w:type="paragraph" w:customStyle="1" w:styleId="xl83">
    <w:name w:val="xl83"/>
    <w:basedOn w:val="Normal"/>
    <w:rsid w:val="00E52967"/>
    <w:pPr>
      <w:pBdr>
        <w:bottom w:val="single" w:sz="4" w:space="0" w:color="auto"/>
      </w:pBdr>
      <w:spacing w:before="100" w:beforeAutospacing="1" w:after="100" w:afterAutospacing="1" w:line="240" w:lineRule="auto"/>
    </w:pPr>
    <w:rPr>
      <w:rFonts w:ascii="Times New Roman" w:hAnsi="Times New Roman" w:cs="Times New Roman"/>
      <w:szCs w:val="24"/>
      <w:lang w:eastAsia="en-GB"/>
    </w:rPr>
  </w:style>
  <w:style w:type="numbering" w:customStyle="1" w:styleId="NoList1">
    <w:name w:val="No List1"/>
    <w:next w:val="NoList"/>
    <w:uiPriority w:val="99"/>
    <w:semiHidden/>
    <w:unhideWhenUsed/>
    <w:rsid w:val="001866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56298"/>
    <w:pPr>
      <w:spacing w:before="120" w:after="120" w:line="280" w:lineRule="exact"/>
    </w:pPr>
    <w:rPr>
      <w:rFonts w:ascii="Arial" w:hAnsi="Arial" w:cs="Arial"/>
      <w:sz w:val="24"/>
      <w:lang w:eastAsia="en-US"/>
    </w:rPr>
  </w:style>
  <w:style w:type="paragraph" w:styleId="Heading1">
    <w:name w:val="heading 1"/>
    <w:basedOn w:val="Normal"/>
    <w:next w:val="Paragraphtext"/>
    <w:link w:val="Heading1Char"/>
    <w:qFormat/>
    <w:rsid w:val="00DA7331"/>
    <w:pPr>
      <w:keepNext/>
      <w:spacing w:before="240" w:line="380" w:lineRule="exact"/>
      <w:outlineLvl w:val="0"/>
    </w:pPr>
    <w:rPr>
      <w:color w:val="00D1AE"/>
      <w:sz w:val="32"/>
    </w:rPr>
  </w:style>
  <w:style w:type="paragraph" w:styleId="Heading2">
    <w:name w:val="heading 2"/>
    <w:basedOn w:val="Normal"/>
    <w:next w:val="Normal"/>
    <w:qFormat/>
    <w:rsid w:val="00171950"/>
    <w:pPr>
      <w:spacing w:before="240"/>
      <w:outlineLvl w:val="1"/>
    </w:pPr>
    <w:rPr>
      <w:b/>
      <w:color w:val="00D1AE"/>
    </w:rPr>
  </w:style>
  <w:style w:type="paragraph" w:styleId="Heading3">
    <w:name w:val="heading 3"/>
    <w:basedOn w:val="Normal"/>
    <w:next w:val="Normal"/>
    <w:link w:val="Heading3Char"/>
    <w:qFormat/>
    <w:rsid w:val="00171950"/>
    <w:pPr>
      <w:outlineLvl w:val="2"/>
    </w:pPr>
    <w:rPr>
      <w:b/>
    </w:rPr>
  </w:style>
  <w:style w:type="paragraph" w:styleId="Heading4">
    <w:name w:val="heading 4"/>
    <w:basedOn w:val="Normal"/>
    <w:next w:val="Normal"/>
    <w:qFormat/>
    <w:rsid w:val="003E6FF5"/>
    <w:pPr>
      <w:outlineLvl w:val="3"/>
    </w:pPr>
    <w:rPr>
      <w:color w:val="00D1AE"/>
    </w:rPr>
  </w:style>
  <w:style w:type="paragraph" w:styleId="Heading5">
    <w:name w:val="heading 5"/>
    <w:basedOn w:val="Normal"/>
    <w:next w:val="Normal"/>
    <w:qFormat/>
    <w:pPr>
      <w:spacing w:before="240" w:after="60"/>
      <w:outlineLvl w:val="4"/>
    </w:pPr>
    <w:rPr>
      <w:bCs/>
      <w:i/>
      <w:iCs/>
      <w:szCs w:val="26"/>
    </w:rPr>
  </w:style>
  <w:style w:type="paragraph" w:styleId="Heading6">
    <w:name w:val="heading 6"/>
    <w:basedOn w:val="Normal"/>
    <w:next w:val="Normal"/>
    <w:link w:val="Heading6Char"/>
    <w:uiPriority w:val="9"/>
    <w:qFormat/>
    <w:rsid w:val="00171950"/>
    <w:pPr>
      <w:spacing w:before="240" w:after="60"/>
      <w:outlineLvl w:val="5"/>
    </w:pPr>
    <w:rPr>
      <w:rFonts w:eastAsia="MS Mincho" w:cs="Times New Roman"/>
      <w:b/>
      <w:bCs/>
      <w:sz w:val="22"/>
      <w:szCs w:val="22"/>
    </w:rPr>
  </w:style>
  <w:style w:type="paragraph" w:styleId="Heading7">
    <w:name w:val="heading 7"/>
    <w:basedOn w:val="Normal"/>
    <w:next w:val="Normal"/>
    <w:link w:val="Heading7Char"/>
    <w:uiPriority w:val="9"/>
    <w:qFormat/>
    <w:rsid w:val="00171950"/>
    <w:pPr>
      <w:spacing w:before="240" w:after="60"/>
      <w:outlineLvl w:val="6"/>
    </w:pPr>
    <w:rPr>
      <w:rFonts w:eastAsia="MS Mincho" w:cs="Times New Roman"/>
      <w:szCs w:val="24"/>
    </w:rPr>
  </w:style>
  <w:style w:type="paragraph" w:styleId="Heading8">
    <w:name w:val="heading 8"/>
    <w:basedOn w:val="Normal"/>
    <w:next w:val="Normal"/>
    <w:link w:val="Heading8Char"/>
    <w:uiPriority w:val="9"/>
    <w:unhideWhenUsed/>
    <w:qFormat/>
    <w:rsid w:val="00E16E91"/>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E16E91"/>
    <w:pPr>
      <w:keepNext/>
      <w:keepLines/>
      <w:spacing w:before="200" w:after="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text">
    <w:name w:val="Paragraph text"/>
    <w:basedOn w:val="Normal"/>
    <w:qFormat/>
    <w:rsid w:val="004D5D49"/>
    <w:rPr>
      <w:rFonts w:cs="Times New Roman"/>
    </w:rPr>
  </w:style>
  <w:style w:type="character" w:customStyle="1" w:styleId="Heading1Char">
    <w:name w:val="Heading 1 Char"/>
    <w:basedOn w:val="DefaultParagraphFont"/>
    <w:link w:val="Heading1"/>
    <w:rsid w:val="000521CF"/>
    <w:rPr>
      <w:rFonts w:ascii="Arial" w:hAnsi="Arial" w:cs="Arial"/>
      <w:color w:val="00D1AE"/>
      <w:sz w:val="32"/>
      <w:lang w:eastAsia="en-US"/>
    </w:rPr>
  </w:style>
  <w:style w:type="character" w:customStyle="1" w:styleId="Heading3Char">
    <w:name w:val="Heading 3 Char"/>
    <w:basedOn w:val="DefaultParagraphFont"/>
    <w:link w:val="Heading3"/>
    <w:rsid w:val="00DC06B1"/>
    <w:rPr>
      <w:rFonts w:ascii="Arial" w:hAnsi="Arial" w:cs="Arial"/>
      <w:b/>
      <w:sz w:val="24"/>
      <w:lang w:eastAsia="en-US"/>
    </w:rPr>
  </w:style>
  <w:style w:type="character" w:customStyle="1" w:styleId="Heading6Char">
    <w:name w:val="Heading 6 Char"/>
    <w:link w:val="Heading6"/>
    <w:uiPriority w:val="9"/>
    <w:rsid w:val="00171950"/>
    <w:rPr>
      <w:rFonts w:ascii="Arial" w:eastAsia="MS Mincho" w:hAnsi="Arial"/>
      <w:b/>
      <w:bCs/>
      <w:sz w:val="22"/>
      <w:szCs w:val="22"/>
    </w:rPr>
  </w:style>
  <w:style w:type="character" w:customStyle="1" w:styleId="Heading7Char">
    <w:name w:val="Heading 7 Char"/>
    <w:link w:val="Heading7"/>
    <w:uiPriority w:val="9"/>
    <w:semiHidden/>
    <w:rsid w:val="00171950"/>
    <w:rPr>
      <w:rFonts w:ascii="Arial" w:eastAsia="MS Mincho" w:hAnsi="Arial" w:cs="Times New Roman"/>
      <w:sz w:val="24"/>
      <w:szCs w:val="24"/>
    </w:rPr>
  </w:style>
  <w:style w:type="character" w:customStyle="1" w:styleId="Heading8Char">
    <w:name w:val="Heading 8 Char"/>
    <w:basedOn w:val="DefaultParagraphFont"/>
    <w:link w:val="Heading8"/>
    <w:uiPriority w:val="9"/>
    <w:rsid w:val="00E16E91"/>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rsid w:val="00E16E91"/>
    <w:rPr>
      <w:rFonts w:asciiTheme="majorHAnsi" w:eastAsiaTheme="majorEastAsia" w:hAnsiTheme="majorHAnsi" w:cstheme="majorBidi"/>
      <w:i/>
      <w:iCs/>
      <w:color w:val="404040" w:themeColor="text1" w:themeTint="BF"/>
      <w:lang w:eastAsia="en-US"/>
    </w:rPr>
  </w:style>
  <w:style w:type="paragraph" w:customStyle="1" w:styleId="Listbullet2">
    <w:name w:val="List bullet2"/>
    <w:rsid w:val="00171950"/>
    <w:pPr>
      <w:numPr>
        <w:ilvl w:val="1"/>
        <w:numId w:val="1"/>
      </w:numPr>
      <w:tabs>
        <w:tab w:val="clear" w:pos="720"/>
        <w:tab w:val="num" w:pos="360"/>
      </w:tabs>
      <w:ind w:left="1418" w:hanging="284"/>
    </w:pPr>
    <w:rPr>
      <w:rFonts w:ascii="Arial" w:hAnsi="Arial"/>
      <w:sz w:val="24"/>
      <w:lang w:eastAsia="en-US"/>
    </w:rPr>
  </w:style>
  <w:style w:type="paragraph" w:customStyle="1" w:styleId="Figureschartstitle">
    <w:name w:val="Figures/charts title"/>
    <w:basedOn w:val="Introduction"/>
    <w:qFormat/>
    <w:rsid w:val="00171950"/>
    <w:pPr>
      <w:spacing w:before="120" w:after="60" w:line="240" w:lineRule="auto"/>
      <w:outlineLvl w:val="5"/>
    </w:pPr>
    <w:rPr>
      <w:sz w:val="22"/>
    </w:rPr>
  </w:style>
  <w:style w:type="paragraph" w:customStyle="1" w:styleId="Introduction">
    <w:name w:val="Introduction"/>
    <w:basedOn w:val="Normal"/>
    <w:next w:val="Paragraphtext"/>
    <w:rsid w:val="00DD0BE1"/>
    <w:pPr>
      <w:spacing w:before="240" w:line="380" w:lineRule="exact"/>
    </w:pPr>
    <w:rPr>
      <w:rFonts w:cs="Times New Roman"/>
      <w:color w:val="01D1AE"/>
      <w:sz w:val="32"/>
    </w:rPr>
  </w:style>
  <w:style w:type="paragraph" w:customStyle="1" w:styleId="Titlepagetext">
    <w:name w:val="Title page text"/>
    <w:basedOn w:val="Normal"/>
    <w:next w:val="Paragraphtext"/>
    <w:rPr>
      <w:b/>
    </w:rPr>
  </w:style>
  <w:style w:type="character" w:styleId="FollowedHyperlink">
    <w:name w:val="FollowedHyperlink"/>
    <w:uiPriority w:val="99"/>
    <w:semiHidden/>
    <w:rPr>
      <w:rFonts w:ascii="Arial" w:hAnsi="Arial"/>
      <w:color w:val="800080"/>
      <w:sz w:val="24"/>
      <w:u w:val="single"/>
    </w:rPr>
  </w:style>
  <w:style w:type="paragraph" w:customStyle="1" w:styleId="Listalpha">
    <w:name w:val="List alpha"/>
    <w:rsid w:val="00171950"/>
    <w:pPr>
      <w:numPr>
        <w:numId w:val="4"/>
      </w:numPr>
      <w:spacing w:before="120" w:after="120" w:line="320" w:lineRule="exact"/>
      <w:ind w:left="357" w:hanging="357"/>
    </w:pPr>
    <w:rPr>
      <w:rFonts w:ascii="Arial" w:hAnsi="Arial"/>
      <w:sz w:val="24"/>
      <w:lang w:eastAsia="en-US"/>
    </w:rPr>
  </w:style>
  <w:style w:type="paragraph" w:customStyle="1" w:styleId="Listbullet1">
    <w:name w:val="List bullet1"/>
    <w:rsid w:val="00171950"/>
    <w:pPr>
      <w:numPr>
        <w:numId w:val="1"/>
      </w:numPr>
      <w:spacing w:before="120" w:after="120" w:line="320" w:lineRule="exact"/>
    </w:pPr>
    <w:rPr>
      <w:rFonts w:ascii="Arial" w:hAnsi="Arial"/>
      <w:sz w:val="24"/>
      <w:lang w:eastAsia="en-US"/>
    </w:rPr>
  </w:style>
  <w:style w:type="paragraph" w:customStyle="1" w:styleId="ChapterHead">
    <w:name w:val="Chapter Head"/>
    <w:basedOn w:val="Normal"/>
    <w:next w:val="Introduction"/>
    <w:qFormat/>
    <w:rsid w:val="00DA7331"/>
    <w:pPr>
      <w:keepNext/>
      <w:spacing w:after="360" w:line="540" w:lineRule="exact"/>
      <w:outlineLvl w:val="0"/>
    </w:pPr>
    <w:rPr>
      <w:rFonts w:cs="Times New Roman"/>
      <w:color w:val="00D1AE"/>
      <w:sz w:val="50"/>
    </w:rPr>
  </w:style>
  <w:style w:type="paragraph" w:customStyle="1" w:styleId="Footnote">
    <w:name w:val="Footnote"/>
    <w:basedOn w:val="Normal"/>
    <w:pPr>
      <w:spacing w:after="60"/>
    </w:pPr>
    <w:rPr>
      <w:color w:val="666666"/>
      <w:sz w:val="22"/>
    </w:rPr>
  </w:style>
  <w:style w:type="paragraph" w:customStyle="1" w:styleId="Listnumbered">
    <w:name w:val="List numbered"/>
    <w:rsid w:val="00171950"/>
    <w:pPr>
      <w:numPr>
        <w:numId w:val="3"/>
      </w:numPr>
      <w:spacing w:before="120" w:after="120" w:line="320" w:lineRule="exact"/>
      <w:ind w:left="357" w:hanging="357"/>
    </w:pPr>
    <w:rPr>
      <w:rFonts w:ascii="Arial" w:hAnsi="Arial"/>
      <w:sz w:val="24"/>
      <w:lang w:eastAsia="en-US"/>
    </w:rPr>
  </w:style>
  <w:style w:type="paragraph" w:customStyle="1" w:styleId="Listbullet3">
    <w:name w:val="List bullet3"/>
    <w:rsid w:val="00171950"/>
    <w:pPr>
      <w:tabs>
        <w:tab w:val="num" w:pos="1080"/>
      </w:tabs>
      <w:ind w:left="1985" w:hanging="284"/>
    </w:pPr>
    <w:rPr>
      <w:rFonts w:ascii="Arial" w:hAnsi="Arial"/>
      <w:sz w:val="24"/>
      <w:lang w:eastAsia="en-US"/>
    </w:rPr>
  </w:style>
  <w:style w:type="paragraph" w:customStyle="1" w:styleId="Notesexample">
    <w:name w:val="Notes/example"/>
    <w:basedOn w:val="Caption"/>
    <w:next w:val="Paragraphtext"/>
    <w:rsid w:val="003E6FF5"/>
    <w:pPr>
      <w:outlineLvl w:val="4"/>
    </w:pPr>
    <w:rPr>
      <w:color w:val="00D1AE"/>
      <w:sz w:val="22"/>
    </w:rPr>
  </w:style>
  <w:style w:type="paragraph" w:styleId="Caption">
    <w:name w:val="caption"/>
    <w:basedOn w:val="Normal"/>
    <w:next w:val="Normal"/>
    <w:qFormat/>
    <w:rsid w:val="00171950"/>
    <w:rPr>
      <w:b/>
      <w:bCs/>
      <w:sz w:val="20"/>
    </w:rPr>
  </w:style>
  <w:style w:type="paragraph" w:customStyle="1" w:styleId="RunningHeads">
    <w:name w:val="Running Heads"/>
    <w:basedOn w:val="Normal"/>
    <w:rsid w:val="00171950"/>
    <w:pPr>
      <w:spacing w:line="240" w:lineRule="exact"/>
    </w:pPr>
    <w:rPr>
      <w:b/>
      <w:color w:val="00D1AE"/>
      <w:sz w:val="20"/>
    </w:rPr>
  </w:style>
  <w:style w:type="paragraph" w:styleId="Footer">
    <w:name w:val="footer"/>
    <w:basedOn w:val="Normal"/>
    <w:semiHidden/>
    <w:pPr>
      <w:tabs>
        <w:tab w:val="center" w:pos="4153"/>
        <w:tab w:val="right" w:pos="8306"/>
      </w:tabs>
    </w:pPr>
    <w:rPr>
      <w:sz w:val="22"/>
    </w:rPr>
  </w:style>
  <w:style w:type="paragraph" w:styleId="Title">
    <w:name w:val="Title"/>
    <w:basedOn w:val="Normal"/>
    <w:qFormat/>
    <w:rsid w:val="008E1AC8"/>
    <w:pPr>
      <w:spacing w:after="240" w:line="840" w:lineRule="exact"/>
      <w:outlineLvl w:val="0"/>
    </w:pPr>
    <w:rPr>
      <w:rFonts w:cs="Times New Roman"/>
      <w:color w:val="01D1AE"/>
      <w:sz w:val="76"/>
    </w:rPr>
  </w:style>
  <w:style w:type="character" w:customStyle="1" w:styleId="Bold">
    <w:name w:val="Bold"/>
    <w:rPr>
      <w:b/>
    </w:rPr>
  </w:style>
  <w:style w:type="character" w:styleId="Hyperlink">
    <w:name w:val="Hyperlink"/>
    <w:uiPriority w:val="99"/>
    <w:semiHidden/>
    <w:rsid w:val="008E6704"/>
    <w:rPr>
      <w:rFonts w:ascii="Helvetica Neue" w:hAnsi="Helvetica Neue"/>
      <w:color w:val="0000FF"/>
      <w:sz w:val="24"/>
      <w:u w:val="single"/>
    </w:rPr>
  </w:style>
  <w:style w:type="paragraph" w:styleId="TOC1">
    <w:name w:val="toc 1"/>
    <w:basedOn w:val="Normal"/>
    <w:next w:val="Normal"/>
    <w:autoRedefine/>
    <w:uiPriority w:val="39"/>
    <w:rsid w:val="00044130"/>
    <w:pPr>
      <w:tabs>
        <w:tab w:val="left" w:pos="480"/>
        <w:tab w:val="right" w:leader="dot" w:pos="9923"/>
      </w:tabs>
      <w:ind w:right="140"/>
    </w:pPr>
  </w:style>
  <w:style w:type="paragraph" w:styleId="TOC2">
    <w:name w:val="toc 2"/>
    <w:basedOn w:val="Normal"/>
    <w:next w:val="Normal"/>
    <w:autoRedefine/>
    <w:uiPriority w:val="39"/>
    <w:rsid w:val="00792418"/>
    <w:pPr>
      <w:tabs>
        <w:tab w:val="left" w:pos="426"/>
        <w:tab w:val="right" w:leader="dot" w:pos="9923"/>
      </w:tabs>
    </w:pPr>
    <w:rPr>
      <w:noProof/>
      <w:color w:val="FF0000"/>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Italics">
    <w:name w:val="Italics"/>
    <w:rPr>
      <w:i/>
    </w:rPr>
  </w:style>
  <w:style w:type="paragraph" w:styleId="Subtitle">
    <w:name w:val="Subtitle"/>
    <w:basedOn w:val="Normal"/>
    <w:qFormat/>
    <w:rsid w:val="008E1AC8"/>
    <w:pPr>
      <w:spacing w:line="520" w:lineRule="exact"/>
      <w:outlineLvl w:val="1"/>
    </w:pPr>
    <w:rPr>
      <w:rFonts w:cs="Times New Roman"/>
      <w:sz w:val="44"/>
    </w:rPr>
  </w:style>
  <w:style w:type="paragraph" w:customStyle="1" w:styleId="Paragraphnumbered">
    <w:name w:val="Paragraph numbered"/>
    <w:basedOn w:val="Paragraphtext"/>
    <w:pPr>
      <w:numPr>
        <w:ilvl w:val="1"/>
        <w:numId w:val="2"/>
      </w:numPr>
      <w:ind w:left="794" w:hanging="794"/>
    </w:pPr>
  </w:style>
  <w:style w:type="paragraph" w:customStyle="1" w:styleId="ChptHead">
    <w:name w:val="Chpt Head"/>
    <w:basedOn w:val="ChapterHead"/>
    <w:next w:val="Paragraphtext"/>
    <w:pPr>
      <w:numPr>
        <w:numId w:val="2"/>
      </w:numPr>
      <w:ind w:left="357" w:hanging="357"/>
    </w:pPr>
  </w:style>
  <w:style w:type="paragraph" w:styleId="BalloonText">
    <w:name w:val="Balloon Text"/>
    <w:basedOn w:val="Normal"/>
    <w:semiHidden/>
    <w:rPr>
      <w:rFonts w:ascii="Tahoma" w:hAnsi="Tahoma" w:cs="Tahoma"/>
      <w:sz w:val="16"/>
      <w:szCs w:val="16"/>
    </w:rPr>
  </w:style>
  <w:style w:type="paragraph" w:styleId="Header">
    <w:name w:val="header"/>
    <w:basedOn w:val="Normal"/>
    <w:semiHidden/>
    <w:rsid w:val="003C7CDB"/>
    <w:pPr>
      <w:tabs>
        <w:tab w:val="center" w:pos="4153"/>
        <w:tab w:val="right" w:pos="8306"/>
      </w:tabs>
      <w:jc w:val="right"/>
    </w:pPr>
    <w:rPr>
      <w:color w:val="009966"/>
      <w:sz w:val="22"/>
    </w:rPr>
  </w:style>
  <w:style w:type="paragraph" w:styleId="FootnoteText">
    <w:name w:val="footnote text"/>
    <w:basedOn w:val="Normal"/>
    <w:link w:val="FootnoteTextChar"/>
    <w:uiPriority w:val="99"/>
    <w:semiHidden/>
    <w:rPr>
      <w:sz w:val="20"/>
    </w:rPr>
  </w:style>
  <w:style w:type="character" w:customStyle="1" w:styleId="FootnoteTextChar">
    <w:name w:val="Footnote Text Char"/>
    <w:basedOn w:val="DefaultParagraphFont"/>
    <w:link w:val="FootnoteText"/>
    <w:uiPriority w:val="99"/>
    <w:semiHidden/>
    <w:rsid w:val="000521CF"/>
    <w:rPr>
      <w:rFonts w:ascii="Arial" w:hAnsi="Arial" w:cs="Arial"/>
      <w:lang w:eastAsia="en-US"/>
    </w:rPr>
  </w:style>
  <w:style w:type="character" w:styleId="FootnoteReference">
    <w:name w:val="footnote reference"/>
    <w:uiPriority w:val="99"/>
    <w:semiHidden/>
    <w:rPr>
      <w:vertAlign w:val="superscript"/>
    </w:rPr>
  </w:style>
  <w:style w:type="character" w:styleId="PageNumber">
    <w:name w:val="page number"/>
    <w:basedOn w:val="DefaultParagraphFont"/>
    <w:semiHidden/>
  </w:style>
  <w:style w:type="character" w:customStyle="1" w:styleId="colour">
    <w:name w:val="colour"/>
    <w:uiPriority w:val="1"/>
    <w:qFormat/>
    <w:rsid w:val="00DA7331"/>
    <w:rPr>
      <w:color w:val="01D1AE"/>
    </w:rPr>
  </w:style>
  <w:style w:type="table" w:styleId="TableGrid">
    <w:name w:val="Table Grid"/>
    <w:basedOn w:val="TableNormal"/>
    <w:uiPriority w:val="59"/>
    <w:rsid w:val="00DC06B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06B1"/>
    <w:pPr>
      <w:spacing w:before="0" w:after="0" w:line="240" w:lineRule="auto"/>
      <w:ind w:left="720"/>
      <w:contextualSpacing/>
    </w:pPr>
    <w:rPr>
      <w:rFonts w:ascii="Times New Roman" w:hAnsi="Times New Roman" w:cs="Times New Roman"/>
      <w:szCs w:val="24"/>
      <w:lang w:eastAsia="en-GB"/>
    </w:rPr>
  </w:style>
  <w:style w:type="paragraph" w:styleId="NoSpacing">
    <w:name w:val="No Spacing"/>
    <w:uiPriority w:val="1"/>
    <w:qFormat/>
    <w:rsid w:val="00951633"/>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E011EE"/>
    <w:rPr>
      <w:sz w:val="16"/>
      <w:szCs w:val="16"/>
    </w:rPr>
  </w:style>
  <w:style w:type="paragraph" w:styleId="CommentText">
    <w:name w:val="annotation text"/>
    <w:basedOn w:val="Normal"/>
    <w:link w:val="CommentTextChar"/>
    <w:uiPriority w:val="99"/>
    <w:semiHidden/>
    <w:unhideWhenUsed/>
    <w:rsid w:val="00E011EE"/>
    <w:pPr>
      <w:spacing w:line="240" w:lineRule="auto"/>
    </w:pPr>
    <w:rPr>
      <w:sz w:val="20"/>
    </w:rPr>
  </w:style>
  <w:style w:type="character" w:customStyle="1" w:styleId="CommentTextChar">
    <w:name w:val="Comment Text Char"/>
    <w:basedOn w:val="DefaultParagraphFont"/>
    <w:link w:val="CommentText"/>
    <w:uiPriority w:val="99"/>
    <w:semiHidden/>
    <w:rsid w:val="00E011EE"/>
    <w:rPr>
      <w:rFonts w:ascii="Arial" w:hAnsi="Arial" w:cs="Arial"/>
      <w:lang w:eastAsia="en-US"/>
    </w:rPr>
  </w:style>
  <w:style w:type="paragraph" w:styleId="CommentSubject">
    <w:name w:val="annotation subject"/>
    <w:basedOn w:val="CommentText"/>
    <w:next w:val="CommentText"/>
    <w:link w:val="CommentSubjectChar"/>
    <w:uiPriority w:val="99"/>
    <w:semiHidden/>
    <w:unhideWhenUsed/>
    <w:rsid w:val="00E011EE"/>
    <w:rPr>
      <w:b/>
      <w:bCs/>
    </w:rPr>
  </w:style>
  <w:style w:type="character" w:customStyle="1" w:styleId="CommentSubjectChar">
    <w:name w:val="Comment Subject Char"/>
    <w:basedOn w:val="CommentTextChar"/>
    <w:link w:val="CommentSubject"/>
    <w:uiPriority w:val="99"/>
    <w:semiHidden/>
    <w:rsid w:val="00E011EE"/>
    <w:rPr>
      <w:rFonts w:ascii="Arial" w:hAnsi="Arial" w:cs="Arial"/>
      <w:b/>
      <w:bCs/>
      <w:lang w:eastAsia="en-US"/>
    </w:rPr>
  </w:style>
  <w:style w:type="table" w:customStyle="1" w:styleId="TableGrid1">
    <w:name w:val="Table Grid1"/>
    <w:basedOn w:val="TableNormal"/>
    <w:next w:val="TableGrid"/>
    <w:uiPriority w:val="59"/>
    <w:rsid w:val="00C55CC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E90002"/>
    <w:pPr>
      <w:numPr>
        <w:numId w:val="5"/>
      </w:numPr>
      <w:contextualSpacing/>
    </w:pPr>
  </w:style>
  <w:style w:type="paragraph" w:customStyle="1" w:styleId="Default">
    <w:name w:val="Default"/>
    <w:rsid w:val="001F2E0B"/>
    <w:pPr>
      <w:autoSpaceDE w:val="0"/>
      <w:autoSpaceDN w:val="0"/>
      <w:adjustRightInd w:val="0"/>
    </w:pPr>
    <w:rPr>
      <w:rFonts w:ascii="Calibri" w:hAnsi="Calibri" w:cs="Calibri"/>
      <w:color w:val="000000"/>
      <w:sz w:val="24"/>
      <w:szCs w:val="24"/>
    </w:rPr>
  </w:style>
  <w:style w:type="paragraph" w:customStyle="1" w:styleId="xl65">
    <w:name w:val="xl65"/>
    <w:basedOn w:val="Normal"/>
    <w:rsid w:val="00E52967"/>
    <w:pPr>
      <w:spacing w:before="100" w:beforeAutospacing="1" w:after="100" w:afterAutospacing="1" w:line="240" w:lineRule="auto"/>
    </w:pPr>
    <w:rPr>
      <w:rFonts w:ascii="Times New Roman" w:hAnsi="Times New Roman" w:cs="Times New Roman"/>
      <w:szCs w:val="24"/>
      <w:lang w:eastAsia="en-GB"/>
    </w:rPr>
  </w:style>
  <w:style w:type="paragraph" w:customStyle="1" w:styleId="xl66">
    <w:name w:val="xl66"/>
    <w:basedOn w:val="Normal"/>
    <w:rsid w:val="00E52967"/>
    <w:pPr>
      <w:spacing w:before="100" w:beforeAutospacing="1" w:after="100" w:afterAutospacing="1" w:line="240" w:lineRule="auto"/>
    </w:pPr>
    <w:rPr>
      <w:rFonts w:ascii="Times New Roman" w:hAnsi="Times New Roman" w:cs="Times New Roman"/>
      <w:b/>
      <w:bCs/>
      <w:szCs w:val="24"/>
      <w:lang w:eastAsia="en-GB"/>
    </w:rPr>
  </w:style>
  <w:style w:type="paragraph" w:customStyle="1" w:styleId="xl67">
    <w:name w:val="xl67"/>
    <w:basedOn w:val="Normal"/>
    <w:rsid w:val="00E52967"/>
    <w:pPr>
      <w:spacing w:before="100" w:beforeAutospacing="1" w:after="100" w:afterAutospacing="1" w:line="240" w:lineRule="auto"/>
    </w:pPr>
    <w:rPr>
      <w:rFonts w:ascii="Times New Roman" w:hAnsi="Times New Roman" w:cs="Times New Roman"/>
      <w:b/>
      <w:bCs/>
      <w:szCs w:val="24"/>
      <w:lang w:eastAsia="en-GB"/>
    </w:rPr>
  </w:style>
  <w:style w:type="paragraph" w:customStyle="1" w:styleId="xl68">
    <w:name w:val="xl68"/>
    <w:basedOn w:val="Normal"/>
    <w:rsid w:val="00E52967"/>
    <w:pPr>
      <w:spacing w:before="100" w:beforeAutospacing="1" w:after="100" w:afterAutospacing="1" w:line="240" w:lineRule="auto"/>
    </w:pPr>
    <w:rPr>
      <w:rFonts w:ascii="Times New Roman" w:hAnsi="Times New Roman" w:cs="Times New Roman"/>
      <w:b/>
      <w:bCs/>
      <w:szCs w:val="24"/>
      <w:lang w:eastAsia="en-GB"/>
    </w:rPr>
  </w:style>
  <w:style w:type="paragraph" w:customStyle="1" w:styleId="xl69">
    <w:name w:val="xl69"/>
    <w:basedOn w:val="Normal"/>
    <w:rsid w:val="00E52967"/>
    <w:pPr>
      <w:spacing w:before="100" w:beforeAutospacing="1" w:after="100" w:afterAutospacing="1" w:line="240" w:lineRule="auto"/>
    </w:pPr>
    <w:rPr>
      <w:rFonts w:ascii="Times New Roman" w:hAnsi="Times New Roman" w:cs="Times New Roman"/>
      <w:b/>
      <w:bCs/>
      <w:szCs w:val="24"/>
      <w:lang w:eastAsia="en-GB"/>
    </w:rPr>
  </w:style>
  <w:style w:type="paragraph" w:customStyle="1" w:styleId="xl70">
    <w:name w:val="xl70"/>
    <w:basedOn w:val="Normal"/>
    <w:rsid w:val="00E52967"/>
    <w:pPr>
      <w:pBdr>
        <w:top w:val="single" w:sz="4" w:space="0" w:color="auto"/>
        <w:bottom w:val="single" w:sz="4" w:space="0" w:color="auto"/>
      </w:pBdr>
      <w:spacing w:before="100" w:beforeAutospacing="1" w:after="100" w:afterAutospacing="1" w:line="240" w:lineRule="auto"/>
    </w:pPr>
    <w:rPr>
      <w:rFonts w:ascii="Times New Roman" w:hAnsi="Times New Roman" w:cs="Times New Roman"/>
      <w:b/>
      <w:bCs/>
      <w:szCs w:val="24"/>
      <w:lang w:eastAsia="en-GB"/>
    </w:rPr>
  </w:style>
  <w:style w:type="paragraph" w:customStyle="1" w:styleId="xl71">
    <w:name w:val="xl71"/>
    <w:basedOn w:val="Normal"/>
    <w:rsid w:val="00E52967"/>
    <w:pPr>
      <w:pBdr>
        <w:top w:val="single" w:sz="4" w:space="0" w:color="auto"/>
        <w:bottom w:val="single" w:sz="4" w:space="0" w:color="auto"/>
      </w:pBdr>
      <w:spacing w:before="100" w:beforeAutospacing="1" w:after="100" w:afterAutospacing="1" w:line="240" w:lineRule="auto"/>
      <w:jc w:val="right"/>
    </w:pPr>
    <w:rPr>
      <w:rFonts w:ascii="Times New Roman" w:hAnsi="Times New Roman" w:cs="Times New Roman"/>
      <w:b/>
      <w:bCs/>
      <w:szCs w:val="24"/>
      <w:lang w:eastAsia="en-GB"/>
    </w:rPr>
  </w:style>
  <w:style w:type="paragraph" w:customStyle="1" w:styleId="xl72">
    <w:name w:val="xl72"/>
    <w:basedOn w:val="Normal"/>
    <w:rsid w:val="00E52967"/>
    <w:pPr>
      <w:pBdr>
        <w:top w:val="single" w:sz="4" w:space="0" w:color="auto"/>
        <w:bottom w:val="single" w:sz="4" w:space="0" w:color="auto"/>
      </w:pBdr>
      <w:spacing w:before="100" w:beforeAutospacing="1" w:after="100" w:afterAutospacing="1" w:line="240" w:lineRule="auto"/>
      <w:jc w:val="right"/>
    </w:pPr>
    <w:rPr>
      <w:rFonts w:ascii="Times New Roman" w:hAnsi="Times New Roman" w:cs="Times New Roman"/>
      <w:b/>
      <w:bCs/>
      <w:szCs w:val="24"/>
      <w:lang w:eastAsia="en-GB"/>
    </w:rPr>
  </w:style>
  <w:style w:type="paragraph" w:customStyle="1" w:styleId="xl73">
    <w:name w:val="xl73"/>
    <w:basedOn w:val="Normal"/>
    <w:rsid w:val="00E52967"/>
    <w:pPr>
      <w:pBdr>
        <w:top w:val="single" w:sz="4" w:space="0" w:color="auto"/>
        <w:bottom w:val="single" w:sz="4" w:space="0" w:color="auto"/>
      </w:pBdr>
      <w:spacing w:before="100" w:beforeAutospacing="1" w:after="100" w:afterAutospacing="1" w:line="240" w:lineRule="auto"/>
      <w:jc w:val="right"/>
    </w:pPr>
    <w:rPr>
      <w:rFonts w:ascii="Times New Roman" w:hAnsi="Times New Roman" w:cs="Times New Roman"/>
      <w:b/>
      <w:bCs/>
      <w:szCs w:val="24"/>
      <w:lang w:eastAsia="en-GB"/>
    </w:rPr>
  </w:style>
  <w:style w:type="paragraph" w:customStyle="1" w:styleId="xl74">
    <w:name w:val="xl74"/>
    <w:basedOn w:val="Normal"/>
    <w:rsid w:val="00E52967"/>
    <w:pPr>
      <w:spacing w:before="100" w:beforeAutospacing="1" w:after="100" w:afterAutospacing="1" w:line="240" w:lineRule="auto"/>
    </w:pPr>
    <w:rPr>
      <w:rFonts w:ascii="Times New Roman" w:hAnsi="Times New Roman" w:cs="Times New Roman"/>
      <w:b/>
      <w:bCs/>
      <w:szCs w:val="24"/>
      <w:lang w:eastAsia="en-GB"/>
    </w:rPr>
  </w:style>
  <w:style w:type="paragraph" w:customStyle="1" w:styleId="xl75">
    <w:name w:val="xl75"/>
    <w:basedOn w:val="Normal"/>
    <w:rsid w:val="00E52967"/>
    <w:pPr>
      <w:spacing w:before="100" w:beforeAutospacing="1" w:after="100" w:afterAutospacing="1" w:line="240" w:lineRule="auto"/>
    </w:pPr>
    <w:rPr>
      <w:rFonts w:ascii="Times New Roman" w:hAnsi="Times New Roman" w:cs="Times New Roman"/>
      <w:b/>
      <w:bCs/>
      <w:szCs w:val="24"/>
      <w:lang w:eastAsia="en-GB"/>
    </w:rPr>
  </w:style>
  <w:style w:type="paragraph" w:customStyle="1" w:styleId="xl76">
    <w:name w:val="xl76"/>
    <w:basedOn w:val="Normal"/>
    <w:rsid w:val="00E52967"/>
    <w:pPr>
      <w:pBdr>
        <w:top w:val="single" w:sz="4" w:space="0" w:color="auto"/>
        <w:bottom w:val="single" w:sz="4" w:space="0" w:color="auto"/>
      </w:pBdr>
      <w:spacing w:before="100" w:beforeAutospacing="1" w:after="100" w:afterAutospacing="1" w:line="240" w:lineRule="auto"/>
    </w:pPr>
    <w:rPr>
      <w:rFonts w:ascii="Times New Roman" w:hAnsi="Times New Roman" w:cs="Times New Roman"/>
      <w:b/>
      <w:bCs/>
      <w:szCs w:val="24"/>
      <w:lang w:eastAsia="en-GB"/>
    </w:rPr>
  </w:style>
  <w:style w:type="paragraph" w:customStyle="1" w:styleId="xl77">
    <w:name w:val="xl77"/>
    <w:basedOn w:val="Normal"/>
    <w:rsid w:val="00E52967"/>
    <w:pPr>
      <w:pBdr>
        <w:top w:val="single" w:sz="4" w:space="0" w:color="auto"/>
        <w:bottom w:val="single" w:sz="4" w:space="0" w:color="auto"/>
      </w:pBdr>
      <w:spacing w:before="100" w:beforeAutospacing="1" w:after="100" w:afterAutospacing="1" w:line="240" w:lineRule="auto"/>
    </w:pPr>
    <w:rPr>
      <w:rFonts w:ascii="Times New Roman" w:hAnsi="Times New Roman" w:cs="Times New Roman"/>
      <w:b/>
      <w:bCs/>
      <w:szCs w:val="24"/>
      <w:lang w:eastAsia="en-GB"/>
    </w:rPr>
  </w:style>
  <w:style w:type="paragraph" w:customStyle="1" w:styleId="xl78">
    <w:name w:val="xl78"/>
    <w:basedOn w:val="Normal"/>
    <w:rsid w:val="00E52967"/>
    <w:pPr>
      <w:pBdr>
        <w:bottom w:val="single" w:sz="4" w:space="0" w:color="auto"/>
      </w:pBdr>
      <w:spacing w:before="100" w:beforeAutospacing="1" w:after="100" w:afterAutospacing="1" w:line="240" w:lineRule="auto"/>
    </w:pPr>
    <w:rPr>
      <w:rFonts w:ascii="Times New Roman" w:hAnsi="Times New Roman" w:cs="Times New Roman"/>
      <w:b/>
      <w:bCs/>
      <w:szCs w:val="24"/>
      <w:lang w:eastAsia="en-GB"/>
    </w:rPr>
  </w:style>
  <w:style w:type="paragraph" w:customStyle="1" w:styleId="xl79">
    <w:name w:val="xl79"/>
    <w:basedOn w:val="Normal"/>
    <w:rsid w:val="00E52967"/>
    <w:pPr>
      <w:pBdr>
        <w:bottom w:val="single" w:sz="4" w:space="0" w:color="auto"/>
      </w:pBdr>
      <w:spacing w:before="100" w:beforeAutospacing="1" w:after="100" w:afterAutospacing="1" w:line="240" w:lineRule="auto"/>
    </w:pPr>
    <w:rPr>
      <w:rFonts w:ascii="Times New Roman" w:hAnsi="Times New Roman" w:cs="Times New Roman"/>
      <w:b/>
      <w:bCs/>
      <w:szCs w:val="24"/>
      <w:lang w:eastAsia="en-GB"/>
    </w:rPr>
  </w:style>
  <w:style w:type="paragraph" w:customStyle="1" w:styleId="xl80">
    <w:name w:val="xl80"/>
    <w:basedOn w:val="Normal"/>
    <w:rsid w:val="00E52967"/>
    <w:pPr>
      <w:pBdr>
        <w:bottom w:val="single" w:sz="4" w:space="0" w:color="auto"/>
      </w:pBdr>
      <w:spacing w:before="100" w:beforeAutospacing="1" w:after="100" w:afterAutospacing="1" w:line="240" w:lineRule="auto"/>
    </w:pPr>
    <w:rPr>
      <w:rFonts w:ascii="Times New Roman" w:hAnsi="Times New Roman" w:cs="Times New Roman"/>
      <w:b/>
      <w:bCs/>
      <w:szCs w:val="24"/>
      <w:lang w:eastAsia="en-GB"/>
    </w:rPr>
  </w:style>
  <w:style w:type="paragraph" w:customStyle="1" w:styleId="xl81">
    <w:name w:val="xl81"/>
    <w:basedOn w:val="Normal"/>
    <w:rsid w:val="00E52967"/>
    <w:pPr>
      <w:pBdr>
        <w:bottom w:val="single" w:sz="4" w:space="0" w:color="auto"/>
      </w:pBdr>
      <w:spacing w:before="100" w:beforeAutospacing="1" w:after="100" w:afterAutospacing="1" w:line="240" w:lineRule="auto"/>
    </w:pPr>
    <w:rPr>
      <w:rFonts w:ascii="Times New Roman" w:hAnsi="Times New Roman" w:cs="Times New Roman"/>
      <w:szCs w:val="24"/>
      <w:lang w:eastAsia="en-GB"/>
    </w:rPr>
  </w:style>
  <w:style w:type="paragraph" w:customStyle="1" w:styleId="xl82">
    <w:name w:val="xl82"/>
    <w:basedOn w:val="Normal"/>
    <w:rsid w:val="00E52967"/>
    <w:pPr>
      <w:pBdr>
        <w:bottom w:val="single" w:sz="4" w:space="0" w:color="auto"/>
      </w:pBdr>
      <w:spacing w:before="100" w:beforeAutospacing="1" w:after="100" w:afterAutospacing="1" w:line="240" w:lineRule="auto"/>
    </w:pPr>
    <w:rPr>
      <w:rFonts w:ascii="Times New Roman" w:hAnsi="Times New Roman" w:cs="Times New Roman"/>
      <w:szCs w:val="24"/>
      <w:lang w:eastAsia="en-GB"/>
    </w:rPr>
  </w:style>
  <w:style w:type="paragraph" w:customStyle="1" w:styleId="xl83">
    <w:name w:val="xl83"/>
    <w:basedOn w:val="Normal"/>
    <w:rsid w:val="00E52967"/>
    <w:pPr>
      <w:pBdr>
        <w:bottom w:val="single" w:sz="4" w:space="0" w:color="auto"/>
      </w:pBdr>
      <w:spacing w:before="100" w:beforeAutospacing="1" w:after="100" w:afterAutospacing="1" w:line="240" w:lineRule="auto"/>
    </w:pPr>
    <w:rPr>
      <w:rFonts w:ascii="Times New Roman" w:hAnsi="Times New Roman" w:cs="Times New Roman"/>
      <w:szCs w:val="24"/>
      <w:lang w:eastAsia="en-GB"/>
    </w:rPr>
  </w:style>
  <w:style w:type="numbering" w:customStyle="1" w:styleId="NoList1">
    <w:name w:val="No List1"/>
    <w:next w:val="NoList"/>
    <w:uiPriority w:val="99"/>
    <w:semiHidden/>
    <w:unhideWhenUsed/>
    <w:rsid w:val="001866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807912">
      <w:bodyDiv w:val="1"/>
      <w:marLeft w:val="0"/>
      <w:marRight w:val="0"/>
      <w:marTop w:val="0"/>
      <w:marBottom w:val="0"/>
      <w:divBdr>
        <w:top w:val="none" w:sz="0" w:space="0" w:color="auto"/>
        <w:left w:val="none" w:sz="0" w:space="0" w:color="auto"/>
        <w:bottom w:val="none" w:sz="0" w:space="0" w:color="auto"/>
        <w:right w:val="none" w:sz="0" w:space="0" w:color="auto"/>
      </w:divBdr>
      <w:divsChild>
        <w:div w:id="2097627494">
          <w:marLeft w:val="0"/>
          <w:marRight w:val="0"/>
          <w:marTop w:val="0"/>
          <w:marBottom w:val="0"/>
          <w:divBdr>
            <w:top w:val="none" w:sz="0" w:space="0" w:color="auto"/>
            <w:left w:val="none" w:sz="0" w:space="0" w:color="auto"/>
            <w:bottom w:val="none" w:sz="0" w:space="0" w:color="auto"/>
            <w:right w:val="none" w:sz="0" w:space="0" w:color="auto"/>
          </w:divBdr>
          <w:divsChild>
            <w:div w:id="2092727171">
              <w:marLeft w:val="0"/>
              <w:marRight w:val="0"/>
              <w:marTop w:val="0"/>
              <w:marBottom w:val="0"/>
              <w:divBdr>
                <w:top w:val="none" w:sz="0" w:space="0" w:color="auto"/>
                <w:left w:val="none" w:sz="0" w:space="0" w:color="auto"/>
                <w:bottom w:val="none" w:sz="0" w:space="0" w:color="auto"/>
                <w:right w:val="none" w:sz="0" w:space="0" w:color="auto"/>
              </w:divBdr>
              <w:divsChild>
                <w:div w:id="1647005598">
                  <w:marLeft w:val="0"/>
                  <w:marRight w:val="0"/>
                  <w:marTop w:val="0"/>
                  <w:marBottom w:val="0"/>
                  <w:divBdr>
                    <w:top w:val="none" w:sz="0" w:space="0" w:color="auto"/>
                    <w:left w:val="none" w:sz="0" w:space="0" w:color="auto"/>
                    <w:bottom w:val="none" w:sz="0" w:space="0" w:color="auto"/>
                    <w:right w:val="none" w:sz="0" w:space="0" w:color="auto"/>
                  </w:divBdr>
                  <w:divsChild>
                    <w:div w:id="1234973442">
                      <w:marLeft w:val="0"/>
                      <w:marRight w:val="0"/>
                      <w:marTop w:val="0"/>
                      <w:marBottom w:val="0"/>
                      <w:divBdr>
                        <w:top w:val="none" w:sz="0" w:space="0" w:color="auto"/>
                        <w:left w:val="none" w:sz="0" w:space="0" w:color="auto"/>
                        <w:bottom w:val="none" w:sz="0" w:space="0" w:color="auto"/>
                        <w:right w:val="none" w:sz="0" w:space="0" w:color="auto"/>
                      </w:divBdr>
                      <w:divsChild>
                        <w:div w:id="1807890928">
                          <w:marLeft w:val="0"/>
                          <w:marRight w:val="0"/>
                          <w:marTop w:val="0"/>
                          <w:marBottom w:val="0"/>
                          <w:divBdr>
                            <w:top w:val="none" w:sz="0" w:space="0" w:color="auto"/>
                            <w:left w:val="none" w:sz="0" w:space="0" w:color="auto"/>
                            <w:bottom w:val="none" w:sz="0" w:space="0" w:color="auto"/>
                            <w:right w:val="none" w:sz="0" w:space="0" w:color="auto"/>
                          </w:divBdr>
                          <w:divsChild>
                            <w:div w:id="1281719528">
                              <w:marLeft w:val="0"/>
                              <w:marRight w:val="0"/>
                              <w:marTop w:val="0"/>
                              <w:marBottom w:val="30"/>
                              <w:divBdr>
                                <w:top w:val="none" w:sz="0" w:space="0" w:color="auto"/>
                                <w:left w:val="none" w:sz="0" w:space="0" w:color="auto"/>
                                <w:bottom w:val="none" w:sz="0" w:space="0" w:color="auto"/>
                                <w:right w:val="none" w:sz="0" w:space="0" w:color="auto"/>
                              </w:divBdr>
                              <w:divsChild>
                                <w:div w:id="81599800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493490">
      <w:bodyDiv w:val="1"/>
      <w:marLeft w:val="0"/>
      <w:marRight w:val="0"/>
      <w:marTop w:val="0"/>
      <w:marBottom w:val="0"/>
      <w:divBdr>
        <w:top w:val="none" w:sz="0" w:space="0" w:color="auto"/>
        <w:left w:val="none" w:sz="0" w:space="0" w:color="auto"/>
        <w:bottom w:val="none" w:sz="0" w:space="0" w:color="auto"/>
        <w:right w:val="none" w:sz="0" w:space="0" w:color="auto"/>
      </w:divBdr>
    </w:div>
    <w:div w:id="1329745834">
      <w:bodyDiv w:val="1"/>
      <w:marLeft w:val="0"/>
      <w:marRight w:val="0"/>
      <w:marTop w:val="0"/>
      <w:marBottom w:val="0"/>
      <w:divBdr>
        <w:top w:val="none" w:sz="0" w:space="0" w:color="auto"/>
        <w:left w:val="none" w:sz="0" w:space="0" w:color="auto"/>
        <w:bottom w:val="none" w:sz="0" w:space="0" w:color="auto"/>
        <w:right w:val="none" w:sz="0" w:space="0" w:color="auto"/>
      </w:divBdr>
    </w:div>
    <w:div w:id="1424187871">
      <w:bodyDiv w:val="1"/>
      <w:marLeft w:val="0"/>
      <w:marRight w:val="0"/>
      <w:marTop w:val="0"/>
      <w:marBottom w:val="0"/>
      <w:divBdr>
        <w:top w:val="none" w:sz="0" w:space="0" w:color="auto"/>
        <w:left w:val="none" w:sz="0" w:space="0" w:color="auto"/>
        <w:bottom w:val="none" w:sz="0" w:space="0" w:color="auto"/>
        <w:right w:val="none" w:sz="0" w:space="0" w:color="auto"/>
      </w:divBdr>
    </w:div>
    <w:div w:id="1714303247">
      <w:bodyDiv w:val="1"/>
      <w:marLeft w:val="0"/>
      <w:marRight w:val="0"/>
      <w:marTop w:val="0"/>
      <w:marBottom w:val="0"/>
      <w:divBdr>
        <w:top w:val="none" w:sz="0" w:space="0" w:color="auto"/>
        <w:left w:val="none" w:sz="0" w:space="0" w:color="auto"/>
        <w:bottom w:val="none" w:sz="0" w:space="0" w:color="auto"/>
        <w:right w:val="none" w:sz="0" w:space="0" w:color="auto"/>
      </w:divBdr>
    </w:div>
    <w:div w:id="1757167901">
      <w:bodyDiv w:val="1"/>
      <w:marLeft w:val="0"/>
      <w:marRight w:val="0"/>
      <w:marTop w:val="0"/>
      <w:marBottom w:val="0"/>
      <w:divBdr>
        <w:top w:val="none" w:sz="0" w:space="0" w:color="auto"/>
        <w:left w:val="none" w:sz="0" w:space="0" w:color="auto"/>
        <w:bottom w:val="none" w:sz="0" w:space="0" w:color="auto"/>
        <w:right w:val="none" w:sz="0" w:space="0" w:color="auto"/>
      </w:divBdr>
      <w:divsChild>
        <w:div w:id="244534048">
          <w:marLeft w:val="86"/>
          <w:marRight w:val="0"/>
          <w:marTop w:val="0"/>
          <w:marBottom w:val="40"/>
          <w:divBdr>
            <w:top w:val="none" w:sz="0" w:space="0" w:color="auto"/>
            <w:left w:val="none" w:sz="0" w:space="0" w:color="auto"/>
            <w:bottom w:val="none" w:sz="0" w:space="0" w:color="auto"/>
            <w:right w:val="none" w:sz="0" w:space="0" w:color="auto"/>
          </w:divBdr>
        </w:div>
        <w:div w:id="349530740">
          <w:marLeft w:val="86"/>
          <w:marRight w:val="0"/>
          <w:marTop w:val="0"/>
          <w:marBottom w:val="40"/>
          <w:divBdr>
            <w:top w:val="none" w:sz="0" w:space="0" w:color="auto"/>
            <w:left w:val="none" w:sz="0" w:space="0" w:color="auto"/>
            <w:bottom w:val="none" w:sz="0" w:space="0" w:color="auto"/>
            <w:right w:val="none" w:sz="0" w:space="0" w:color="auto"/>
          </w:divBdr>
        </w:div>
        <w:div w:id="861016728">
          <w:marLeft w:val="86"/>
          <w:marRight w:val="0"/>
          <w:marTop w:val="0"/>
          <w:marBottom w:val="4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gov.uk/d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nationalarchives.gov.uk/doc/open-government-licenc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Healthpremiumincentivescheme@dh.gsi.gov.uk"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mailto:Healthpremiumincentivescheme@dh.gsi.gov.uk"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phoutcomes.info/" TargetMode="External"/><Relationship Id="rId10" Type="http://schemas.openxmlformats.org/officeDocument/2006/relationships/image" Target="media/image2.pn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 Id="rId22" Type="http://schemas.openxmlformats.org/officeDocument/2006/relationships/hyperlink" Target="mailto:Healthpremiumincentivescheme@dh.gsi.gov.u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uploads/system/.../dh_117794.pdf" TargetMode="External"/><Relationship Id="rId2" Type="http://schemas.openxmlformats.org/officeDocument/2006/relationships/hyperlink" Target="https://www.gov.uk/government/groups/health-premium-incentive-advisory-group" TargetMode="External"/><Relationship Id="rId1" Type="http://schemas.openxmlformats.org/officeDocument/2006/relationships/hyperlink" Target="https://www.gov.uk/government/uploads/system/uploads/attachment_data/file/213684/dh_134580.pdf" TargetMode="External"/><Relationship Id="rId6" Type="http://schemas.openxmlformats.org/officeDocument/2006/relationships/hyperlink" Target="https://www.gov.uk/government/groups/health-premium-incentive-advisory-group" TargetMode="External"/><Relationship Id="rId5" Type="http://schemas.openxmlformats.org/officeDocument/2006/relationships/hyperlink" Target="https://www.gov.uk/government/publications/healthy-lives-healthy-people-update-on-public-health-funding" TargetMode="External"/><Relationship Id="rId4" Type="http://schemas.openxmlformats.org/officeDocument/2006/relationships/hyperlink" Target="https://www.gov.uk/government/uploads/system/uploads/attachment_data/file/216096/dh_127424.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rowne\AppData\Local\Microsoft\Windows\Temporary%20Internet%20Files\Content.IE5\DE03E73P\DH_cobrand_with_another_Govt_department_(A4_portrait,_single_page_spread,_Word_2010)%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1</b:Tag>
    <b:RefOrder>1</b:RefOrder>
  </b:Source>
</b:Sources>
</file>

<file path=customXml/itemProps1.xml><?xml version="1.0" encoding="utf-8"?>
<ds:datastoreItem xmlns:ds="http://schemas.openxmlformats.org/officeDocument/2006/customXml" ds:itemID="{6FAB1D57-5481-4A73-BBB6-2E8DDFBC3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DH_cobrand_with_another_Govt_department_(A4_portrait,_single_page_spread,_Word_2010)[1]</Template>
  <TotalTime>1</TotalTime>
  <Pages>29</Pages>
  <Words>5401</Words>
  <Characters>40565</Characters>
  <Application>Microsoft Office Word</Application>
  <DocSecurity>4</DocSecurity>
  <Lines>338</Lines>
  <Paragraphs>91</Paragraphs>
  <ScaleCrop>false</ScaleCrop>
  <HeadingPairs>
    <vt:vector size="2" baseType="variant">
      <vt:variant>
        <vt:lpstr>Title</vt:lpstr>
      </vt:variant>
      <vt:variant>
        <vt:i4>1</vt:i4>
      </vt:variant>
    </vt:vector>
  </HeadingPairs>
  <TitlesOfParts>
    <vt:vector size="1" baseType="lpstr">
      <vt:lpstr>DH Title</vt:lpstr>
    </vt:vector>
  </TitlesOfParts>
  <Company>Department of Health</Company>
  <LinksUpToDate>false</LinksUpToDate>
  <CharactersWithSpaces>45875</CharactersWithSpaces>
  <SharedDoc>false</SharedDoc>
  <HyperlinkBase>http://www.dh.gov.uk</HyperlinkBase>
  <HLinks>
    <vt:vector size="24" baseType="variant">
      <vt:variant>
        <vt:i4>524318</vt:i4>
      </vt:variant>
      <vt:variant>
        <vt:i4>3</vt:i4>
      </vt:variant>
      <vt:variant>
        <vt:i4>0</vt:i4>
      </vt:variant>
      <vt:variant>
        <vt:i4>5</vt:i4>
      </vt:variant>
      <vt:variant>
        <vt:lpwstr>http://www.gov.uk/dh</vt:lpwstr>
      </vt:variant>
      <vt:variant>
        <vt:lpwstr/>
      </vt:variant>
      <vt:variant>
        <vt:i4>6553693</vt:i4>
      </vt:variant>
      <vt:variant>
        <vt:i4>0</vt:i4>
      </vt:variant>
      <vt:variant>
        <vt:i4>0</vt:i4>
      </vt:variant>
      <vt:variant>
        <vt:i4>5</vt:i4>
      </vt:variant>
      <vt:variant>
        <vt:lpwstr>http://www.nationalarchives.gov.uk/doc/open-government-licence/</vt:lpwstr>
      </vt:variant>
      <vt:variant>
        <vt:lpwstr/>
      </vt:variant>
      <vt:variant>
        <vt:i4>8257651</vt:i4>
      </vt:variant>
      <vt:variant>
        <vt:i4>-1</vt:i4>
      </vt:variant>
      <vt:variant>
        <vt:i4>2052</vt:i4>
      </vt:variant>
      <vt:variant>
        <vt:i4>1</vt:i4>
      </vt:variant>
      <vt:variant>
        <vt:lpwstr>DH_BoxA4_full2</vt:lpwstr>
      </vt:variant>
      <vt:variant>
        <vt:lpwstr/>
      </vt:variant>
      <vt:variant>
        <vt:i4>4259871</vt:i4>
      </vt:variant>
      <vt:variant>
        <vt:i4>-1</vt:i4>
      </vt:variant>
      <vt:variant>
        <vt:i4>1029</vt:i4>
      </vt:variant>
      <vt:variant>
        <vt:i4>1</vt:i4>
      </vt:variant>
      <vt:variant>
        <vt:lpwstr>HM Gov logo_generic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 Title</dc:title>
  <dc:creator>Browne, Emma</dc:creator>
  <cp:lastModifiedBy>Hefford, John</cp:lastModifiedBy>
  <cp:revision>2</cp:revision>
  <cp:lastPrinted>2014-09-05T16:32:00Z</cp:lastPrinted>
  <dcterms:created xsi:type="dcterms:W3CDTF">2014-09-09T08:19:00Z</dcterms:created>
  <dcterms:modified xsi:type="dcterms:W3CDTF">2014-09-09T08:19:00Z</dcterms:modified>
</cp:coreProperties>
</file>