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519D5" w14:textId="77777777" w:rsidR="00B35EEF" w:rsidRPr="0062034A" w:rsidRDefault="00F36897" w:rsidP="00D06E21">
      <w:pPr>
        <w:pStyle w:val="DfESOutNumbered1"/>
        <w:rPr>
          <w:rFonts w:cs="Arial"/>
        </w:rPr>
      </w:pPr>
      <w:bookmarkStart w:id="0" w:name="_GoBack"/>
      <w:bookmarkEnd w:id="0"/>
      <w:r w:rsidRPr="0062034A">
        <w:rPr>
          <w:rFonts w:cs="Arial"/>
          <w:noProof/>
        </w:rPr>
        <w:drawing>
          <wp:inline distT="0" distB="0" distL="0" distR="0" wp14:anchorId="13B51B38" wp14:editId="13B51B39">
            <wp:extent cx="1343025" cy="1073664"/>
            <wp:effectExtent l="0" t="0" r="0" b="0"/>
            <wp:docPr id="1" name="Picture 25" descr="Department for Education"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Picture 25" descr="Department for Education" title="Logo"/>
                    <pic:cNvPicPr/>
                  </pic:nvPicPr>
                  <pic:blipFill rotWithShape="1">
                    <a:blip r:embed="rId14" cstate="print">
                      <a:extLst>
                        <a:ext uri="{28A0092B-C50C-407E-A947-70E740481C1C}">
                          <a14:useLocalDpi xmlns:a14="http://schemas.microsoft.com/office/drawing/2010/main" val="0"/>
                        </a:ext>
                      </a:extLst>
                    </a:blip>
                    <a:srcRect r="38062"/>
                    <a:stretch/>
                  </pic:blipFill>
                  <pic:spPr bwMode="auto">
                    <a:xfrm>
                      <a:off x="0" y="0"/>
                      <a:ext cx="1343025" cy="1073150"/>
                    </a:xfrm>
                    <a:prstGeom prst="rect">
                      <a:avLst/>
                    </a:prstGeom>
                    <a:ln>
                      <a:noFill/>
                    </a:ln>
                    <a:extLst>
                      <a:ext uri="{53640926-AAD7-44D8-BBD7-CCE9431645EC}">
                        <a14:shadowObscured xmlns:a14="http://schemas.microsoft.com/office/drawing/2010/main"/>
                      </a:ext>
                    </a:extLst>
                  </pic:spPr>
                </pic:pic>
              </a:graphicData>
            </a:graphic>
          </wp:inline>
        </w:drawing>
      </w:r>
    </w:p>
    <w:p w14:paraId="2E2FA6CB" w14:textId="553F37B7" w:rsidR="00553E9B" w:rsidRPr="0062034A" w:rsidRDefault="000C3D73" w:rsidP="00EE619F">
      <w:pPr>
        <w:pStyle w:val="TitleText"/>
      </w:pPr>
      <w:r w:rsidRPr="0062034A">
        <w:t>The Education Services Grant</w:t>
      </w:r>
      <w:r w:rsidR="00553E9B" w:rsidRPr="0062034A">
        <w:t xml:space="preserve"> </w:t>
      </w:r>
    </w:p>
    <w:p w14:paraId="13B519D6" w14:textId="1E9354E1" w:rsidR="00033AA6" w:rsidRPr="0062034A" w:rsidRDefault="00553E9B" w:rsidP="00E469A4">
      <w:pPr>
        <w:pStyle w:val="SubtitleText"/>
      </w:pPr>
      <w:r w:rsidRPr="0062034A">
        <w:t xml:space="preserve">Statement of final arrangements for </w:t>
      </w:r>
      <w:r w:rsidR="004211C0" w:rsidRPr="0062034A">
        <w:t>2015 to 2016</w:t>
      </w:r>
    </w:p>
    <w:p w14:paraId="13B519D7" w14:textId="77777777" w:rsidR="003A01C4" w:rsidRPr="0062034A" w:rsidRDefault="004211C0" w:rsidP="003A01C4">
      <w:pPr>
        <w:pStyle w:val="Date"/>
      </w:pPr>
      <w:r w:rsidRPr="0062034A">
        <w:t>July</w:t>
      </w:r>
      <w:r w:rsidR="00033AA6" w:rsidRPr="0062034A">
        <w:t xml:space="preserve"> </w:t>
      </w:r>
      <w:r w:rsidR="00773A36" w:rsidRPr="0062034A">
        <w:t>2014</w:t>
      </w:r>
    </w:p>
    <w:p w14:paraId="13B519D8" w14:textId="77777777" w:rsidR="00780950" w:rsidRPr="0062034A" w:rsidRDefault="00780950" w:rsidP="00F14430">
      <w:pPr>
        <w:pStyle w:val="TOCHeading"/>
      </w:pPr>
      <w:r w:rsidRPr="0062034A">
        <w:lastRenderedPageBreak/>
        <w:t>Contents</w:t>
      </w:r>
    </w:p>
    <w:p w14:paraId="751E74D4" w14:textId="77777777" w:rsidR="00C743F8" w:rsidRDefault="001615DF">
      <w:pPr>
        <w:pStyle w:val="TOC1"/>
        <w:rPr>
          <w:rFonts w:asciiTheme="minorHAnsi" w:eastAsiaTheme="minorEastAsia" w:hAnsiTheme="minorHAnsi" w:cstheme="minorBidi"/>
          <w:sz w:val="22"/>
          <w:szCs w:val="22"/>
        </w:rPr>
      </w:pPr>
      <w:r w:rsidRPr="0062034A">
        <w:rPr>
          <w:rFonts w:cs="Arial"/>
        </w:rPr>
        <w:fldChar w:fldCharType="begin"/>
      </w:r>
      <w:r w:rsidRPr="0062034A">
        <w:rPr>
          <w:rFonts w:cs="Arial"/>
        </w:rPr>
        <w:instrText xml:space="preserve"> TOC \o "1-3" \h \z \u </w:instrText>
      </w:r>
      <w:r w:rsidRPr="0062034A">
        <w:rPr>
          <w:rFonts w:cs="Arial"/>
        </w:rPr>
        <w:fldChar w:fldCharType="separate"/>
      </w:r>
      <w:hyperlink w:anchor="_Toc393781894" w:history="1">
        <w:r w:rsidR="00C743F8" w:rsidRPr="004E4A37">
          <w:rPr>
            <w:rStyle w:val="Hyperlink"/>
            <w:rFonts w:cs="Arial"/>
          </w:rPr>
          <w:t>Introduction</w:t>
        </w:r>
        <w:r w:rsidR="00C743F8">
          <w:rPr>
            <w:webHidden/>
          </w:rPr>
          <w:tab/>
        </w:r>
        <w:r w:rsidR="00C743F8">
          <w:rPr>
            <w:webHidden/>
          </w:rPr>
          <w:fldChar w:fldCharType="begin"/>
        </w:r>
        <w:r w:rsidR="00C743F8">
          <w:rPr>
            <w:webHidden/>
          </w:rPr>
          <w:instrText xml:space="preserve"> PAGEREF _Toc393781894 \h </w:instrText>
        </w:r>
        <w:r w:rsidR="00C743F8">
          <w:rPr>
            <w:webHidden/>
          </w:rPr>
        </w:r>
        <w:r w:rsidR="00C743F8">
          <w:rPr>
            <w:webHidden/>
          </w:rPr>
          <w:fldChar w:fldCharType="separate"/>
        </w:r>
        <w:r w:rsidR="00C743F8">
          <w:rPr>
            <w:webHidden/>
          </w:rPr>
          <w:t>3</w:t>
        </w:r>
        <w:r w:rsidR="00C743F8">
          <w:rPr>
            <w:webHidden/>
          </w:rPr>
          <w:fldChar w:fldCharType="end"/>
        </w:r>
      </w:hyperlink>
    </w:p>
    <w:p w14:paraId="2C74DE81" w14:textId="77777777" w:rsidR="00C743F8" w:rsidRDefault="000412EA">
      <w:pPr>
        <w:pStyle w:val="TOC1"/>
        <w:rPr>
          <w:rFonts w:asciiTheme="minorHAnsi" w:eastAsiaTheme="minorEastAsia" w:hAnsiTheme="minorHAnsi" w:cstheme="minorBidi"/>
          <w:sz w:val="22"/>
          <w:szCs w:val="22"/>
        </w:rPr>
      </w:pPr>
      <w:hyperlink w:anchor="_Toc393781895" w:history="1">
        <w:r w:rsidR="00C743F8" w:rsidRPr="004E4A37">
          <w:rPr>
            <w:rStyle w:val="Hyperlink"/>
            <w:rFonts w:eastAsiaTheme="minorHAnsi" w:cs="Arial"/>
            <w:lang w:eastAsia="en-US"/>
          </w:rPr>
          <w:t xml:space="preserve">Chapter 1 – </w:t>
        </w:r>
        <w:r w:rsidR="00C743F8" w:rsidRPr="004E4A37">
          <w:rPr>
            <w:rStyle w:val="Hyperlink"/>
            <w:rFonts w:cs="Arial"/>
          </w:rPr>
          <w:t>Education Services Grant funding for 2015-16</w:t>
        </w:r>
        <w:r w:rsidR="00C743F8">
          <w:rPr>
            <w:webHidden/>
          </w:rPr>
          <w:tab/>
        </w:r>
        <w:r w:rsidR="00C743F8">
          <w:rPr>
            <w:webHidden/>
          </w:rPr>
          <w:fldChar w:fldCharType="begin"/>
        </w:r>
        <w:r w:rsidR="00C743F8">
          <w:rPr>
            <w:webHidden/>
          </w:rPr>
          <w:instrText xml:space="preserve"> PAGEREF _Toc393781895 \h </w:instrText>
        </w:r>
        <w:r w:rsidR="00C743F8">
          <w:rPr>
            <w:webHidden/>
          </w:rPr>
        </w:r>
        <w:r w:rsidR="00C743F8">
          <w:rPr>
            <w:webHidden/>
          </w:rPr>
          <w:fldChar w:fldCharType="separate"/>
        </w:r>
        <w:r w:rsidR="00C743F8">
          <w:rPr>
            <w:webHidden/>
          </w:rPr>
          <w:t>6</w:t>
        </w:r>
        <w:r w:rsidR="00C743F8">
          <w:rPr>
            <w:webHidden/>
          </w:rPr>
          <w:fldChar w:fldCharType="end"/>
        </w:r>
      </w:hyperlink>
    </w:p>
    <w:p w14:paraId="1A88CD83" w14:textId="77777777" w:rsidR="00C743F8" w:rsidRDefault="000412EA">
      <w:pPr>
        <w:pStyle w:val="TOC2"/>
        <w:rPr>
          <w:rFonts w:asciiTheme="minorHAnsi" w:eastAsiaTheme="minorEastAsia" w:hAnsiTheme="minorHAnsi" w:cstheme="minorBidi"/>
          <w:sz w:val="22"/>
          <w:szCs w:val="22"/>
        </w:rPr>
      </w:pPr>
      <w:hyperlink w:anchor="_Toc393781896" w:history="1">
        <w:r w:rsidR="00C743F8" w:rsidRPr="004E4A37">
          <w:rPr>
            <w:rStyle w:val="Hyperlink"/>
          </w:rPr>
          <w:t>Our rationale</w:t>
        </w:r>
        <w:r w:rsidR="00C743F8">
          <w:rPr>
            <w:webHidden/>
          </w:rPr>
          <w:tab/>
        </w:r>
        <w:r w:rsidR="00C743F8">
          <w:rPr>
            <w:webHidden/>
          </w:rPr>
          <w:fldChar w:fldCharType="begin"/>
        </w:r>
        <w:r w:rsidR="00C743F8">
          <w:rPr>
            <w:webHidden/>
          </w:rPr>
          <w:instrText xml:space="preserve"> PAGEREF _Toc393781896 \h </w:instrText>
        </w:r>
        <w:r w:rsidR="00C743F8">
          <w:rPr>
            <w:webHidden/>
          </w:rPr>
        </w:r>
        <w:r w:rsidR="00C743F8">
          <w:rPr>
            <w:webHidden/>
          </w:rPr>
          <w:fldChar w:fldCharType="separate"/>
        </w:r>
        <w:r w:rsidR="00C743F8">
          <w:rPr>
            <w:webHidden/>
          </w:rPr>
          <w:t>6</w:t>
        </w:r>
        <w:r w:rsidR="00C743F8">
          <w:rPr>
            <w:webHidden/>
          </w:rPr>
          <w:fldChar w:fldCharType="end"/>
        </w:r>
      </w:hyperlink>
    </w:p>
    <w:p w14:paraId="0D40DB7B" w14:textId="77777777" w:rsidR="00C743F8" w:rsidRDefault="000412EA">
      <w:pPr>
        <w:pStyle w:val="TOC2"/>
        <w:rPr>
          <w:rFonts w:asciiTheme="minorHAnsi" w:eastAsiaTheme="minorEastAsia" w:hAnsiTheme="minorHAnsi" w:cstheme="minorBidi"/>
          <w:sz w:val="22"/>
          <w:szCs w:val="22"/>
        </w:rPr>
      </w:pPr>
      <w:hyperlink w:anchor="_Toc393781897" w:history="1">
        <w:r w:rsidR="00C743F8" w:rsidRPr="004E4A37">
          <w:rPr>
            <w:rStyle w:val="Hyperlink"/>
          </w:rPr>
          <w:t>Retained duties rate</w:t>
        </w:r>
        <w:r w:rsidR="00C743F8">
          <w:rPr>
            <w:webHidden/>
          </w:rPr>
          <w:tab/>
        </w:r>
        <w:r w:rsidR="00C743F8">
          <w:rPr>
            <w:webHidden/>
          </w:rPr>
          <w:fldChar w:fldCharType="begin"/>
        </w:r>
        <w:r w:rsidR="00C743F8">
          <w:rPr>
            <w:webHidden/>
          </w:rPr>
          <w:instrText xml:space="preserve"> PAGEREF _Toc393781897 \h </w:instrText>
        </w:r>
        <w:r w:rsidR="00C743F8">
          <w:rPr>
            <w:webHidden/>
          </w:rPr>
        </w:r>
        <w:r w:rsidR="00C743F8">
          <w:rPr>
            <w:webHidden/>
          </w:rPr>
          <w:fldChar w:fldCharType="separate"/>
        </w:r>
        <w:r w:rsidR="00C743F8">
          <w:rPr>
            <w:webHidden/>
          </w:rPr>
          <w:t>7</w:t>
        </w:r>
        <w:r w:rsidR="00C743F8">
          <w:rPr>
            <w:webHidden/>
          </w:rPr>
          <w:fldChar w:fldCharType="end"/>
        </w:r>
      </w:hyperlink>
    </w:p>
    <w:p w14:paraId="0C30BCB4" w14:textId="77777777" w:rsidR="00C743F8" w:rsidRDefault="000412EA">
      <w:pPr>
        <w:pStyle w:val="TOC2"/>
        <w:rPr>
          <w:rFonts w:asciiTheme="minorHAnsi" w:eastAsiaTheme="minorEastAsia" w:hAnsiTheme="minorHAnsi" w:cstheme="minorBidi"/>
          <w:sz w:val="22"/>
          <w:szCs w:val="22"/>
        </w:rPr>
      </w:pPr>
      <w:hyperlink w:anchor="_Toc393781898" w:history="1">
        <w:r w:rsidR="00C743F8" w:rsidRPr="004E4A37">
          <w:rPr>
            <w:rStyle w:val="Hyperlink"/>
          </w:rPr>
          <w:t>General funding rate</w:t>
        </w:r>
        <w:r w:rsidR="00C743F8">
          <w:rPr>
            <w:webHidden/>
          </w:rPr>
          <w:tab/>
        </w:r>
        <w:r w:rsidR="00C743F8">
          <w:rPr>
            <w:webHidden/>
          </w:rPr>
          <w:fldChar w:fldCharType="begin"/>
        </w:r>
        <w:r w:rsidR="00C743F8">
          <w:rPr>
            <w:webHidden/>
          </w:rPr>
          <w:instrText xml:space="preserve"> PAGEREF _Toc393781898 \h </w:instrText>
        </w:r>
        <w:r w:rsidR="00C743F8">
          <w:rPr>
            <w:webHidden/>
          </w:rPr>
        </w:r>
        <w:r w:rsidR="00C743F8">
          <w:rPr>
            <w:webHidden/>
          </w:rPr>
          <w:fldChar w:fldCharType="separate"/>
        </w:r>
        <w:r w:rsidR="00C743F8">
          <w:rPr>
            <w:webHidden/>
          </w:rPr>
          <w:t>7</w:t>
        </w:r>
        <w:r w:rsidR="00C743F8">
          <w:rPr>
            <w:webHidden/>
          </w:rPr>
          <w:fldChar w:fldCharType="end"/>
        </w:r>
      </w:hyperlink>
    </w:p>
    <w:p w14:paraId="44C3EFA6" w14:textId="77777777" w:rsidR="00C743F8" w:rsidRDefault="000412EA">
      <w:pPr>
        <w:pStyle w:val="TOC2"/>
        <w:rPr>
          <w:rFonts w:asciiTheme="minorHAnsi" w:eastAsiaTheme="minorEastAsia" w:hAnsiTheme="minorHAnsi" w:cstheme="minorBidi"/>
          <w:sz w:val="22"/>
          <w:szCs w:val="22"/>
        </w:rPr>
      </w:pPr>
      <w:hyperlink w:anchor="_Toc393781899" w:history="1">
        <w:r w:rsidR="00C743F8" w:rsidRPr="004E4A37">
          <w:rPr>
            <w:rStyle w:val="Hyperlink"/>
          </w:rPr>
          <w:t>School improvement</w:t>
        </w:r>
        <w:r w:rsidR="00C743F8">
          <w:rPr>
            <w:webHidden/>
          </w:rPr>
          <w:tab/>
        </w:r>
        <w:r w:rsidR="00C743F8">
          <w:rPr>
            <w:webHidden/>
          </w:rPr>
          <w:fldChar w:fldCharType="begin"/>
        </w:r>
        <w:r w:rsidR="00C743F8">
          <w:rPr>
            <w:webHidden/>
          </w:rPr>
          <w:instrText xml:space="preserve"> PAGEREF _Toc393781899 \h </w:instrText>
        </w:r>
        <w:r w:rsidR="00C743F8">
          <w:rPr>
            <w:webHidden/>
          </w:rPr>
        </w:r>
        <w:r w:rsidR="00C743F8">
          <w:rPr>
            <w:webHidden/>
          </w:rPr>
          <w:fldChar w:fldCharType="separate"/>
        </w:r>
        <w:r w:rsidR="00C743F8">
          <w:rPr>
            <w:webHidden/>
          </w:rPr>
          <w:t>9</w:t>
        </w:r>
        <w:r w:rsidR="00C743F8">
          <w:rPr>
            <w:webHidden/>
          </w:rPr>
          <w:fldChar w:fldCharType="end"/>
        </w:r>
      </w:hyperlink>
    </w:p>
    <w:p w14:paraId="2BCD9E3B" w14:textId="77777777" w:rsidR="00C743F8" w:rsidRDefault="000412EA">
      <w:pPr>
        <w:pStyle w:val="TOC2"/>
        <w:rPr>
          <w:rFonts w:asciiTheme="minorHAnsi" w:eastAsiaTheme="minorEastAsia" w:hAnsiTheme="minorHAnsi" w:cstheme="minorBidi"/>
          <w:sz w:val="22"/>
          <w:szCs w:val="22"/>
        </w:rPr>
      </w:pPr>
      <w:hyperlink w:anchor="_Toc393781900" w:history="1">
        <w:r w:rsidR="00C743F8" w:rsidRPr="004E4A37">
          <w:rPr>
            <w:rStyle w:val="Hyperlink"/>
          </w:rPr>
          <w:t>Statutory and regulatory duties</w:t>
        </w:r>
        <w:r w:rsidR="00C743F8">
          <w:rPr>
            <w:webHidden/>
          </w:rPr>
          <w:tab/>
        </w:r>
        <w:r w:rsidR="00C743F8">
          <w:rPr>
            <w:webHidden/>
          </w:rPr>
          <w:fldChar w:fldCharType="begin"/>
        </w:r>
        <w:r w:rsidR="00C743F8">
          <w:rPr>
            <w:webHidden/>
          </w:rPr>
          <w:instrText xml:space="preserve"> PAGEREF _Toc393781900 \h </w:instrText>
        </w:r>
        <w:r w:rsidR="00C743F8">
          <w:rPr>
            <w:webHidden/>
          </w:rPr>
        </w:r>
        <w:r w:rsidR="00C743F8">
          <w:rPr>
            <w:webHidden/>
          </w:rPr>
          <w:fldChar w:fldCharType="separate"/>
        </w:r>
        <w:r w:rsidR="00C743F8">
          <w:rPr>
            <w:webHidden/>
          </w:rPr>
          <w:t>10</w:t>
        </w:r>
        <w:r w:rsidR="00C743F8">
          <w:rPr>
            <w:webHidden/>
          </w:rPr>
          <w:fldChar w:fldCharType="end"/>
        </w:r>
      </w:hyperlink>
    </w:p>
    <w:p w14:paraId="0A3BF8A1" w14:textId="77777777" w:rsidR="00C743F8" w:rsidRDefault="000412EA">
      <w:pPr>
        <w:pStyle w:val="TOC2"/>
        <w:rPr>
          <w:rFonts w:asciiTheme="minorHAnsi" w:eastAsiaTheme="minorEastAsia" w:hAnsiTheme="minorHAnsi" w:cstheme="minorBidi"/>
          <w:sz w:val="22"/>
          <w:szCs w:val="22"/>
        </w:rPr>
      </w:pPr>
      <w:hyperlink w:anchor="_Toc393781901" w:history="1">
        <w:r w:rsidR="00C743F8" w:rsidRPr="004E4A37">
          <w:rPr>
            <w:rStyle w:val="Hyperlink"/>
          </w:rPr>
          <w:t>Education welfare services</w:t>
        </w:r>
        <w:r w:rsidR="00C743F8">
          <w:rPr>
            <w:webHidden/>
          </w:rPr>
          <w:tab/>
        </w:r>
        <w:r w:rsidR="00C743F8">
          <w:rPr>
            <w:webHidden/>
          </w:rPr>
          <w:fldChar w:fldCharType="begin"/>
        </w:r>
        <w:r w:rsidR="00C743F8">
          <w:rPr>
            <w:webHidden/>
          </w:rPr>
          <w:instrText xml:space="preserve"> PAGEREF _Toc393781901 \h </w:instrText>
        </w:r>
        <w:r w:rsidR="00C743F8">
          <w:rPr>
            <w:webHidden/>
          </w:rPr>
        </w:r>
        <w:r w:rsidR="00C743F8">
          <w:rPr>
            <w:webHidden/>
          </w:rPr>
          <w:fldChar w:fldCharType="separate"/>
        </w:r>
        <w:r w:rsidR="00C743F8">
          <w:rPr>
            <w:webHidden/>
          </w:rPr>
          <w:t>12</w:t>
        </w:r>
        <w:r w:rsidR="00C743F8">
          <w:rPr>
            <w:webHidden/>
          </w:rPr>
          <w:fldChar w:fldCharType="end"/>
        </w:r>
      </w:hyperlink>
    </w:p>
    <w:p w14:paraId="39BDFEFF" w14:textId="77777777" w:rsidR="00C743F8" w:rsidRDefault="000412EA">
      <w:pPr>
        <w:pStyle w:val="TOC2"/>
        <w:rPr>
          <w:rFonts w:asciiTheme="minorHAnsi" w:eastAsiaTheme="minorEastAsia" w:hAnsiTheme="minorHAnsi" w:cstheme="minorBidi"/>
          <w:sz w:val="22"/>
          <w:szCs w:val="22"/>
        </w:rPr>
      </w:pPr>
      <w:hyperlink w:anchor="_Toc393781902" w:history="1">
        <w:r w:rsidR="00C743F8" w:rsidRPr="004E4A37">
          <w:rPr>
            <w:rStyle w:val="Hyperlink"/>
          </w:rPr>
          <w:t>Central support services</w:t>
        </w:r>
        <w:r w:rsidR="00C743F8">
          <w:rPr>
            <w:webHidden/>
          </w:rPr>
          <w:tab/>
        </w:r>
        <w:r w:rsidR="00C743F8">
          <w:rPr>
            <w:webHidden/>
          </w:rPr>
          <w:fldChar w:fldCharType="begin"/>
        </w:r>
        <w:r w:rsidR="00C743F8">
          <w:rPr>
            <w:webHidden/>
          </w:rPr>
          <w:instrText xml:space="preserve"> PAGEREF _Toc393781902 \h </w:instrText>
        </w:r>
        <w:r w:rsidR="00C743F8">
          <w:rPr>
            <w:webHidden/>
          </w:rPr>
        </w:r>
        <w:r w:rsidR="00C743F8">
          <w:rPr>
            <w:webHidden/>
          </w:rPr>
          <w:fldChar w:fldCharType="separate"/>
        </w:r>
        <w:r w:rsidR="00C743F8">
          <w:rPr>
            <w:webHidden/>
          </w:rPr>
          <w:t>13</w:t>
        </w:r>
        <w:r w:rsidR="00C743F8">
          <w:rPr>
            <w:webHidden/>
          </w:rPr>
          <w:fldChar w:fldCharType="end"/>
        </w:r>
      </w:hyperlink>
    </w:p>
    <w:p w14:paraId="48EC538E" w14:textId="0D210E38" w:rsidR="00C743F8" w:rsidRDefault="000412EA">
      <w:pPr>
        <w:pStyle w:val="TOC2"/>
        <w:rPr>
          <w:rFonts w:asciiTheme="minorHAnsi" w:eastAsiaTheme="minorEastAsia" w:hAnsiTheme="minorHAnsi" w:cstheme="minorBidi"/>
          <w:sz w:val="22"/>
          <w:szCs w:val="22"/>
        </w:rPr>
      </w:pPr>
      <w:hyperlink w:anchor="_Toc393781903" w:history="1">
        <w:r w:rsidR="00C743F8" w:rsidRPr="004E4A37">
          <w:rPr>
            <w:rStyle w:val="Hyperlink"/>
          </w:rPr>
          <w:t>Asset management</w:t>
        </w:r>
        <w:r w:rsidR="00C743F8">
          <w:rPr>
            <w:webHidden/>
          </w:rPr>
          <w:tab/>
        </w:r>
        <w:r w:rsidR="00C743F8">
          <w:rPr>
            <w:webHidden/>
          </w:rPr>
          <w:fldChar w:fldCharType="begin"/>
        </w:r>
        <w:r w:rsidR="00C743F8">
          <w:rPr>
            <w:webHidden/>
          </w:rPr>
          <w:instrText xml:space="preserve"> PAGEREF _Toc393781903 \h </w:instrText>
        </w:r>
        <w:r w:rsidR="00C743F8">
          <w:rPr>
            <w:webHidden/>
          </w:rPr>
        </w:r>
        <w:r w:rsidR="00C743F8">
          <w:rPr>
            <w:webHidden/>
          </w:rPr>
          <w:fldChar w:fldCharType="separate"/>
        </w:r>
        <w:r w:rsidR="00C743F8">
          <w:rPr>
            <w:webHidden/>
          </w:rPr>
          <w:t>1</w:t>
        </w:r>
        <w:r w:rsidR="00C743F8">
          <w:rPr>
            <w:webHidden/>
          </w:rPr>
          <w:fldChar w:fldCharType="end"/>
        </w:r>
      </w:hyperlink>
      <w:r w:rsidR="00C42B0A">
        <w:t>5</w:t>
      </w:r>
    </w:p>
    <w:p w14:paraId="2D4E3D0A" w14:textId="3F0A7A9D" w:rsidR="00C743F8" w:rsidRDefault="000412EA">
      <w:pPr>
        <w:pStyle w:val="TOC2"/>
        <w:rPr>
          <w:rFonts w:asciiTheme="minorHAnsi" w:eastAsiaTheme="minorEastAsia" w:hAnsiTheme="minorHAnsi" w:cstheme="minorBidi"/>
          <w:sz w:val="22"/>
          <w:szCs w:val="22"/>
        </w:rPr>
      </w:pPr>
      <w:hyperlink w:anchor="_Toc393781904" w:history="1">
        <w:r w:rsidR="00C743F8" w:rsidRPr="004E4A37">
          <w:rPr>
            <w:rStyle w:val="Hyperlink"/>
          </w:rPr>
          <w:t>Premature retirement and redundancy costs</w:t>
        </w:r>
        <w:r w:rsidR="00C743F8">
          <w:rPr>
            <w:webHidden/>
          </w:rPr>
          <w:tab/>
        </w:r>
        <w:r w:rsidR="00C743F8">
          <w:rPr>
            <w:webHidden/>
          </w:rPr>
          <w:fldChar w:fldCharType="begin"/>
        </w:r>
        <w:r w:rsidR="00C743F8">
          <w:rPr>
            <w:webHidden/>
          </w:rPr>
          <w:instrText xml:space="preserve"> PAGEREF _Toc393781904 \h </w:instrText>
        </w:r>
        <w:r w:rsidR="00C743F8">
          <w:rPr>
            <w:webHidden/>
          </w:rPr>
        </w:r>
        <w:r w:rsidR="00C743F8">
          <w:rPr>
            <w:webHidden/>
          </w:rPr>
          <w:fldChar w:fldCharType="separate"/>
        </w:r>
        <w:r w:rsidR="00C743F8">
          <w:rPr>
            <w:webHidden/>
          </w:rPr>
          <w:t>1</w:t>
        </w:r>
        <w:r w:rsidR="00C743F8">
          <w:rPr>
            <w:webHidden/>
          </w:rPr>
          <w:fldChar w:fldCharType="end"/>
        </w:r>
      </w:hyperlink>
      <w:r w:rsidR="00C42B0A">
        <w:t>6</w:t>
      </w:r>
    </w:p>
    <w:p w14:paraId="2D8862EE" w14:textId="1BE8EFF8" w:rsidR="00C743F8" w:rsidRDefault="000412EA">
      <w:pPr>
        <w:pStyle w:val="TOC2"/>
        <w:rPr>
          <w:rFonts w:asciiTheme="minorHAnsi" w:eastAsiaTheme="minorEastAsia" w:hAnsiTheme="minorHAnsi" w:cstheme="minorBidi"/>
          <w:sz w:val="22"/>
          <w:szCs w:val="22"/>
        </w:rPr>
      </w:pPr>
      <w:hyperlink w:anchor="_Toc393781905" w:history="1">
        <w:r w:rsidR="00C743F8" w:rsidRPr="004E4A37">
          <w:rPr>
            <w:rStyle w:val="Hyperlink"/>
          </w:rPr>
          <w:t>Therapies and other health-related services</w:t>
        </w:r>
        <w:r w:rsidR="00C743F8">
          <w:rPr>
            <w:webHidden/>
          </w:rPr>
          <w:tab/>
        </w:r>
        <w:r w:rsidR="00C743F8">
          <w:rPr>
            <w:webHidden/>
          </w:rPr>
          <w:fldChar w:fldCharType="begin"/>
        </w:r>
        <w:r w:rsidR="00C743F8">
          <w:rPr>
            <w:webHidden/>
          </w:rPr>
          <w:instrText xml:space="preserve"> PAGEREF _Toc393781905 \h </w:instrText>
        </w:r>
        <w:r w:rsidR="00C743F8">
          <w:rPr>
            <w:webHidden/>
          </w:rPr>
        </w:r>
        <w:r w:rsidR="00C743F8">
          <w:rPr>
            <w:webHidden/>
          </w:rPr>
          <w:fldChar w:fldCharType="separate"/>
        </w:r>
        <w:r w:rsidR="00C743F8">
          <w:rPr>
            <w:webHidden/>
          </w:rPr>
          <w:t>1</w:t>
        </w:r>
        <w:r w:rsidR="00C743F8">
          <w:rPr>
            <w:webHidden/>
          </w:rPr>
          <w:fldChar w:fldCharType="end"/>
        </w:r>
      </w:hyperlink>
      <w:r w:rsidR="00C42B0A">
        <w:t>7</w:t>
      </w:r>
    </w:p>
    <w:p w14:paraId="64480413" w14:textId="1659233B" w:rsidR="00C743F8" w:rsidRDefault="000412EA">
      <w:pPr>
        <w:pStyle w:val="TOC2"/>
        <w:rPr>
          <w:rFonts w:asciiTheme="minorHAnsi" w:eastAsiaTheme="minorEastAsia" w:hAnsiTheme="minorHAnsi" w:cstheme="minorBidi"/>
          <w:sz w:val="22"/>
          <w:szCs w:val="22"/>
        </w:rPr>
      </w:pPr>
      <w:hyperlink w:anchor="_Toc393781906" w:history="1">
        <w:r w:rsidR="00C743F8" w:rsidRPr="004E4A37">
          <w:rPr>
            <w:rStyle w:val="Hyperlink"/>
          </w:rPr>
          <w:t>Monitoring national curriculum assessment</w:t>
        </w:r>
        <w:r w:rsidR="00C743F8">
          <w:rPr>
            <w:webHidden/>
          </w:rPr>
          <w:tab/>
        </w:r>
        <w:r w:rsidR="00C743F8">
          <w:rPr>
            <w:webHidden/>
          </w:rPr>
          <w:fldChar w:fldCharType="begin"/>
        </w:r>
        <w:r w:rsidR="00C743F8">
          <w:rPr>
            <w:webHidden/>
          </w:rPr>
          <w:instrText xml:space="preserve"> PAGEREF _Toc393781906 \h </w:instrText>
        </w:r>
        <w:r w:rsidR="00C743F8">
          <w:rPr>
            <w:webHidden/>
          </w:rPr>
        </w:r>
        <w:r w:rsidR="00C743F8">
          <w:rPr>
            <w:webHidden/>
          </w:rPr>
          <w:fldChar w:fldCharType="separate"/>
        </w:r>
        <w:r w:rsidR="00C743F8">
          <w:rPr>
            <w:webHidden/>
          </w:rPr>
          <w:t>1</w:t>
        </w:r>
        <w:r w:rsidR="00C743F8">
          <w:rPr>
            <w:webHidden/>
          </w:rPr>
          <w:fldChar w:fldCharType="end"/>
        </w:r>
      </w:hyperlink>
      <w:r w:rsidR="00C42B0A">
        <w:t>8</w:t>
      </w:r>
    </w:p>
    <w:p w14:paraId="39D12EE9" w14:textId="75A739CB" w:rsidR="00C743F8" w:rsidRDefault="000412EA">
      <w:pPr>
        <w:pStyle w:val="TOC1"/>
        <w:rPr>
          <w:rFonts w:asciiTheme="minorHAnsi" w:eastAsiaTheme="minorEastAsia" w:hAnsiTheme="minorHAnsi" w:cstheme="minorBidi"/>
          <w:sz w:val="22"/>
          <w:szCs w:val="22"/>
        </w:rPr>
      </w:pPr>
      <w:hyperlink w:anchor="_Toc393781907" w:history="1">
        <w:r w:rsidR="00C743F8" w:rsidRPr="004E4A37">
          <w:rPr>
            <w:rStyle w:val="Hyperlink"/>
            <w:rFonts w:eastAsiaTheme="minorHAnsi" w:cs="Arial"/>
            <w:lang w:eastAsia="en-US"/>
          </w:rPr>
          <w:t>Chapter 2 – How a local authority might choose to spend ESG in 2015-16</w:t>
        </w:r>
        <w:r w:rsidR="00C743F8">
          <w:rPr>
            <w:webHidden/>
          </w:rPr>
          <w:tab/>
        </w:r>
        <w:r w:rsidR="00C743F8">
          <w:rPr>
            <w:webHidden/>
          </w:rPr>
          <w:fldChar w:fldCharType="begin"/>
        </w:r>
        <w:r w:rsidR="00C743F8">
          <w:rPr>
            <w:webHidden/>
          </w:rPr>
          <w:instrText xml:space="preserve"> PAGEREF _Toc393781907 \h </w:instrText>
        </w:r>
        <w:r w:rsidR="00C743F8">
          <w:rPr>
            <w:webHidden/>
          </w:rPr>
        </w:r>
        <w:r w:rsidR="00C743F8">
          <w:rPr>
            <w:webHidden/>
          </w:rPr>
          <w:fldChar w:fldCharType="separate"/>
        </w:r>
        <w:r w:rsidR="00C743F8">
          <w:rPr>
            <w:webHidden/>
          </w:rPr>
          <w:t>1</w:t>
        </w:r>
        <w:r w:rsidR="00C743F8">
          <w:rPr>
            <w:webHidden/>
          </w:rPr>
          <w:fldChar w:fldCharType="end"/>
        </w:r>
      </w:hyperlink>
      <w:r w:rsidR="00086057">
        <w:t>9</w:t>
      </w:r>
    </w:p>
    <w:p w14:paraId="29016A9A" w14:textId="49538F5A" w:rsidR="00C743F8" w:rsidRDefault="000412EA">
      <w:pPr>
        <w:pStyle w:val="TOC1"/>
        <w:rPr>
          <w:rFonts w:asciiTheme="minorHAnsi" w:eastAsiaTheme="minorEastAsia" w:hAnsiTheme="minorHAnsi" w:cstheme="minorBidi"/>
          <w:sz w:val="22"/>
          <w:szCs w:val="22"/>
        </w:rPr>
      </w:pPr>
      <w:hyperlink w:anchor="_Toc393781908" w:history="1">
        <w:r w:rsidR="00C743F8" w:rsidRPr="004E4A37">
          <w:rPr>
            <w:rStyle w:val="Hyperlink"/>
            <w:rFonts w:cs="Arial"/>
          </w:rPr>
          <w:t xml:space="preserve">Chapter 3 – </w:t>
        </w:r>
        <w:r w:rsidR="00C743F8" w:rsidRPr="004E4A37">
          <w:rPr>
            <w:rStyle w:val="Hyperlink"/>
            <w:rFonts w:eastAsiaTheme="minorHAnsi" w:cs="Arial"/>
          </w:rPr>
          <w:t>Impact on academies</w:t>
        </w:r>
        <w:r w:rsidR="00C743F8">
          <w:rPr>
            <w:webHidden/>
          </w:rPr>
          <w:tab/>
        </w:r>
        <w:r w:rsidR="00C743F8">
          <w:rPr>
            <w:webHidden/>
          </w:rPr>
          <w:fldChar w:fldCharType="begin"/>
        </w:r>
        <w:r w:rsidR="00C743F8">
          <w:rPr>
            <w:webHidden/>
          </w:rPr>
          <w:instrText xml:space="preserve"> PAGEREF _Toc393781908 \h </w:instrText>
        </w:r>
        <w:r w:rsidR="00C743F8">
          <w:rPr>
            <w:webHidden/>
          </w:rPr>
        </w:r>
        <w:r w:rsidR="00C743F8">
          <w:rPr>
            <w:webHidden/>
          </w:rPr>
          <w:fldChar w:fldCharType="separate"/>
        </w:r>
        <w:r w:rsidR="00C743F8">
          <w:rPr>
            <w:webHidden/>
          </w:rPr>
          <w:t>2</w:t>
        </w:r>
        <w:r w:rsidR="00C743F8">
          <w:rPr>
            <w:webHidden/>
          </w:rPr>
          <w:fldChar w:fldCharType="end"/>
        </w:r>
      </w:hyperlink>
      <w:r w:rsidR="00086057">
        <w:t>3</w:t>
      </w:r>
    </w:p>
    <w:p w14:paraId="36635423" w14:textId="4E96D61C" w:rsidR="00C743F8" w:rsidRDefault="000412EA">
      <w:pPr>
        <w:pStyle w:val="TOC2"/>
        <w:rPr>
          <w:rFonts w:asciiTheme="minorHAnsi" w:eastAsiaTheme="minorEastAsia" w:hAnsiTheme="minorHAnsi" w:cstheme="minorBidi"/>
          <w:sz w:val="22"/>
          <w:szCs w:val="22"/>
        </w:rPr>
      </w:pPr>
      <w:hyperlink w:anchor="_Toc393781909" w:history="1">
        <w:r w:rsidR="00C743F8" w:rsidRPr="004E4A37">
          <w:rPr>
            <w:rStyle w:val="Hyperlink"/>
          </w:rPr>
          <w:t>Rates for alternative provision academies and special academies</w:t>
        </w:r>
        <w:r w:rsidR="00C743F8">
          <w:rPr>
            <w:webHidden/>
          </w:rPr>
          <w:tab/>
        </w:r>
        <w:r w:rsidR="00C743F8">
          <w:rPr>
            <w:webHidden/>
          </w:rPr>
          <w:fldChar w:fldCharType="begin"/>
        </w:r>
        <w:r w:rsidR="00C743F8">
          <w:rPr>
            <w:webHidden/>
          </w:rPr>
          <w:instrText xml:space="preserve"> PAGEREF _Toc393781909 \h </w:instrText>
        </w:r>
        <w:r w:rsidR="00C743F8">
          <w:rPr>
            <w:webHidden/>
          </w:rPr>
        </w:r>
        <w:r w:rsidR="00C743F8">
          <w:rPr>
            <w:webHidden/>
          </w:rPr>
          <w:fldChar w:fldCharType="separate"/>
        </w:r>
        <w:r w:rsidR="00C743F8">
          <w:rPr>
            <w:webHidden/>
          </w:rPr>
          <w:t>2</w:t>
        </w:r>
        <w:r w:rsidR="00C743F8">
          <w:rPr>
            <w:webHidden/>
          </w:rPr>
          <w:fldChar w:fldCharType="end"/>
        </w:r>
      </w:hyperlink>
      <w:r w:rsidR="00086057">
        <w:t>5</w:t>
      </w:r>
    </w:p>
    <w:p w14:paraId="1B9F936A" w14:textId="306A5E2C" w:rsidR="00C743F8" w:rsidRDefault="000412EA">
      <w:pPr>
        <w:pStyle w:val="TOC1"/>
        <w:rPr>
          <w:rFonts w:asciiTheme="minorHAnsi" w:eastAsiaTheme="minorEastAsia" w:hAnsiTheme="minorHAnsi" w:cstheme="minorBidi"/>
          <w:sz w:val="22"/>
          <w:szCs w:val="22"/>
        </w:rPr>
      </w:pPr>
      <w:hyperlink w:anchor="_Toc393781910" w:history="1">
        <w:r w:rsidR="00C743F8" w:rsidRPr="004E4A37">
          <w:rPr>
            <w:rStyle w:val="Hyperlink"/>
            <w:rFonts w:cs="Arial"/>
          </w:rPr>
          <w:t>Chapter 4 – Clarification of duties in relation to education services</w:t>
        </w:r>
        <w:r w:rsidR="00C743F8">
          <w:rPr>
            <w:webHidden/>
          </w:rPr>
          <w:tab/>
        </w:r>
        <w:r w:rsidR="00C743F8">
          <w:rPr>
            <w:webHidden/>
          </w:rPr>
          <w:fldChar w:fldCharType="begin"/>
        </w:r>
        <w:r w:rsidR="00C743F8">
          <w:rPr>
            <w:webHidden/>
          </w:rPr>
          <w:instrText xml:space="preserve"> PAGEREF _Toc393781910 \h </w:instrText>
        </w:r>
        <w:r w:rsidR="00C743F8">
          <w:rPr>
            <w:webHidden/>
          </w:rPr>
        </w:r>
        <w:r w:rsidR="00C743F8">
          <w:rPr>
            <w:webHidden/>
          </w:rPr>
          <w:fldChar w:fldCharType="separate"/>
        </w:r>
        <w:r w:rsidR="00C743F8">
          <w:rPr>
            <w:webHidden/>
          </w:rPr>
          <w:t>2</w:t>
        </w:r>
        <w:r w:rsidR="00C743F8">
          <w:rPr>
            <w:webHidden/>
          </w:rPr>
          <w:fldChar w:fldCharType="end"/>
        </w:r>
      </w:hyperlink>
      <w:r w:rsidR="00086057">
        <w:t>6</w:t>
      </w:r>
    </w:p>
    <w:p w14:paraId="53E71509" w14:textId="7DA7D0F4" w:rsidR="00C743F8" w:rsidRDefault="000412EA">
      <w:pPr>
        <w:pStyle w:val="TOC1"/>
        <w:rPr>
          <w:rFonts w:asciiTheme="minorHAnsi" w:eastAsiaTheme="minorEastAsia" w:hAnsiTheme="minorHAnsi" w:cstheme="minorBidi"/>
          <w:sz w:val="22"/>
          <w:szCs w:val="22"/>
        </w:rPr>
      </w:pPr>
      <w:hyperlink w:anchor="_Toc393781911" w:history="1">
        <w:r w:rsidR="00C743F8" w:rsidRPr="004E4A37">
          <w:rPr>
            <w:rStyle w:val="Hyperlink"/>
            <w:rFonts w:cs="Arial"/>
          </w:rPr>
          <w:t>Chapter 5 – Additional funding for music services</w:t>
        </w:r>
        <w:r w:rsidR="00C743F8">
          <w:rPr>
            <w:webHidden/>
          </w:rPr>
          <w:tab/>
        </w:r>
        <w:r w:rsidR="00C743F8">
          <w:rPr>
            <w:webHidden/>
          </w:rPr>
          <w:fldChar w:fldCharType="begin"/>
        </w:r>
        <w:r w:rsidR="00C743F8">
          <w:rPr>
            <w:webHidden/>
          </w:rPr>
          <w:instrText xml:space="preserve"> PAGEREF _Toc393781911 \h </w:instrText>
        </w:r>
        <w:r w:rsidR="00C743F8">
          <w:rPr>
            <w:webHidden/>
          </w:rPr>
        </w:r>
        <w:r w:rsidR="00C743F8">
          <w:rPr>
            <w:webHidden/>
          </w:rPr>
          <w:fldChar w:fldCharType="separate"/>
        </w:r>
        <w:r w:rsidR="00C743F8">
          <w:rPr>
            <w:webHidden/>
          </w:rPr>
          <w:t>2</w:t>
        </w:r>
        <w:r w:rsidR="00C743F8">
          <w:rPr>
            <w:webHidden/>
          </w:rPr>
          <w:fldChar w:fldCharType="end"/>
        </w:r>
      </w:hyperlink>
      <w:r w:rsidR="00086057">
        <w:t>7</w:t>
      </w:r>
    </w:p>
    <w:p w14:paraId="13B519E4" w14:textId="77777777" w:rsidR="00780950" w:rsidRPr="0062034A" w:rsidRDefault="001615DF" w:rsidP="002A50C6">
      <w:pPr>
        <w:pStyle w:val="TOC1"/>
        <w:tabs>
          <w:tab w:val="clear" w:pos="9498"/>
          <w:tab w:val="left" w:pos="3382"/>
        </w:tabs>
        <w:rPr>
          <w:rStyle w:val="Hyperlink"/>
          <w:rFonts w:cs="Arial"/>
          <w:color w:val="auto"/>
          <w:u w:val="none"/>
        </w:rPr>
      </w:pPr>
      <w:r w:rsidRPr="0062034A">
        <w:rPr>
          <w:rFonts w:cs="Arial"/>
        </w:rPr>
        <w:fldChar w:fldCharType="end"/>
      </w:r>
    </w:p>
    <w:p w14:paraId="13B519E5" w14:textId="77777777" w:rsidR="00F43A3F" w:rsidRPr="0062034A" w:rsidRDefault="004211C0" w:rsidP="00F14430">
      <w:pPr>
        <w:pStyle w:val="Heading1"/>
        <w:rPr>
          <w:rFonts w:cs="Arial"/>
        </w:rPr>
      </w:pPr>
      <w:bookmarkStart w:id="1" w:name="_Toc393781894"/>
      <w:bookmarkStart w:id="2" w:name="_Toc373223079"/>
      <w:bookmarkStart w:id="3" w:name="_Toc346793416"/>
      <w:bookmarkStart w:id="4" w:name="_Toc357771638"/>
      <w:bookmarkStart w:id="5" w:name="_Toc328122777"/>
      <w:r w:rsidRPr="0062034A">
        <w:rPr>
          <w:rFonts w:cs="Arial"/>
        </w:rPr>
        <w:lastRenderedPageBreak/>
        <w:t>Introduction</w:t>
      </w:r>
      <w:bookmarkEnd w:id="1"/>
      <w:r w:rsidRPr="0062034A">
        <w:rPr>
          <w:rFonts w:cs="Arial"/>
        </w:rPr>
        <w:t xml:space="preserve"> </w:t>
      </w:r>
    </w:p>
    <w:p w14:paraId="7C9E655C" w14:textId="16CDC338" w:rsidR="00553E9B" w:rsidRPr="0062034A" w:rsidRDefault="00553E9B" w:rsidP="00172919">
      <w:r w:rsidRPr="0062034A">
        <w:t>The Education Services Grant (ESG) was introduced in 2013 to replace the Local Authority Central Spend Equivalent Grant (LACSEG)</w:t>
      </w:r>
      <w:r w:rsidR="005115F2">
        <w:t>,</w:t>
      </w:r>
      <w:r w:rsidRPr="0062034A">
        <w:t xml:space="preserve"> which was paid to academies to cover the cost of the services that local authorities provide centrally to maintained schools but that academies must secure independently. As LACSEG allocations were based on the spending</w:t>
      </w:r>
      <w:r w:rsidR="00E93FBE">
        <w:t xml:space="preserve"> decisions of local authorities</w:t>
      </w:r>
      <w:r w:rsidRPr="0062034A">
        <w:t xml:space="preserve"> the system created a large variation in allocations </w:t>
      </w:r>
      <w:r w:rsidR="00E93FBE">
        <w:t>to academies across the country</w:t>
      </w:r>
      <w:r w:rsidRPr="0062034A">
        <w:t xml:space="preserve"> and uncertainty about allocations from one year to the next.</w:t>
      </w:r>
    </w:p>
    <w:p w14:paraId="63A36B1D" w14:textId="64D83104" w:rsidR="00553E9B" w:rsidRPr="0062034A" w:rsidRDefault="00553E9B" w:rsidP="00172919">
      <w:r w:rsidRPr="0062034A">
        <w:t xml:space="preserve">The LACSEG arrangements were designed </w:t>
      </w:r>
      <w:r w:rsidR="00E93FBE">
        <w:t>when there were fewer academies</w:t>
      </w:r>
      <w:r w:rsidRPr="0062034A">
        <w:t xml:space="preserve"> and the rationale for the introduction of ESG was to make funding of education services more appropriate to the increasing number of academies and the increasingly autonomous school system.</w:t>
      </w:r>
      <w:r w:rsidR="00B14771">
        <w:t xml:space="preserve"> </w:t>
      </w:r>
      <w:r w:rsidRPr="0062034A">
        <w:t xml:space="preserve">The introduction of a national per pupil rate for ESG has made the system for funding education services simpler, fairer and more transparent. </w:t>
      </w:r>
    </w:p>
    <w:p w14:paraId="6756C6C0" w14:textId="2E22D514" w:rsidR="00553E9B" w:rsidRPr="0062034A" w:rsidRDefault="00553E9B" w:rsidP="00172919">
      <w:r w:rsidRPr="0062034A">
        <w:t>ESG is paid to local authorities and academies on a per pupil basis as an un-ringfenced grant. Local authorities receive additional funding for the obligations that that they have to fulfil to both academies and maintained schools (known as “retained duties”). Table 1 below sets out the ESG rates for 2013-14 and 2014-15.</w:t>
      </w:r>
    </w:p>
    <w:tbl>
      <w:tblPr>
        <w:tblW w:w="8130" w:type="dxa"/>
        <w:jc w:val="center"/>
        <w:tblCellMar>
          <w:top w:w="57" w:type="dxa"/>
          <w:left w:w="57" w:type="dxa"/>
          <w:bottom w:w="57" w:type="dxa"/>
          <w:right w:w="567" w:type="dxa"/>
        </w:tblCellMar>
        <w:tblLook w:val="04A0" w:firstRow="1" w:lastRow="0" w:firstColumn="1" w:lastColumn="0" w:noHBand="0" w:noVBand="1"/>
        <w:tblCaption w:val="Table"/>
        <w:tblDescription w:val="A table highlighting the average group size thresholds that will apply for 2015-16, detailing the rationale for each phase."/>
      </w:tblPr>
      <w:tblGrid>
        <w:gridCol w:w="4302"/>
        <w:gridCol w:w="1913"/>
        <w:gridCol w:w="1915"/>
      </w:tblGrid>
      <w:tr w:rsidR="002A1078" w:rsidRPr="002A1078" w14:paraId="030310E0" w14:textId="77777777" w:rsidTr="0028077E">
        <w:trPr>
          <w:cantSplit/>
          <w:trHeight w:val="551"/>
          <w:jc w:val="center"/>
        </w:trPr>
        <w:tc>
          <w:tcPr>
            <w:tcW w:w="4302" w:type="dxa"/>
            <w:tcBorders>
              <w:top w:val="single" w:sz="4" w:space="0" w:color="auto"/>
              <w:left w:val="single" w:sz="4" w:space="0" w:color="auto"/>
              <w:bottom w:val="single" w:sz="4" w:space="0" w:color="auto"/>
              <w:right w:val="single" w:sz="4" w:space="0" w:color="auto"/>
            </w:tcBorders>
            <w:shd w:val="clear" w:color="auto" w:fill="CFDCE3"/>
          </w:tcPr>
          <w:p w14:paraId="09D7E367" w14:textId="77777777" w:rsidR="002A1078" w:rsidRPr="002A1078" w:rsidRDefault="002A1078" w:rsidP="00553E9B">
            <w:pPr>
              <w:pStyle w:val="TableRow"/>
              <w:rPr>
                <w:rFonts w:cs="Arial"/>
              </w:rPr>
            </w:pPr>
          </w:p>
        </w:tc>
        <w:tc>
          <w:tcPr>
            <w:tcW w:w="1913" w:type="dxa"/>
            <w:tcBorders>
              <w:top w:val="single" w:sz="4" w:space="0" w:color="auto"/>
              <w:left w:val="single" w:sz="4" w:space="0" w:color="auto"/>
              <w:bottom w:val="single" w:sz="4" w:space="0" w:color="auto"/>
              <w:right w:val="single" w:sz="4" w:space="0" w:color="auto"/>
            </w:tcBorders>
            <w:shd w:val="clear" w:color="auto" w:fill="CFDCE3"/>
            <w:vAlign w:val="center"/>
          </w:tcPr>
          <w:p w14:paraId="3A3BAB94" w14:textId="2A2E15F7" w:rsidR="002A1078" w:rsidRPr="002A1078" w:rsidRDefault="002A1078" w:rsidP="0028077E">
            <w:pPr>
              <w:pStyle w:val="TableRow"/>
              <w:ind w:right="-355"/>
              <w:jc w:val="center"/>
              <w:rPr>
                <w:rFonts w:cs="Arial"/>
              </w:rPr>
            </w:pPr>
            <w:r w:rsidRPr="00614E72">
              <w:rPr>
                <w:rFonts w:cs="Arial"/>
                <w:b/>
              </w:rPr>
              <w:t>2013-14</w:t>
            </w:r>
          </w:p>
        </w:tc>
        <w:tc>
          <w:tcPr>
            <w:tcW w:w="1915" w:type="dxa"/>
            <w:tcBorders>
              <w:top w:val="single" w:sz="4" w:space="0" w:color="auto"/>
              <w:left w:val="single" w:sz="4" w:space="0" w:color="auto"/>
              <w:bottom w:val="single" w:sz="4" w:space="0" w:color="auto"/>
              <w:right w:val="single" w:sz="4" w:space="0" w:color="auto"/>
            </w:tcBorders>
            <w:shd w:val="clear" w:color="auto" w:fill="CFDCE3"/>
            <w:vAlign w:val="center"/>
          </w:tcPr>
          <w:p w14:paraId="1E321958" w14:textId="450D7042" w:rsidR="002A1078" w:rsidRPr="002A1078" w:rsidRDefault="002A1078" w:rsidP="0028077E">
            <w:pPr>
              <w:pStyle w:val="TableRow"/>
              <w:jc w:val="center"/>
              <w:rPr>
                <w:rFonts w:cs="Arial"/>
              </w:rPr>
            </w:pPr>
            <w:r w:rsidRPr="00614E72">
              <w:rPr>
                <w:rFonts w:cs="Arial"/>
                <w:b/>
              </w:rPr>
              <w:t>2014-15</w:t>
            </w:r>
          </w:p>
        </w:tc>
      </w:tr>
      <w:tr w:rsidR="00553E9B" w:rsidRPr="002A1078" w14:paraId="0E7B6DAD" w14:textId="77777777" w:rsidTr="0028077E">
        <w:trPr>
          <w:cantSplit/>
          <w:trHeight w:val="466"/>
          <w:jc w:val="center"/>
        </w:trPr>
        <w:tc>
          <w:tcPr>
            <w:tcW w:w="4302" w:type="dxa"/>
            <w:tcBorders>
              <w:top w:val="single" w:sz="4" w:space="0" w:color="auto"/>
              <w:left w:val="single" w:sz="4" w:space="0" w:color="auto"/>
              <w:bottom w:val="single" w:sz="4" w:space="0" w:color="auto"/>
              <w:right w:val="single" w:sz="4" w:space="0" w:color="auto"/>
            </w:tcBorders>
          </w:tcPr>
          <w:p w14:paraId="2D8B32D3" w14:textId="77777777" w:rsidR="00553E9B" w:rsidRPr="0028077E" w:rsidRDefault="00553E9B" w:rsidP="00553E9B">
            <w:pPr>
              <w:pStyle w:val="TableRow"/>
              <w:rPr>
                <w:rFonts w:cs="Arial"/>
              </w:rPr>
            </w:pPr>
            <w:r w:rsidRPr="002A1078">
              <w:rPr>
                <w:rFonts w:cs="Arial"/>
              </w:rPr>
              <w:t>Total ESG</w:t>
            </w:r>
          </w:p>
        </w:tc>
        <w:tc>
          <w:tcPr>
            <w:tcW w:w="1913" w:type="dxa"/>
            <w:tcBorders>
              <w:top w:val="single" w:sz="4" w:space="0" w:color="auto"/>
              <w:left w:val="single" w:sz="4" w:space="0" w:color="auto"/>
              <w:bottom w:val="single" w:sz="4" w:space="0" w:color="auto"/>
              <w:right w:val="single" w:sz="4" w:space="0" w:color="auto"/>
            </w:tcBorders>
          </w:tcPr>
          <w:p w14:paraId="50299381" w14:textId="0B4512FA" w:rsidR="00553E9B" w:rsidRPr="0028077E" w:rsidRDefault="00553E9B" w:rsidP="0028077E">
            <w:pPr>
              <w:pStyle w:val="TableRow"/>
              <w:ind w:right="-355"/>
              <w:jc w:val="right"/>
              <w:rPr>
                <w:rFonts w:cs="Arial"/>
              </w:rPr>
            </w:pPr>
            <w:r w:rsidRPr="002A1078">
              <w:rPr>
                <w:rFonts w:cs="Arial"/>
              </w:rPr>
              <w:t>£1.03</w:t>
            </w:r>
            <w:r w:rsidR="00EC06C5" w:rsidRPr="002A1078">
              <w:rPr>
                <w:rFonts w:cs="Arial"/>
              </w:rPr>
              <w:t xml:space="preserve"> </w:t>
            </w:r>
            <w:r w:rsidRPr="002A1078">
              <w:rPr>
                <w:rFonts w:cs="Arial"/>
              </w:rPr>
              <w:t>billion</w:t>
            </w:r>
          </w:p>
        </w:tc>
        <w:tc>
          <w:tcPr>
            <w:tcW w:w="1915" w:type="dxa"/>
            <w:tcBorders>
              <w:top w:val="single" w:sz="4" w:space="0" w:color="auto"/>
              <w:left w:val="single" w:sz="4" w:space="0" w:color="auto"/>
              <w:bottom w:val="single" w:sz="4" w:space="0" w:color="auto"/>
              <w:right w:val="single" w:sz="4" w:space="0" w:color="auto"/>
            </w:tcBorders>
          </w:tcPr>
          <w:p w14:paraId="660CA74F" w14:textId="73F5C7C6" w:rsidR="00553E9B" w:rsidRPr="0028077E" w:rsidRDefault="00553E9B" w:rsidP="0028077E">
            <w:pPr>
              <w:pStyle w:val="TableRow"/>
              <w:ind w:right="-258"/>
              <w:jc w:val="right"/>
              <w:rPr>
                <w:rFonts w:cs="Arial"/>
              </w:rPr>
            </w:pPr>
            <w:r w:rsidRPr="002A1078">
              <w:rPr>
                <w:rFonts w:cs="Arial"/>
              </w:rPr>
              <w:t>£1.02</w:t>
            </w:r>
            <w:r w:rsidR="00EC06C5" w:rsidRPr="002A1078">
              <w:rPr>
                <w:rFonts w:cs="Arial"/>
              </w:rPr>
              <w:t xml:space="preserve"> </w:t>
            </w:r>
            <w:r w:rsidRPr="002A1078">
              <w:rPr>
                <w:rFonts w:cs="Arial"/>
              </w:rPr>
              <w:t>billion</w:t>
            </w:r>
          </w:p>
        </w:tc>
      </w:tr>
      <w:tr w:rsidR="00553E9B" w:rsidRPr="0062034A" w14:paraId="7F2A27A8" w14:textId="77777777" w:rsidTr="0028077E">
        <w:trPr>
          <w:cantSplit/>
          <w:jc w:val="center"/>
        </w:trPr>
        <w:tc>
          <w:tcPr>
            <w:tcW w:w="4302" w:type="dxa"/>
            <w:tcBorders>
              <w:top w:val="single" w:sz="4" w:space="0" w:color="auto"/>
              <w:left w:val="single" w:sz="4" w:space="0" w:color="auto"/>
              <w:bottom w:val="single" w:sz="4" w:space="0" w:color="auto"/>
              <w:right w:val="single" w:sz="4" w:space="0" w:color="auto"/>
            </w:tcBorders>
          </w:tcPr>
          <w:p w14:paraId="302B2F82" w14:textId="77777777" w:rsidR="00553E9B" w:rsidRPr="0062034A" w:rsidRDefault="00553E9B" w:rsidP="00553E9B">
            <w:pPr>
              <w:pStyle w:val="TableRow"/>
              <w:rPr>
                <w:rFonts w:eastAsiaTheme="minorHAnsi" w:cs="Arial"/>
              </w:rPr>
            </w:pPr>
            <w:r w:rsidRPr="0062034A">
              <w:rPr>
                <w:rFonts w:cs="Arial"/>
                <w:b/>
              </w:rPr>
              <w:t>Retained duties rate</w:t>
            </w:r>
            <w:r w:rsidRPr="0062034A">
              <w:rPr>
                <w:rFonts w:cs="Arial"/>
              </w:rPr>
              <w:t xml:space="preserve"> (paid to local authorities for every pupil, both at maintained schools and academies)</w:t>
            </w:r>
          </w:p>
        </w:tc>
        <w:tc>
          <w:tcPr>
            <w:tcW w:w="1913" w:type="dxa"/>
            <w:tcBorders>
              <w:top w:val="single" w:sz="4" w:space="0" w:color="auto"/>
              <w:left w:val="single" w:sz="4" w:space="0" w:color="auto"/>
              <w:bottom w:val="single" w:sz="4" w:space="0" w:color="auto"/>
              <w:right w:val="single" w:sz="4" w:space="0" w:color="auto"/>
            </w:tcBorders>
          </w:tcPr>
          <w:p w14:paraId="03CA67C5" w14:textId="77777777" w:rsidR="00553E9B" w:rsidRPr="0062034A" w:rsidRDefault="00553E9B" w:rsidP="0028077E">
            <w:pPr>
              <w:pStyle w:val="TableRow"/>
              <w:ind w:right="-47"/>
              <w:jc w:val="right"/>
              <w:rPr>
                <w:rFonts w:eastAsiaTheme="minorHAnsi" w:cs="Arial"/>
              </w:rPr>
            </w:pPr>
            <w:r w:rsidRPr="0062034A">
              <w:rPr>
                <w:rFonts w:cs="Arial"/>
              </w:rPr>
              <w:t>£15</w:t>
            </w:r>
          </w:p>
        </w:tc>
        <w:tc>
          <w:tcPr>
            <w:tcW w:w="1915" w:type="dxa"/>
            <w:tcBorders>
              <w:top w:val="single" w:sz="4" w:space="0" w:color="auto"/>
              <w:left w:val="single" w:sz="4" w:space="0" w:color="auto"/>
              <w:bottom w:val="single" w:sz="4" w:space="0" w:color="auto"/>
              <w:right w:val="single" w:sz="4" w:space="0" w:color="auto"/>
            </w:tcBorders>
          </w:tcPr>
          <w:p w14:paraId="06FBA65E" w14:textId="77777777" w:rsidR="00553E9B" w:rsidRPr="0062034A" w:rsidRDefault="00553E9B" w:rsidP="0028077E">
            <w:pPr>
              <w:pStyle w:val="TableRow"/>
              <w:ind w:right="-47"/>
              <w:jc w:val="right"/>
              <w:rPr>
                <w:rFonts w:eastAsiaTheme="minorHAnsi" w:cs="Arial"/>
              </w:rPr>
            </w:pPr>
            <w:r w:rsidRPr="0062034A">
              <w:rPr>
                <w:rFonts w:cs="Arial"/>
              </w:rPr>
              <w:t>£15</w:t>
            </w:r>
          </w:p>
        </w:tc>
      </w:tr>
      <w:tr w:rsidR="00553E9B" w:rsidRPr="0062034A" w14:paraId="2FA7014A" w14:textId="77777777" w:rsidTr="0028077E">
        <w:trPr>
          <w:cantSplit/>
          <w:jc w:val="center"/>
        </w:trPr>
        <w:tc>
          <w:tcPr>
            <w:tcW w:w="4302" w:type="dxa"/>
            <w:tcBorders>
              <w:top w:val="single" w:sz="4" w:space="0" w:color="auto"/>
              <w:left w:val="single" w:sz="4" w:space="0" w:color="auto"/>
              <w:bottom w:val="single" w:sz="4" w:space="0" w:color="auto"/>
              <w:right w:val="single" w:sz="4" w:space="0" w:color="auto"/>
            </w:tcBorders>
          </w:tcPr>
          <w:p w14:paraId="0F404B20" w14:textId="77777777" w:rsidR="00553E9B" w:rsidRPr="0062034A" w:rsidRDefault="00553E9B" w:rsidP="00553E9B">
            <w:pPr>
              <w:pStyle w:val="TableRow"/>
              <w:rPr>
                <w:rFonts w:eastAsiaTheme="minorHAnsi" w:cs="Arial"/>
              </w:rPr>
            </w:pPr>
            <w:r w:rsidRPr="0062034A">
              <w:rPr>
                <w:rFonts w:cs="Arial"/>
                <w:b/>
              </w:rPr>
              <w:t xml:space="preserve">General funding rate </w:t>
            </w:r>
            <w:r w:rsidRPr="0062034A">
              <w:rPr>
                <w:rFonts w:cs="Arial"/>
              </w:rPr>
              <w:t>( paid to LAs for pupils in maintained schools and to academies</w:t>
            </w:r>
            <w:r w:rsidRPr="0062034A">
              <w:rPr>
                <w:rStyle w:val="FootnoteReference"/>
                <w:rFonts w:cs="Arial"/>
              </w:rPr>
              <w:footnoteReference w:id="1"/>
            </w:r>
            <w:r w:rsidRPr="0062034A">
              <w:rPr>
                <w:rFonts w:cs="Arial"/>
              </w:rPr>
              <w:t xml:space="preserve"> for their pupils)</w:t>
            </w:r>
            <w:r w:rsidRPr="0062034A">
              <w:rPr>
                <w:rFonts w:cs="Arial"/>
                <w:b/>
              </w:rPr>
              <w:t xml:space="preserve"> </w:t>
            </w:r>
          </w:p>
        </w:tc>
        <w:tc>
          <w:tcPr>
            <w:tcW w:w="1913" w:type="dxa"/>
            <w:tcBorders>
              <w:top w:val="single" w:sz="4" w:space="0" w:color="auto"/>
              <w:left w:val="single" w:sz="4" w:space="0" w:color="auto"/>
              <w:bottom w:val="single" w:sz="4" w:space="0" w:color="auto"/>
              <w:right w:val="single" w:sz="4" w:space="0" w:color="auto"/>
            </w:tcBorders>
          </w:tcPr>
          <w:p w14:paraId="308EBE1A" w14:textId="77777777" w:rsidR="00553E9B" w:rsidRPr="0062034A" w:rsidRDefault="00553E9B" w:rsidP="0028077E">
            <w:pPr>
              <w:pStyle w:val="TableRow"/>
              <w:ind w:right="-47"/>
              <w:jc w:val="right"/>
              <w:rPr>
                <w:rFonts w:eastAsiaTheme="minorHAnsi" w:cs="Arial"/>
              </w:rPr>
            </w:pPr>
            <w:r w:rsidRPr="0062034A">
              <w:rPr>
                <w:rFonts w:cs="Arial"/>
              </w:rPr>
              <w:t>£116</w:t>
            </w:r>
          </w:p>
        </w:tc>
        <w:tc>
          <w:tcPr>
            <w:tcW w:w="1915" w:type="dxa"/>
            <w:tcBorders>
              <w:top w:val="single" w:sz="4" w:space="0" w:color="auto"/>
              <w:left w:val="single" w:sz="4" w:space="0" w:color="auto"/>
              <w:bottom w:val="single" w:sz="4" w:space="0" w:color="auto"/>
              <w:right w:val="single" w:sz="4" w:space="0" w:color="auto"/>
            </w:tcBorders>
          </w:tcPr>
          <w:p w14:paraId="6F1FBD1D" w14:textId="77777777" w:rsidR="00553E9B" w:rsidRPr="0062034A" w:rsidRDefault="00553E9B" w:rsidP="0028077E">
            <w:pPr>
              <w:pStyle w:val="TableRow"/>
              <w:ind w:right="-47"/>
              <w:jc w:val="right"/>
              <w:rPr>
                <w:rFonts w:eastAsiaTheme="minorHAnsi" w:cs="Arial"/>
              </w:rPr>
            </w:pPr>
            <w:r w:rsidRPr="0062034A">
              <w:rPr>
                <w:rFonts w:cs="Arial"/>
              </w:rPr>
              <w:t>£113</w:t>
            </w:r>
          </w:p>
        </w:tc>
      </w:tr>
      <w:tr w:rsidR="00553E9B" w:rsidRPr="0062034A" w14:paraId="6307090F" w14:textId="77777777" w:rsidTr="0028077E">
        <w:trPr>
          <w:cantSplit/>
          <w:jc w:val="center"/>
        </w:trPr>
        <w:tc>
          <w:tcPr>
            <w:tcW w:w="4302" w:type="dxa"/>
            <w:tcBorders>
              <w:top w:val="single" w:sz="4" w:space="0" w:color="auto"/>
              <w:left w:val="single" w:sz="4" w:space="0" w:color="auto"/>
              <w:bottom w:val="single" w:sz="4" w:space="0" w:color="auto"/>
              <w:right w:val="single" w:sz="4" w:space="0" w:color="auto"/>
            </w:tcBorders>
          </w:tcPr>
          <w:p w14:paraId="34E9422F" w14:textId="77777777" w:rsidR="00553E9B" w:rsidRPr="0062034A" w:rsidRDefault="00553E9B" w:rsidP="00553E9B">
            <w:pPr>
              <w:pStyle w:val="TableRow"/>
              <w:rPr>
                <w:rFonts w:eastAsiaTheme="minorHAnsi" w:cs="Arial"/>
              </w:rPr>
            </w:pPr>
            <w:r w:rsidRPr="0062034A">
              <w:rPr>
                <w:rFonts w:cs="Arial"/>
              </w:rPr>
              <w:t>Academy top-up (paid to academies for their pupils)</w:t>
            </w:r>
          </w:p>
        </w:tc>
        <w:tc>
          <w:tcPr>
            <w:tcW w:w="1913" w:type="dxa"/>
            <w:tcBorders>
              <w:top w:val="single" w:sz="4" w:space="0" w:color="auto"/>
              <w:left w:val="single" w:sz="4" w:space="0" w:color="auto"/>
              <w:bottom w:val="single" w:sz="4" w:space="0" w:color="auto"/>
              <w:right w:val="single" w:sz="4" w:space="0" w:color="auto"/>
            </w:tcBorders>
          </w:tcPr>
          <w:p w14:paraId="739CD7CB" w14:textId="77777777" w:rsidR="00553E9B" w:rsidRPr="0062034A" w:rsidRDefault="00553E9B" w:rsidP="0028077E">
            <w:pPr>
              <w:pStyle w:val="TableRow"/>
              <w:ind w:right="-47"/>
              <w:jc w:val="right"/>
              <w:rPr>
                <w:rFonts w:eastAsiaTheme="minorHAnsi" w:cs="Arial"/>
              </w:rPr>
            </w:pPr>
            <w:r w:rsidRPr="0062034A">
              <w:rPr>
                <w:rFonts w:cs="Arial"/>
              </w:rPr>
              <w:t>£34</w:t>
            </w:r>
          </w:p>
        </w:tc>
        <w:tc>
          <w:tcPr>
            <w:tcW w:w="1915" w:type="dxa"/>
            <w:tcBorders>
              <w:top w:val="single" w:sz="4" w:space="0" w:color="auto"/>
              <w:left w:val="single" w:sz="4" w:space="0" w:color="auto"/>
              <w:bottom w:val="single" w:sz="4" w:space="0" w:color="auto"/>
              <w:right w:val="single" w:sz="4" w:space="0" w:color="auto"/>
            </w:tcBorders>
          </w:tcPr>
          <w:p w14:paraId="630F74F7" w14:textId="77777777" w:rsidR="00553E9B" w:rsidRPr="0062034A" w:rsidRDefault="00553E9B" w:rsidP="0028077E">
            <w:pPr>
              <w:pStyle w:val="TableRow"/>
              <w:ind w:right="-47"/>
              <w:jc w:val="right"/>
              <w:rPr>
                <w:rFonts w:eastAsiaTheme="minorHAnsi" w:cs="Arial"/>
              </w:rPr>
            </w:pPr>
            <w:r w:rsidRPr="0062034A">
              <w:rPr>
                <w:rFonts w:cs="Arial"/>
              </w:rPr>
              <w:t>£27</w:t>
            </w:r>
          </w:p>
        </w:tc>
      </w:tr>
    </w:tbl>
    <w:p w14:paraId="1FF382C8" w14:textId="2618B59F" w:rsidR="00553E9B" w:rsidRPr="0062034A" w:rsidRDefault="00553E9B" w:rsidP="00172919">
      <w:pPr>
        <w:pStyle w:val="Caption"/>
      </w:pPr>
      <w:r w:rsidRPr="0062034A">
        <w:t>Table 1 – summary of ESG per pupil rates since 2013-14</w:t>
      </w:r>
      <w:r w:rsidRPr="0028077E">
        <w:rPr>
          <w:rStyle w:val="FootnoteReference"/>
        </w:rPr>
        <w:footnoteReference w:id="2"/>
      </w:r>
    </w:p>
    <w:p w14:paraId="1DF50831" w14:textId="61683318" w:rsidR="00553E9B" w:rsidRPr="0062034A" w:rsidRDefault="00553E9B" w:rsidP="00553E9B">
      <w:pPr>
        <w:pStyle w:val="ListParagraph"/>
        <w:numPr>
          <w:ilvl w:val="0"/>
          <w:numId w:val="0"/>
        </w:numPr>
        <w:rPr>
          <w:rFonts w:cs="Arial"/>
        </w:rPr>
      </w:pPr>
      <w:r w:rsidRPr="0062034A">
        <w:rPr>
          <w:rFonts w:cs="Arial"/>
        </w:rPr>
        <w:lastRenderedPageBreak/>
        <w:t>In order to provide stability to academies that could see big reductions in funding as a result of the introduction of a national ESG rate, we decided</w:t>
      </w:r>
      <w:r w:rsidR="00EC06C5">
        <w:rPr>
          <w:rFonts w:cs="Arial"/>
        </w:rPr>
        <w:t xml:space="preserve"> that</w:t>
      </w:r>
      <w:r w:rsidRPr="0062034A">
        <w:rPr>
          <w:rFonts w:cs="Arial"/>
        </w:rPr>
        <w:t xml:space="preserve"> academies should receive transitional protections. In the academic year 2014/15, academies receive the same general funding rate per pupil as local authorities but also receive a top-up of £27 per pupil, bringing their rate up to £140 per pupil. There is also a protection that ensures that the loss incurred by any academy as a result of the changes in ESG and SEN LACSEG</w:t>
      </w:r>
      <w:r w:rsidRPr="0062034A">
        <w:rPr>
          <w:rStyle w:val="FootnoteReference"/>
          <w:rFonts w:cs="Arial"/>
        </w:rPr>
        <w:footnoteReference w:id="3"/>
      </w:r>
      <w:r w:rsidRPr="0062034A">
        <w:rPr>
          <w:rFonts w:cs="Arial"/>
        </w:rPr>
        <w:t xml:space="preserve"> in academic year 2014/15 cannot exceed 1% of its total budget (including its post-16 funding) </w:t>
      </w:r>
      <w:r w:rsidR="00B14771">
        <w:rPr>
          <w:rFonts w:cs="Arial"/>
        </w:rPr>
        <w:t>from</w:t>
      </w:r>
      <w:r w:rsidRPr="0062034A">
        <w:rPr>
          <w:rFonts w:cs="Arial"/>
        </w:rPr>
        <w:t xml:space="preserve"> academic year 2013/14.</w:t>
      </w:r>
    </w:p>
    <w:p w14:paraId="4AB497F6" w14:textId="5C47FDB1" w:rsidR="00553E9B" w:rsidRPr="0062034A" w:rsidRDefault="00553E9B" w:rsidP="00553E9B">
      <w:pPr>
        <w:pStyle w:val="ListParagraph"/>
        <w:numPr>
          <w:ilvl w:val="0"/>
          <w:numId w:val="0"/>
        </w:numPr>
        <w:rPr>
          <w:rFonts w:cs="Arial"/>
        </w:rPr>
      </w:pPr>
      <w:r w:rsidRPr="0062034A">
        <w:rPr>
          <w:rFonts w:cs="Arial"/>
        </w:rPr>
        <w:t>As we have always made clear, this transitional protection is funded from a part of the Department’s budget outside the ESG, not from the ESG itself. We have also always been clear that this transitional protection will be removed over a limited period of time so that the overall rates for local authorities and academies converge.</w:t>
      </w:r>
    </w:p>
    <w:p w14:paraId="3FC8388B" w14:textId="2CBFC3F7" w:rsidR="00553E9B" w:rsidRPr="0062034A" w:rsidRDefault="005115F2" w:rsidP="00553E9B">
      <w:pPr>
        <w:pStyle w:val="ListParagraph"/>
        <w:numPr>
          <w:ilvl w:val="0"/>
          <w:numId w:val="0"/>
        </w:numPr>
        <w:rPr>
          <w:rFonts w:cs="Arial"/>
        </w:rPr>
      </w:pPr>
      <w:r>
        <w:rPr>
          <w:rFonts w:cs="Arial"/>
        </w:rPr>
        <w:t xml:space="preserve">Last summer, the </w:t>
      </w:r>
      <w:r w:rsidR="00C743F8">
        <w:rPr>
          <w:rFonts w:cs="Arial"/>
        </w:rPr>
        <w:t xml:space="preserve">government’s </w:t>
      </w:r>
      <w:r>
        <w:rPr>
          <w:rFonts w:cs="Arial"/>
        </w:rPr>
        <w:t>spending round</w:t>
      </w:r>
      <w:r w:rsidR="00553E9B" w:rsidRPr="0062034A">
        <w:rPr>
          <w:rFonts w:cs="Arial"/>
        </w:rPr>
        <w:t xml:space="preserve"> announced that</w:t>
      </w:r>
      <w:r w:rsidR="00E93FBE">
        <w:rPr>
          <w:rFonts w:cs="Arial"/>
        </w:rPr>
        <w:t>,</w:t>
      </w:r>
      <w:r w:rsidR="00553E9B" w:rsidRPr="0062034A">
        <w:rPr>
          <w:rFonts w:cs="Arial"/>
        </w:rPr>
        <w:t xml:space="preserve"> in the context of difficult decisions about public spending across government, and in line with the changing nature of the schools system, we wo</w:t>
      </w:r>
      <w:r w:rsidR="00EC06C5">
        <w:rPr>
          <w:rFonts w:cs="Arial"/>
        </w:rPr>
        <w:t>uld make savings of around £200 million</w:t>
      </w:r>
      <w:r w:rsidR="00553E9B" w:rsidRPr="0062034A">
        <w:rPr>
          <w:rFonts w:cs="Arial"/>
        </w:rPr>
        <w:t xml:space="preserve"> to ESG in 2015-16. These savings help the </w:t>
      </w:r>
      <w:r w:rsidR="00C743F8">
        <w:rPr>
          <w:rFonts w:cs="Arial"/>
        </w:rPr>
        <w:t>g</w:t>
      </w:r>
      <w:r w:rsidR="00C743F8" w:rsidRPr="0062034A">
        <w:rPr>
          <w:rFonts w:cs="Arial"/>
        </w:rPr>
        <w:t xml:space="preserve">overnment </w:t>
      </w:r>
      <w:r w:rsidR="00553E9B" w:rsidRPr="0062034A">
        <w:rPr>
          <w:rFonts w:cs="Arial"/>
        </w:rPr>
        <w:t xml:space="preserve">to protect front-line budgets, including the </w:t>
      </w:r>
      <w:r w:rsidR="00EC06C5">
        <w:rPr>
          <w:rFonts w:cs="Arial"/>
        </w:rPr>
        <w:t>d</w:t>
      </w:r>
      <w:r w:rsidR="00553E9B" w:rsidRPr="0062034A">
        <w:rPr>
          <w:rFonts w:cs="Arial"/>
        </w:rPr>
        <w:t xml:space="preserve">edicated </w:t>
      </w:r>
      <w:r w:rsidR="00EC06C5">
        <w:rPr>
          <w:rFonts w:cs="Arial"/>
        </w:rPr>
        <w:t>s</w:t>
      </w:r>
      <w:r w:rsidR="00553E9B" w:rsidRPr="0062034A">
        <w:rPr>
          <w:rFonts w:cs="Arial"/>
        </w:rPr>
        <w:t xml:space="preserve">chools </w:t>
      </w:r>
      <w:r w:rsidR="00EC06C5">
        <w:rPr>
          <w:rFonts w:cs="Arial"/>
        </w:rPr>
        <w:t>g</w:t>
      </w:r>
      <w:r w:rsidR="00553E9B" w:rsidRPr="0062034A">
        <w:rPr>
          <w:rFonts w:cs="Arial"/>
        </w:rPr>
        <w:t xml:space="preserve">rant and the </w:t>
      </w:r>
      <w:r w:rsidR="00EC06C5">
        <w:rPr>
          <w:rFonts w:cs="Arial"/>
        </w:rPr>
        <w:t>p</w:t>
      </w:r>
      <w:r w:rsidR="00553E9B" w:rsidRPr="0062034A">
        <w:rPr>
          <w:rFonts w:cs="Arial"/>
        </w:rPr>
        <w:t xml:space="preserve">upil </w:t>
      </w:r>
      <w:r w:rsidR="00EC06C5">
        <w:rPr>
          <w:rFonts w:cs="Arial"/>
        </w:rPr>
        <w:t>p</w:t>
      </w:r>
      <w:r w:rsidR="00553E9B" w:rsidRPr="0062034A">
        <w:rPr>
          <w:rFonts w:cs="Arial"/>
        </w:rPr>
        <w:t>remium.</w:t>
      </w:r>
    </w:p>
    <w:p w14:paraId="7ACE56DA" w14:textId="53CDB325" w:rsidR="00026BA3" w:rsidRDefault="00553E9B" w:rsidP="00553E9B">
      <w:pPr>
        <w:pStyle w:val="ListParagraph"/>
        <w:numPr>
          <w:ilvl w:val="0"/>
          <w:numId w:val="0"/>
        </w:numPr>
        <w:rPr>
          <w:rFonts w:cs="Arial"/>
        </w:rPr>
      </w:pPr>
      <w:r w:rsidRPr="0062034A">
        <w:rPr>
          <w:rFonts w:cs="Arial"/>
        </w:rPr>
        <w:t>We recognised that this reduction to the ESG might require some local authorities and academies to deliver their services differently. We therefore launched a consultation in March</w:t>
      </w:r>
      <w:r w:rsidR="00B14771">
        <w:rPr>
          <w:rFonts w:cs="Arial"/>
        </w:rPr>
        <w:t xml:space="preserve"> 2014</w:t>
      </w:r>
      <w:r w:rsidRPr="0062034A">
        <w:rPr>
          <w:rFonts w:cs="Arial"/>
        </w:rPr>
        <w:t xml:space="preserve"> to gather views about how the grant was being used, how much money could be saved and the impact of making those savings. We were also interested in whether there was any further clarification or guidance we could provide in order to help local authorities and academies deliver these savings, as well as whether there were any functions that local authorities or academies should stop doing completely. </w:t>
      </w:r>
    </w:p>
    <w:p w14:paraId="7F8722A1" w14:textId="6EB53990" w:rsidR="00026BA3" w:rsidRDefault="00553E9B" w:rsidP="00553E9B">
      <w:pPr>
        <w:pStyle w:val="ListParagraph"/>
        <w:numPr>
          <w:ilvl w:val="0"/>
          <w:numId w:val="0"/>
        </w:numPr>
        <w:rPr>
          <w:rFonts w:cs="Arial"/>
        </w:rPr>
      </w:pPr>
      <w:r w:rsidRPr="0062034A">
        <w:rPr>
          <w:rFonts w:cs="Arial"/>
        </w:rPr>
        <w:t xml:space="preserve">Our consultation generated a </w:t>
      </w:r>
      <w:r w:rsidR="009A3901">
        <w:rPr>
          <w:rFonts w:cs="Arial"/>
        </w:rPr>
        <w:t>large number of responses (1,4</w:t>
      </w:r>
      <w:r w:rsidR="00C42B0A">
        <w:rPr>
          <w:rFonts w:cs="Arial"/>
        </w:rPr>
        <w:t>29</w:t>
      </w:r>
      <w:r w:rsidRPr="0062034A">
        <w:rPr>
          <w:rFonts w:cs="Arial"/>
        </w:rPr>
        <w:t xml:space="preserve">) from a range of respondents, of which the great majority </w:t>
      </w:r>
      <w:r w:rsidR="009A3901">
        <w:rPr>
          <w:rFonts w:cs="Arial"/>
        </w:rPr>
        <w:t>was</w:t>
      </w:r>
      <w:r w:rsidRPr="0062034A">
        <w:rPr>
          <w:rFonts w:cs="Arial"/>
        </w:rPr>
        <w:t xml:space="preserve"> linked to a campaign about funding for music education, to which we respond in </w:t>
      </w:r>
      <w:r w:rsidR="00FD3E68">
        <w:rPr>
          <w:rFonts w:cs="Arial"/>
        </w:rPr>
        <w:t>Chapter 5</w:t>
      </w:r>
      <w:r w:rsidRPr="0062034A">
        <w:rPr>
          <w:rFonts w:cs="Arial"/>
        </w:rPr>
        <w:t>.</w:t>
      </w:r>
    </w:p>
    <w:p w14:paraId="201F566E" w14:textId="645B4195" w:rsidR="00026BA3" w:rsidRDefault="00026BA3">
      <w:pPr>
        <w:spacing w:after="0" w:line="240" w:lineRule="auto"/>
        <w:rPr>
          <w:rFonts w:cs="Arial"/>
        </w:rPr>
      </w:pPr>
      <w:r>
        <w:rPr>
          <w:rFonts w:cs="Arial"/>
        </w:rPr>
        <w:br w:type="page"/>
      </w:r>
    </w:p>
    <w:p w14:paraId="7AF84A61" w14:textId="40733E07" w:rsidR="00553E9B" w:rsidRPr="0062034A" w:rsidRDefault="00553E9B" w:rsidP="00553E9B">
      <w:pPr>
        <w:pStyle w:val="ListParagraph"/>
        <w:numPr>
          <w:ilvl w:val="0"/>
          <w:numId w:val="0"/>
        </w:numPr>
        <w:rPr>
          <w:rFonts w:cs="Arial"/>
        </w:rPr>
      </w:pPr>
      <w:r w:rsidRPr="0062034A">
        <w:rPr>
          <w:rFonts w:cs="Arial"/>
        </w:rPr>
        <w:t>This document sets out:</w:t>
      </w:r>
    </w:p>
    <w:p w14:paraId="224A5B68" w14:textId="77777777" w:rsidR="00553E9B" w:rsidRPr="0062034A" w:rsidRDefault="00553E9B" w:rsidP="008E2678">
      <w:pPr>
        <w:pStyle w:val="ListBullet1"/>
        <w:numPr>
          <w:ilvl w:val="0"/>
          <w:numId w:val="35"/>
        </w:numPr>
        <w:rPr>
          <w:rFonts w:eastAsiaTheme="minorHAnsi"/>
        </w:rPr>
      </w:pPr>
      <w:r w:rsidRPr="0062034A">
        <w:rPr>
          <w:rFonts w:eastAsiaTheme="minorHAnsi"/>
        </w:rPr>
        <w:t xml:space="preserve">how ESG rates for local authorities and academies will change; </w:t>
      </w:r>
    </w:p>
    <w:p w14:paraId="19A17B7A" w14:textId="77777777" w:rsidR="00553E9B" w:rsidRPr="0062034A" w:rsidRDefault="00553E9B" w:rsidP="008E2678">
      <w:pPr>
        <w:pStyle w:val="ListBullet1"/>
        <w:numPr>
          <w:ilvl w:val="0"/>
          <w:numId w:val="35"/>
        </w:numPr>
        <w:rPr>
          <w:rFonts w:eastAsiaTheme="minorHAnsi"/>
        </w:rPr>
      </w:pPr>
      <w:r w:rsidRPr="0062034A">
        <w:rPr>
          <w:rFonts w:eastAsiaTheme="minorHAnsi"/>
        </w:rPr>
        <w:t>why we have made these decisions; and</w:t>
      </w:r>
    </w:p>
    <w:p w14:paraId="0EB308EB" w14:textId="77777777" w:rsidR="00553E9B" w:rsidRPr="0062034A" w:rsidRDefault="00553E9B" w:rsidP="008E2678">
      <w:pPr>
        <w:pStyle w:val="ListBullet1"/>
        <w:numPr>
          <w:ilvl w:val="0"/>
          <w:numId w:val="35"/>
        </w:numPr>
        <w:rPr>
          <w:rFonts w:eastAsiaTheme="minorHAnsi"/>
        </w:rPr>
      </w:pPr>
      <w:r w:rsidRPr="0062034A">
        <w:t>clarification for local authorities of their core obligations for both maintained schools and for academies.</w:t>
      </w:r>
    </w:p>
    <w:p w14:paraId="774D5263" w14:textId="1CE46CF2" w:rsidR="00EC06C5" w:rsidRDefault="00EC06C5" w:rsidP="00EC06C5">
      <w:pPr>
        <w:pStyle w:val="ListBullet1"/>
        <w:ind w:left="0" w:firstLine="0"/>
        <w:rPr>
          <w:rFonts w:eastAsiaTheme="minorHAnsi"/>
        </w:rPr>
      </w:pPr>
    </w:p>
    <w:p w14:paraId="1C22EBBC" w14:textId="1BEFDE9A" w:rsidR="00553E9B" w:rsidRPr="0062034A" w:rsidRDefault="00553E9B" w:rsidP="00EC06C5">
      <w:pPr>
        <w:pStyle w:val="ListBullet1"/>
        <w:ind w:left="0" w:firstLine="0"/>
      </w:pPr>
      <w:r w:rsidRPr="0062034A">
        <w:rPr>
          <w:rFonts w:eastAsiaTheme="minorHAnsi"/>
        </w:rPr>
        <w:t>It should be read</w:t>
      </w:r>
      <w:r w:rsidRPr="0062034A">
        <w:t xml:space="preserve"> in conjunction with the full </w:t>
      </w:r>
      <w:hyperlink r:id="rId15" w:history="1">
        <w:r w:rsidR="00026BA3">
          <w:rPr>
            <w:rStyle w:val="Hyperlink"/>
            <w:rFonts w:cs="Arial"/>
          </w:rPr>
          <w:t>g</w:t>
        </w:r>
        <w:r w:rsidR="00026BA3" w:rsidRPr="0062034A">
          <w:rPr>
            <w:rStyle w:val="Hyperlink"/>
            <w:rFonts w:cs="Arial"/>
          </w:rPr>
          <w:t>overnment response</w:t>
        </w:r>
      </w:hyperlink>
      <w:r w:rsidRPr="0062034A">
        <w:t xml:space="preserve"> to the consultation</w:t>
      </w:r>
    </w:p>
    <w:p w14:paraId="79458768" w14:textId="5C3B7BE1" w:rsidR="00F101A9" w:rsidRPr="0062034A" w:rsidRDefault="00F101A9" w:rsidP="00F101A9">
      <w:pPr>
        <w:pStyle w:val="Heading1"/>
        <w:rPr>
          <w:rFonts w:cs="Arial"/>
        </w:rPr>
      </w:pPr>
      <w:bookmarkStart w:id="6" w:name="_Toc393781895"/>
      <w:r w:rsidRPr="0062034A">
        <w:rPr>
          <w:rFonts w:eastAsiaTheme="minorHAnsi" w:cs="Arial"/>
          <w:szCs w:val="20"/>
          <w:lang w:eastAsia="en-US"/>
        </w:rPr>
        <w:t xml:space="preserve">Chapter </w:t>
      </w:r>
      <w:r w:rsidR="002A1078">
        <w:rPr>
          <w:rFonts w:eastAsiaTheme="minorHAnsi" w:cs="Arial"/>
          <w:szCs w:val="20"/>
          <w:lang w:eastAsia="en-US"/>
        </w:rPr>
        <w:t>1</w:t>
      </w:r>
      <w:r w:rsidR="002A1078" w:rsidRPr="0062034A">
        <w:rPr>
          <w:rFonts w:eastAsiaTheme="minorHAnsi" w:cs="Arial"/>
          <w:szCs w:val="20"/>
          <w:lang w:eastAsia="en-US"/>
        </w:rPr>
        <w:t xml:space="preserve"> </w:t>
      </w:r>
      <w:r w:rsidRPr="0062034A">
        <w:rPr>
          <w:rFonts w:eastAsiaTheme="minorHAnsi" w:cs="Arial"/>
          <w:szCs w:val="20"/>
          <w:lang w:eastAsia="en-US"/>
        </w:rPr>
        <w:t xml:space="preserve">– </w:t>
      </w:r>
      <w:r w:rsidR="000C3D73" w:rsidRPr="0062034A">
        <w:rPr>
          <w:rFonts w:cs="Arial"/>
        </w:rPr>
        <w:t>Education Services Grant funding for 2015-16</w:t>
      </w:r>
      <w:bookmarkEnd w:id="6"/>
    </w:p>
    <w:p w14:paraId="5B0CF833" w14:textId="36FDF7A8" w:rsidR="00553E9B" w:rsidRPr="0062034A" w:rsidRDefault="00553E9B" w:rsidP="008E2678">
      <w:r w:rsidRPr="0062034A">
        <w:t>We announced in the 2013 Spending Round that we intended to reduce the ESG by around £200</w:t>
      </w:r>
      <w:r w:rsidR="00EC06C5">
        <w:t xml:space="preserve"> </w:t>
      </w:r>
      <w:r w:rsidRPr="0062034A">
        <w:t>million in 2015-16.</w:t>
      </w:r>
    </w:p>
    <w:p w14:paraId="5BB3B2F7" w14:textId="389CD9A9" w:rsidR="00D77BC2" w:rsidRPr="0062034A" w:rsidRDefault="00553E9B" w:rsidP="008E2678">
      <w:pPr>
        <w:pStyle w:val="ListBullet1"/>
        <w:numPr>
          <w:ilvl w:val="0"/>
          <w:numId w:val="36"/>
        </w:numPr>
      </w:pPr>
      <w:r w:rsidRPr="0062034A">
        <w:t xml:space="preserve">The </w:t>
      </w:r>
      <w:r w:rsidRPr="0062034A">
        <w:rPr>
          <w:b/>
        </w:rPr>
        <w:t>retained duties rate</w:t>
      </w:r>
      <w:r w:rsidRPr="0062034A">
        <w:t xml:space="preserve"> will remain at £15 per pupil in 2015-16. </w:t>
      </w:r>
    </w:p>
    <w:p w14:paraId="07706335" w14:textId="77777777" w:rsidR="00553E9B" w:rsidRPr="0062034A" w:rsidRDefault="00553E9B" w:rsidP="008E2678">
      <w:pPr>
        <w:pStyle w:val="ListBullet1"/>
        <w:numPr>
          <w:ilvl w:val="0"/>
          <w:numId w:val="36"/>
        </w:numPr>
      </w:pPr>
      <w:r w:rsidRPr="0062034A">
        <w:t xml:space="preserve">The </w:t>
      </w:r>
      <w:r w:rsidRPr="0062034A">
        <w:rPr>
          <w:b/>
        </w:rPr>
        <w:t>general funding rate</w:t>
      </w:r>
      <w:r w:rsidRPr="0062034A">
        <w:t xml:space="preserve"> will be £87 per pupil in 2015-16.</w:t>
      </w:r>
    </w:p>
    <w:p w14:paraId="68DD173A" w14:textId="5B1DBD5E" w:rsidR="00553E9B" w:rsidRPr="0062034A" w:rsidRDefault="00553E9B" w:rsidP="008E2678">
      <w:pPr>
        <w:pStyle w:val="ListBullet1"/>
        <w:numPr>
          <w:ilvl w:val="0"/>
          <w:numId w:val="36"/>
        </w:numPr>
      </w:pPr>
      <w:r w:rsidRPr="0062034A">
        <w:t xml:space="preserve">There will be </w:t>
      </w:r>
      <w:r w:rsidRPr="0062034A">
        <w:rPr>
          <w:b/>
        </w:rPr>
        <w:t>no top-up</w:t>
      </w:r>
      <w:r w:rsidRPr="0062034A">
        <w:t xml:space="preserve"> for academies in academic year 2015/16 but, in order to provide </w:t>
      </w:r>
      <w:r w:rsidRPr="0062034A">
        <w:rPr>
          <w:b/>
        </w:rPr>
        <w:t>continuing protection</w:t>
      </w:r>
      <w:r w:rsidRPr="0062034A">
        <w:t xml:space="preserve"> against large budget reductions, revised protection arrangements will be applied for academies against reductions to the ESG and the removal of SEN LACSEG</w:t>
      </w:r>
      <w:r w:rsidRPr="0062034A">
        <w:rPr>
          <w:rStyle w:val="FootnoteReference"/>
          <w:rFonts w:cs="Arial"/>
        </w:rPr>
        <w:footnoteReference w:id="4"/>
      </w:r>
      <w:r w:rsidRPr="0062034A">
        <w:t xml:space="preserve">. </w:t>
      </w:r>
    </w:p>
    <w:p w14:paraId="6049E833" w14:textId="040F14EB" w:rsidR="00553E9B" w:rsidRPr="0062034A" w:rsidRDefault="00553E9B" w:rsidP="008E2678">
      <w:pPr>
        <w:pStyle w:val="ListBullet1"/>
        <w:numPr>
          <w:ilvl w:val="0"/>
          <w:numId w:val="36"/>
        </w:numPr>
      </w:pPr>
      <w:r w:rsidRPr="0062034A">
        <w:t xml:space="preserve">The protection will be set in tapered bands, so that academies that are currently receiving </w:t>
      </w:r>
      <w:r w:rsidR="00EC06C5">
        <w:t xml:space="preserve">relatively </w:t>
      </w:r>
      <w:r w:rsidRPr="0062034A">
        <w:t xml:space="preserve">low ESG payments will still not be allowed to see a fall of more than 1% of their total funding, while academies that are currently receiving relatively high ESG payments (because they used to have high levels of LACSEG) will be allowed to see a fall of more than 1% in their total funding (up to a maximum of 3%). More detail on this revised protection is set out in </w:t>
      </w:r>
      <w:r w:rsidR="00C86FF7">
        <w:t>Chapter 3</w:t>
      </w:r>
      <w:r w:rsidRPr="0062034A">
        <w:t>.</w:t>
      </w:r>
    </w:p>
    <w:p w14:paraId="0E5DCC70" w14:textId="55707210" w:rsidR="00553E9B" w:rsidRPr="0062034A" w:rsidRDefault="00553E9B" w:rsidP="008E2678">
      <w:pPr>
        <w:pStyle w:val="ListBullet1"/>
        <w:numPr>
          <w:ilvl w:val="0"/>
          <w:numId w:val="36"/>
        </w:numPr>
      </w:pPr>
      <w:r w:rsidRPr="0062034A">
        <w:t xml:space="preserve">The </w:t>
      </w:r>
      <w:r w:rsidR="00B14771">
        <w:t>multipliers</w:t>
      </w:r>
      <w:r w:rsidRPr="0062034A">
        <w:t xml:space="preserve"> for alternative provision and special schools will remain at </w:t>
      </w:r>
      <w:r w:rsidRPr="0062034A">
        <w:rPr>
          <w:b/>
        </w:rPr>
        <w:t>3.75 and 4.25</w:t>
      </w:r>
      <w:r w:rsidRPr="0062034A">
        <w:t xml:space="preserve"> </w:t>
      </w:r>
      <w:r w:rsidR="00E93FBE">
        <w:t xml:space="preserve">respectively </w:t>
      </w:r>
      <w:r w:rsidRPr="0062034A">
        <w:t xml:space="preserve">(see </w:t>
      </w:r>
      <w:r w:rsidR="00C86FF7">
        <w:t>Chapter 3</w:t>
      </w:r>
      <w:r w:rsidRPr="0062034A">
        <w:t>).</w:t>
      </w:r>
    </w:p>
    <w:p w14:paraId="29D13C09" w14:textId="77777777" w:rsidR="00D77BC2" w:rsidRPr="0028077E" w:rsidRDefault="00553E9B" w:rsidP="0028077E">
      <w:pPr>
        <w:pStyle w:val="Heading2"/>
      </w:pPr>
      <w:bookmarkStart w:id="7" w:name="_Toc393781896"/>
      <w:r w:rsidRPr="0028077E">
        <w:t>Our rationale</w:t>
      </w:r>
      <w:bookmarkEnd w:id="7"/>
    </w:p>
    <w:p w14:paraId="34194D23" w14:textId="77777777" w:rsidR="00D77BC2" w:rsidRPr="0062034A" w:rsidRDefault="00553E9B" w:rsidP="008E2678">
      <w:r w:rsidRPr="0062034A">
        <w:t>This section explains the rationale for our de</w:t>
      </w:r>
      <w:r w:rsidR="00D77BC2" w:rsidRPr="0062034A">
        <w:t>cision on each element of ESG.</w:t>
      </w:r>
    </w:p>
    <w:p w14:paraId="79573853" w14:textId="057DCC5D" w:rsidR="00553E9B" w:rsidRPr="0062034A" w:rsidRDefault="00D77BC2" w:rsidP="008E2678">
      <w:r w:rsidRPr="0062034A">
        <w:t>I</w:t>
      </w:r>
      <w:r w:rsidR="00553E9B" w:rsidRPr="0062034A">
        <w:t>t is important to note that ESG is an un-ringfenced grant and that how it is spent is for local authorities and academies to decide based on t</w:t>
      </w:r>
      <w:r w:rsidRPr="0062034A">
        <w:t xml:space="preserve">heir individual circumstances. </w:t>
      </w:r>
      <w:r w:rsidR="00553E9B" w:rsidRPr="0062034A">
        <w:t>Different local authorities and academies will have different needs and will rightly make different choices about how to use their funding.</w:t>
      </w:r>
    </w:p>
    <w:p w14:paraId="74D10BC2" w14:textId="3364DC10" w:rsidR="00553E9B" w:rsidRPr="0062034A" w:rsidRDefault="00553E9B" w:rsidP="008E2678">
      <w:r w:rsidRPr="0062034A">
        <w:t>We have drawn on a range of evidence in order to decide how to set final ESG funding rates for 2015-16. At all times we have been mindful of limitations in the data available and cautious of making unjustified generalisations.</w:t>
      </w:r>
    </w:p>
    <w:p w14:paraId="5D631B3F" w14:textId="77777777" w:rsidR="000775D9" w:rsidRPr="000775D9" w:rsidRDefault="00553E9B" w:rsidP="0028077E">
      <w:pPr>
        <w:pStyle w:val="Heading2"/>
      </w:pPr>
      <w:bookmarkStart w:id="8" w:name="_Toc393781897"/>
      <w:r w:rsidRPr="000775D9">
        <w:t>Retained duties rate</w:t>
      </w:r>
      <w:bookmarkEnd w:id="8"/>
    </w:p>
    <w:p w14:paraId="4A16930C" w14:textId="3E191D04" w:rsidR="008E2678" w:rsidRDefault="00553E9B" w:rsidP="008E2678">
      <w:r w:rsidRPr="0062034A">
        <w:t xml:space="preserve">When ESG was introduced in 2013-14, we wanted to ensure that local authorities would continue to receive appropriate levels of funding for responsibilities that had not transferred to academies. We introduced the </w:t>
      </w:r>
      <w:r w:rsidRPr="0062034A">
        <w:rPr>
          <w:b/>
        </w:rPr>
        <w:t>retained duties rate</w:t>
      </w:r>
      <w:r w:rsidRPr="0062034A">
        <w:t xml:space="preserve">, paid to local authorities on a per pupil basis for all pupils, regardless of whether they attend a maintained school or academy. We consulted on the rate for these retained duties in 2012 and, based on evidence submitted by local authorities about expenditure, decided on a per pupil rate of £15. </w:t>
      </w:r>
    </w:p>
    <w:p w14:paraId="434AF8EC" w14:textId="5F142207" w:rsidR="00D77BC2" w:rsidRPr="0062034A" w:rsidRDefault="00553E9B" w:rsidP="008E2678">
      <w:pPr>
        <w:rPr>
          <w:rStyle w:val="Heading4Char"/>
          <w:rFonts w:cs="Arial"/>
        </w:rPr>
      </w:pPr>
      <w:r w:rsidRPr="0062034A">
        <w:t>Responses to our consultation indicated that there is little scope to reduce the retained duties rate below £15 per pupil. We will therefore maintain the retained duties rate at £15 per pupil for 2015-16.</w:t>
      </w:r>
    </w:p>
    <w:p w14:paraId="599B2995" w14:textId="77777777" w:rsidR="00D77BC2" w:rsidRPr="000775D9" w:rsidRDefault="00553E9B" w:rsidP="0028077E">
      <w:pPr>
        <w:pStyle w:val="Heading2"/>
      </w:pPr>
      <w:bookmarkStart w:id="9" w:name="_Toc393781898"/>
      <w:r w:rsidRPr="000775D9">
        <w:t>General funding rate</w:t>
      </w:r>
      <w:bookmarkEnd w:id="9"/>
    </w:p>
    <w:p w14:paraId="50641663" w14:textId="221B463F" w:rsidR="00D77BC2" w:rsidRPr="00EC06C5" w:rsidRDefault="00553E9B" w:rsidP="008E2678">
      <w:r w:rsidRPr="0062034A">
        <w:t>The general funding rate is paid to local authorities for every pupil in a maintained school and to academies for every pupil on roll. It is from the general funding rate that the</w:t>
      </w:r>
      <w:r w:rsidR="00EC06C5">
        <w:br/>
      </w:r>
      <w:r w:rsidRPr="0062034A">
        <w:t>£200</w:t>
      </w:r>
      <w:r w:rsidR="00EC06C5">
        <w:t xml:space="preserve"> </w:t>
      </w:r>
      <w:r w:rsidRPr="0062034A">
        <w:t>m</w:t>
      </w:r>
      <w:r w:rsidR="00EC06C5">
        <w:t>illion</w:t>
      </w:r>
      <w:r w:rsidRPr="0062034A">
        <w:t xml:space="preserve"> will be saved. The general funding rate for 2015-16 </w:t>
      </w:r>
      <w:r w:rsidR="00B14771">
        <w:t>will be</w:t>
      </w:r>
      <w:r w:rsidRPr="0062034A">
        <w:t xml:space="preserve"> £87. </w:t>
      </w:r>
    </w:p>
    <w:p w14:paraId="2C17C221" w14:textId="1650BFAA" w:rsidR="00553E9B" w:rsidRPr="0062034A" w:rsidRDefault="00553E9B" w:rsidP="008E2678">
      <w:pPr>
        <w:rPr>
          <w:i/>
        </w:rPr>
      </w:pPr>
      <w:r w:rsidRPr="0062034A">
        <w:t>We have used a variety of sources of evidence including</w:t>
      </w:r>
      <w:r w:rsidR="00E93FBE">
        <w:t>: consultation responses; fieldwork;</w:t>
      </w:r>
      <w:r w:rsidRPr="0062034A">
        <w:t xml:space="preserve"> case studies</w:t>
      </w:r>
      <w:r w:rsidR="00E93FBE">
        <w:t xml:space="preserve">; stakeholder meetings; </w:t>
      </w:r>
      <w:r w:rsidRPr="0062034A">
        <w:t>and benchmarking data to help us assess the scope of local authorities to make savings. We are aware of the limitations of some of the evidence available. In particular, we are conscious of the weakne</w:t>
      </w:r>
      <w:r w:rsidR="00E93FBE">
        <w:t xml:space="preserve">sses in </w:t>
      </w:r>
      <w:r w:rsidR="00086057">
        <w:t>s</w:t>
      </w:r>
      <w:r w:rsidR="00E93FBE">
        <w:t>ection 251 budget data</w:t>
      </w:r>
      <w:r w:rsidRPr="0062034A">
        <w:t xml:space="preserve"> which record how much local authorities </w:t>
      </w:r>
      <w:r w:rsidR="00D62879">
        <w:t>plan</w:t>
      </w:r>
      <w:r w:rsidRPr="0062034A">
        <w:t xml:space="preserve"> to spend on ESG relevant functions. Limitations arise from a number of factors:</w:t>
      </w:r>
    </w:p>
    <w:p w14:paraId="267F406F" w14:textId="487523AA" w:rsidR="00553E9B" w:rsidRPr="008E2678" w:rsidRDefault="00553E9B" w:rsidP="008E2678">
      <w:pPr>
        <w:pStyle w:val="ListBullet1"/>
        <w:numPr>
          <w:ilvl w:val="0"/>
          <w:numId w:val="37"/>
        </w:numPr>
      </w:pPr>
      <w:r w:rsidRPr="008E2678">
        <w:t xml:space="preserve">different interpretations of the </w:t>
      </w:r>
      <w:r w:rsidR="00086057">
        <w:t>s</w:t>
      </w:r>
      <w:r w:rsidRPr="008E2678">
        <w:t>ection 251 guidance;</w:t>
      </w:r>
    </w:p>
    <w:p w14:paraId="7AD7B0FF" w14:textId="77777777" w:rsidR="00553E9B" w:rsidRPr="008E2678" w:rsidRDefault="00553E9B" w:rsidP="008E2678">
      <w:pPr>
        <w:pStyle w:val="ListBullet1"/>
        <w:numPr>
          <w:ilvl w:val="0"/>
          <w:numId w:val="37"/>
        </w:numPr>
      </w:pPr>
      <w:r w:rsidRPr="008E2678">
        <w:t>the time lag on the data available (the latest data available is planned spend for 2013-14);</w:t>
      </w:r>
    </w:p>
    <w:p w14:paraId="3FAE1C33" w14:textId="36CF8226" w:rsidR="00553E9B" w:rsidRPr="008E2678" w:rsidRDefault="00553E9B" w:rsidP="008E2678">
      <w:pPr>
        <w:pStyle w:val="ListBullet1"/>
        <w:numPr>
          <w:ilvl w:val="0"/>
          <w:numId w:val="37"/>
        </w:numPr>
      </w:pPr>
      <w:r w:rsidRPr="008E2678">
        <w:t>reporting lines do not separate spending on retained duties from spending exclusively for maintained school pupils;</w:t>
      </w:r>
    </w:p>
    <w:p w14:paraId="157CAA38" w14:textId="77777777" w:rsidR="00553E9B" w:rsidRPr="008E2678" w:rsidRDefault="00553E9B" w:rsidP="008E2678">
      <w:pPr>
        <w:pStyle w:val="ListBullet1"/>
        <w:numPr>
          <w:ilvl w:val="0"/>
          <w:numId w:val="37"/>
        </w:numPr>
      </w:pPr>
      <w:r w:rsidRPr="008E2678">
        <w:t>the data may contain reporting errors; and</w:t>
      </w:r>
    </w:p>
    <w:p w14:paraId="6A9AEA14" w14:textId="77777777" w:rsidR="00553E9B" w:rsidRDefault="00553E9B" w:rsidP="008E2678">
      <w:pPr>
        <w:pStyle w:val="ListBullet1"/>
        <w:numPr>
          <w:ilvl w:val="0"/>
          <w:numId w:val="37"/>
        </w:numPr>
      </w:pPr>
      <w:r w:rsidRPr="008E2678">
        <w:t>the data indicate only how much a local authority plans to spend, not the level nor quality of service that the local authority is providing – and therefore give no indication of how efficiently the local authority is providing the service</w:t>
      </w:r>
      <w:r w:rsidRPr="0062034A">
        <w:t>.</w:t>
      </w:r>
    </w:p>
    <w:p w14:paraId="647B09ED" w14:textId="77777777" w:rsidR="000775D9" w:rsidRPr="0062034A" w:rsidRDefault="000775D9" w:rsidP="000775D9">
      <w:pPr>
        <w:pStyle w:val="ListBullet1"/>
        <w:ind w:left="1069" w:firstLine="0"/>
      </w:pPr>
    </w:p>
    <w:p w14:paraId="5412E2E5" w14:textId="13232925" w:rsidR="00553E9B" w:rsidRPr="0062034A" w:rsidRDefault="00553E9B" w:rsidP="00553E9B">
      <w:pPr>
        <w:rPr>
          <w:rFonts w:cs="Arial"/>
        </w:rPr>
      </w:pPr>
      <w:r w:rsidRPr="0062034A">
        <w:rPr>
          <w:rFonts w:cs="Arial"/>
        </w:rPr>
        <w:t xml:space="preserve">That is why we have considered </w:t>
      </w:r>
      <w:r w:rsidR="00086057">
        <w:rPr>
          <w:rFonts w:cs="Arial"/>
        </w:rPr>
        <w:t>s</w:t>
      </w:r>
      <w:r w:rsidRPr="0062034A">
        <w:rPr>
          <w:rFonts w:cs="Arial"/>
        </w:rPr>
        <w:t>ection 251 data in conjunction with case studies of particular local authorities and academies that have been collected over the past year. In using case studies we have been mindful that we cannot generalise crudely from any single case study because different local authorities and academies have different needs and face different challenges.</w:t>
      </w:r>
    </w:p>
    <w:p w14:paraId="73975F07" w14:textId="77777777" w:rsidR="00553E9B" w:rsidRPr="0062034A" w:rsidRDefault="00553E9B" w:rsidP="00553E9B">
      <w:pPr>
        <w:rPr>
          <w:rFonts w:cs="Arial"/>
        </w:rPr>
      </w:pPr>
      <w:r w:rsidRPr="0062034A">
        <w:rPr>
          <w:rFonts w:cs="Arial"/>
        </w:rPr>
        <w:t>As we anticipated, the scope for local authorities to make savings appears to vary between different functions and different types of local authority. Some local authorities report that they have already made savings and that it is difficult to achieve more; others report that there is scope for efficiency and savings through, for example: the joining up of services; refocusing work on essential duties; collaboration with other local authorities; encouraging schools to take more responsibility for services and encouraging collaboration between schools; outsourcing to external providers; and restructuring and flexible deployment of staff.</w:t>
      </w:r>
    </w:p>
    <w:p w14:paraId="112588B5" w14:textId="3B61F790" w:rsidR="00553E9B" w:rsidRPr="0062034A" w:rsidRDefault="00553E9B" w:rsidP="00553E9B">
      <w:pPr>
        <w:rPr>
          <w:rFonts w:cs="Arial"/>
        </w:rPr>
      </w:pPr>
      <w:r w:rsidRPr="0062034A">
        <w:rPr>
          <w:rFonts w:cs="Arial"/>
        </w:rPr>
        <w:t>We are satisfied that a general funding rate of £87 is sufficient for local authorities to deliver the services that ESG is intended to fund. The rest of this section sets out a number of key observations we have made.</w:t>
      </w:r>
    </w:p>
    <w:p w14:paraId="67FA304A" w14:textId="09AC9A40" w:rsidR="00553E9B" w:rsidRPr="0062034A" w:rsidRDefault="00553E9B" w:rsidP="00553E9B">
      <w:pPr>
        <w:rPr>
          <w:rFonts w:cs="Arial"/>
        </w:rPr>
      </w:pPr>
      <w:r w:rsidRPr="0062034A">
        <w:rPr>
          <w:rFonts w:cs="Arial"/>
        </w:rPr>
        <w:t>One key observation is that we estimate around a third of local authorities (48) planned to spend around £87</w:t>
      </w:r>
      <w:r w:rsidRPr="0062034A">
        <w:rPr>
          <w:rStyle w:val="FootnoteReference"/>
          <w:rFonts w:cs="Arial"/>
        </w:rPr>
        <w:footnoteReference w:id="5"/>
      </w:r>
      <w:r w:rsidRPr="0062034A">
        <w:rPr>
          <w:rFonts w:cs="Arial"/>
        </w:rPr>
        <w:t xml:space="preserve"> or less per pupil in 2013-14 on ESG relevant functions</w:t>
      </w:r>
      <w:r w:rsidR="00BD4CB1">
        <w:rPr>
          <w:rFonts w:cs="Arial"/>
        </w:rPr>
        <w:t xml:space="preserve"> for maintained schools</w:t>
      </w:r>
      <w:r w:rsidRPr="0062034A">
        <w:rPr>
          <w:rFonts w:cs="Arial"/>
        </w:rPr>
        <w:t>. These local authorities are listed in Annex B and are</w:t>
      </w:r>
      <w:r w:rsidR="00BD4CB1">
        <w:rPr>
          <w:rFonts w:cs="Arial"/>
        </w:rPr>
        <w:t xml:space="preserve"> highly</w:t>
      </w:r>
      <w:r w:rsidRPr="0062034A">
        <w:rPr>
          <w:rFonts w:cs="Arial"/>
        </w:rPr>
        <w:t xml:space="preserve"> diverse in nature. They include authorities with the following characteristics:</w:t>
      </w:r>
    </w:p>
    <w:p w14:paraId="041B6AFE" w14:textId="77777777" w:rsidR="00553E9B" w:rsidRPr="0062034A" w:rsidRDefault="00553E9B" w:rsidP="00D77BC2">
      <w:pPr>
        <w:pStyle w:val="ListBullet1"/>
        <w:numPr>
          <w:ilvl w:val="0"/>
          <w:numId w:val="32"/>
        </w:numPr>
        <w:rPr>
          <w:rFonts w:cs="Arial"/>
        </w:rPr>
      </w:pPr>
      <w:r w:rsidRPr="0062034A">
        <w:rPr>
          <w:rFonts w:cs="Arial"/>
        </w:rPr>
        <w:t>both large and small proportions of academies;</w:t>
      </w:r>
    </w:p>
    <w:p w14:paraId="2AE4392A" w14:textId="77777777" w:rsidR="00553E9B" w:rsidRPr="0062034A" w:rsidRDefault="00553E9B" w:rsidP="00D77BC2">
      <w:pPr>
        <w:pStyle w:val="ListBullet1"/>
        <w:numPr>
          <w:ilvl w:val="0"/>
          <w:numId w:val="32"/>
        </w:numPr>
        <w:rPr>
          <w:rFonts w:cs="Arial"/>
        </w:rPr>
      </w:pPr>
      <w:r w:rsidRPr="0062034A">
        <w:rPr>
          <w:rFonts w:cs="Arial"/>
        </w:rPr>
        <w:t>a large and small number of schools in special measures;</w:t>
      </w:r>
    </w:p>
    <w:p w14:paraId="1071BE27" w14:textId="77777777" w:rsidR="00553E9B" w:rsidRPr="0062034A" w:rsidRDefault="00553E9B" w:rsidP="00D77BC2">
      <w:pPr>
        <w:pStyle w:val="ListBullet1"/>
        <w:numPr>
          <w:ilvl w:val="0"/>
          <w:numId w:val="32"/>
        </w:numPr>
        <w:rPr>
          <w:rFonts w:cs="Arial"/>
        </w:rPr>
      </w:pPr>
      <w:r w:rsidRPr="0062034A">
        <w:rPr>
          <w:rFonts w:cs="Arial"/>
        </w:rPr>
        <w:t>inner, outer and non London locations;</w:t>
      </w:r>
    </w:p>
    <w:p w14:paraId="769892FD" w14:textId="77777777" w:rsidR="00553E9B" w:rsidRPr="0062034A" w:rsidRDefault="00553E9B" w:rsidP="00D77BC2">
      <w:pPr>
        <w:pStyle w:val="ListBullet1"/>
        <w:numPr>
          <w:ilvl w:val="0"/>
          <w:numId w:val="32"/>
        </w:numPr>
        <w:rPr>
          <w:rFonts w:cs="Arial"/>
        </w:rPr>
      </w:pPr>
      <w:r w:rsidRPr="0062034A">
        <w:rPr>
          <w:rFonts w:cs="Arial"/>
        </w:rPr>
        <w:t>both large and small proportions of special schools and alternative provision;</w:t>
      </w:r>
    </w:p>
    <w:p w14:paraId="564BF649" w14:textId="77777777" w:rsidR="00553E9B" w:rsidRPr="0062034A" w:rsidRDefault="00553E9B" w:rsidP="00D77BC2">
      <w:pPr>
        <w:pStyle w:val="ListBullet1"/>
        <w:numPr>
          <w:ilvl w:val="0"/>
          <w:numId w:val="32"/>
        </w:numPr>
        <w:rPr>
          <w:rFonts w:cs="Arial"/>
        </w:rPr>
      </w:pPr>
      <w:r w:rsidRPr="0062034A">
        <w:rPr>
          <w:rFonts w:cs="Arial"/>
        </w:rPr>
        <w:t>rural and urban; and</w:t>
      </w:r>
    </w:p>
    <w:p w14:paraId="3B342A75" w14:textId="77777777" w:rsidR="00553E9B" w:rsidRPr="0062034A" w:rsidRDefault="00553E9B" w:rsidP="00D77BC2">
      <w:pPr>
        <w:pStyle w:val="ListBullet1"/>
        <w:numPr>
          <w:ilvl w:val="0"/>
          <w:numId w:val="32"/>
        </w:numPr>
        <w:rPr>
          <w:rFonts w:cs="Arial"/>
        </w:rPr>
      </w:pPr>
      <w:r w:rsidRPr="0062034A">
        <w:rPr>
          <w:rFonts w:cs="Arial"/>
        </w:rPr>
        <w:t>high and low levels of deprivation.</w:t>
      </w:r>
    </w:p>
    <w:p w14:paraId="10E57D51" w14:textId="77777777" w:rsidR="00D77BC2" w:rsidRPr="0062034A" w:rsidRDefault="00D77BC2" w:rsidP="00D77BC2">
      <w:pPr>
        <w:pStyle w:val="ListBullet1"/>
        <w:ind w:left="1069" w:firstLine="0"/>
        <w:rPr>
          <w:rFonts w:cs="Arial"/>
        </w:rPr>
      </w:pPr>
    </w:p>
    <w:p w14:paraId="5B4D9F79" w14:textId="77777777" w:rsidR="00553E9B" w:rsidRPr="0062034A" w:rsidRDefault="00553E9B" w:rsidP="00553E9B">
      <w:pPr>
        <w:rPr>
          <w:rFonts w:cs="Arial"/>
          <w:i/>
        </w:rPr>
      </w:pPr>
      <w:r w:rsidRPr="0062034A">
        <w:rPr>
          <w:rFonts w:cs="Arial"/>
        </w:rPr>
        <w:t>The following sets out key observations we have made about each of the ESG relevant functions in turn.</w:t>
      </w:r>
    </w:p>
    <w:p w14:paraId="184EF0D3" w14:textId="77777777" w:rsidR="009855A6" w:rsidRDefault="009855A6" w:rsidP="0028077E">
      <w:r>
        <w:br w:type="page"/>
      </w:r>
    </w:p>
    <w:p w14:paraId="4961B88F" w14:textId="761ED7EF" w:rsidR="00D77BC2" w:rsidRPr="000775D9" w:rsidRDefault="009A3901" w:rsidP="0028077E">
      <w:pPr>
        <w:pStyle w:val="Heading2"/>
      </w:pPr>
      <w:bookmarkStart w:id="10" w:name="_Toc393781899"/>
      <w:r>
        <w:t>School i</w:t>
      </w:r>
      <w:r w:rsidR="00553E9B" w:rsidRPr="000775D9">
        <w:t>mprovement</w:t>
      </w:r>
      <w:bookmarkEnd w:id="10"/>
    </w:p>
    <w:p w14:paraId="20620741" w14:textId="27799204" w:rsidR="00E93FBE" w:rsidRPr="0062034A" w:rsidRDefault="00553E9B" w:rsidP="00553E9B">
      <w:pPr>
        <w:rPr>
          <w:rFonts w:cs="Arial"/>
        </w:rPr>
      </w:pPr>
      <w:r w:rsidRPr="0062034A">
        <w:rPr>
          <w:rFonts w:cs="Arial"/>
        </w:rPr>
        <w:t xml:space="preserve">The range of planned spend on school improvement in 2013-14 is illustrated in </w:t>
      </w:r>
      <w:r w:rsidR="00B14771">
        <w:rPr>
          <w:rFonts w:cs="Arial"/>
        </w:rPr>
        <w:t>C</w:t>
      </w:r>
      <w:r w:rsidRPr="0062034A">
        <w:rPr>
          <w:rFonts w:cs="Arial"/>
        </w:rPr>
        <w:t>hart</w:t>
      </w:r>
      <w:r w:rsidR="00B14771">
        <w:rPr>
          <w:rFonts w:cs="Arial"/>
        </w:rPr>
        <w:t xml:space="preserve"> 1</w:t>
      </w:r>
      <w:r w:rsidRPr="0062034A">
        <w:rPr>
          <w:rFonts w:cs="Arial"/>
        </w:rPr>
        <w:t xml:space="preserve"> below.</w:t>
      </w:r>
    </w:p>
    <w:p w14:paraId="2DE6AB13" w14:textId="0F855012" w:rsidR="00553E9B" w:rsidRPr="0062034A" w:rsidRDefault="00D90862" w:rsidP="00D77BC2">
      <w:pPr>
        <w:jc w:val="center"/>
        <w:rPr>
          <w:rFonts w:cs="Arial"/>
        </w:rPr>
      </w:pPr>
      <w:r w:rsidRPr="009D4D5A">
        <w:rPr>
          <w:rFonts w:cs="Arial"/>
          <w:noProof/>
        </w:rPr>
        <w:drawing>
          <wp:inline distT="0" distB="0" distL="0" distR="0" wp14:anchorId="6AE5168D" wp14:editId="1B9B36C0">
            <wp:extent cx="5079600" cy="3240000"/>
            <wp:effectExtent l="0" t="0" r="6985" b="0"/>
            <wp:docPr id="53" name="Picture 53" descr="This chart shows the distribution of different local authority spend  (per pupil) on school improvement." title="Distribution of local authority per pupil spend on maintained school pupils and the median (ESG budget line 2.0.4 – school impr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79600" cy="3240000"/>
                    </a:xfrm>
                    <a:prstGeom prst="rect">
                      <a:avLst/>
                    </a:prstGeom>
                    <a:noFill/>
                  </pic:spPr>
                </pic:pic>
              </a:graphicData>
            </a:graphic>
          </wp:inline>
        </w:drawing>
      </w:r>
    </w:p>
    <w:p w14:paraId="235C2BBE" w14:textId="7DB20837" w:rsidR="00BD4CB1" w:rsidRPr="00BD4CB1" w:rsidRDefault="00BD4CB1" w:rsidP="00BD4CB1">
      <w:pPr>
        <w:pStyle w:val="Caption"/>
        <w:rPr>
          <w:rFonts w:cs="Arial"/>
        </w:rPr>
      </w:pPr>
      <w:r>
        <w:rPr>
          <w:rFonts w:cs="Arial"/>
        </w:rPr>
        <w:t>Chart 1</w:t>
      </w:r>
      <w:r w:rsidR="00D77BC2" w:rsidRPr="0062034A">
        <w:rPr>
          <w:rFonts w:cs="Arial"/>
        </w:rPr>
        <w:t xml:space="preserve"> – </w:t>
      </w:r>
      <w:r>
        <w:rPr>
          <w:rFonts w:cs="Arial"/>
        </w:rPr>
        <w:t>Distribution of local authority per pupil spend on maintained school pupils and the median (</w:t>
      </w:r>
      <w:r w:rsidRPr="00BD4CB1">
        <w:rPr>
          <w:rFonts w:cs="Arial"/>
        </w:rPr>
        <w:t>ESG budget line 2.0.4</w:t>
      </w:r>
      <w:r>
        <w:rPr>
          <w:rFonts w:cs="Arial"/>
        </w:rPr>
        <w:t xml:space="preserve"> – school</w:t>
      </w:r>
      <w:r w:rsidRPr="00BD4CB1">
        <w:rPr>
          <w:rFonts w:cs="Arial"/>
        </w:rPr>
        <w:t xml:space="preserve"> improvement</w:t>
      </w:r>
      <w:r>
        <w:rPr>
          <w:rFonts w:cs="Arial"/>
        </w:rPr>
        <w:t>)</w:t>
      </w:r>
    </w:p>
    <w:p w14:paraId="62A1300C" w14:textId="0E31B0E6" w:rsidR="00D77BC2" w:rsidRPr="0062034A" w:rsidRDefault="00D77BC2" w:rsidP="00D77BC2">
      <w:pPr>
        <w:pStyle w:val="Caption"/>
        <w:rPr>
          <w:rFonts w:cs="Arial"/>
        </w:rPr>
      </w:pPr>
    </w:p>
    <w:p w14:paraId="3000338F" w14:textId="3DC59BF1" w:rsidR="00553E9B" w:rsidRPr="0062034A" w:rsidRDefault="00553E9B" w:rsidP="00553E9B">
      <w:pPr>
        <w:rPr>
          <w:rFonts w:cs="Arial"/>
          <w:color w:val="000000" w:themeColor="text1"/>
        </w:rPr>
      </w:pPr>
      <w:r w:rsidRPr="0062034A">
        <w:rPr>
          <w:rFonts w:cs="Arial"/>
        </w:rPr>
        <w:t>A large majority of respondents to th</w:t>
      </w:r>
      <w:r w:rsidR="00C42B0A">
        <w:rPr>
          <w:rFonts w:cs="Arial"/>
        </w:rPr>
        <w:t>is question</w:t>
      </w:r>
      <w:r w:rsidRPr="0062034A">
        <w:rPr>
          <w:rFonts w:cs="Arial"/>
        </w:rPr>
        <w:t xml:space="preserve"> (74%</w:t>
      </w:r>
      <w:r w:rsidR="00C42B0A">
        <w:rPr>
          <w:rFonts w:cs="Arial"/>
        </w:rPr>
        <w:t>) fel</w:t>
      </w:r>
      <w:r w:rsidRPr="0062034A">
        <w:rPr>
          <w:rFonts w:cs="Arial"/>
        </w:rPr>
        <w:t xml:space="preserve">t that further clarification or guidance from the </w:t>
      </w:r>
      <w:r w:rsidR="00026BA3">
        <w:rPr>
          <w:rFonts w:cs="Arial"/>
        </w:rPr>
        <w:t>d</w:t>
      </w:r>
      <w:r w:rsidR="00026BA3" w:rsidRPr="0062034A">
        <w:rPr>
          <w:rFonts w:cs="Arial"/>
        </w:rPr>
        <w:t xml:space="preserve">epartment </w:t>
      </w:r>
      <w:r w:rsidRPr="0062034A">
        <w:rPr>
          <w:rFonts w:cs="Arial"/>
        </w:rPr>
        <w:t xml:space="preserve">on the role of local authorities in school improvement would be needed in order to have a clear set of expectations. We anticipate that the </w:t>
      </w:r>
      <w:hyperlink r:id="rId17" w:history="1">
        <w:r w:rsidRPr="00270FF6">
          <w:rPr>
            <w:rStyle w:val="Hyperlink"/>
            <w:rFonts w:cs="Arial"/>
          </w:rPr>
          <w:t>revised statutory guidance</w:t>
        </w:r>
      </w:hyperlink>
      <w:r w:rsidRPr="0062034A">
        <w:rPr>
          <w:rFonts w:cs="Arial"/>
        </w:rPr>
        <w:t xml:space="preserve"> </w:t>
      </w:r>
      <w:r w:rsidR="00270FF6">
        <w:rPr>
          <w:rFonts w:cs="Arial"/>
        </w:rPr>
        <w:t xml:space="preserve">on schools causing concern </w:t>
      </w:r>
      <w:r w:rsidRPr="0062034A">
        <w:rPr>
          <w:rFonts w:cs="Arial"/>
        </w:rPr>
        <w:t xml:space="preserve">(May 2014) will serve that purpose. </w:t>
      </w:r>
      <w:r w:rsidRPr="0062034A">
        <w:rPr>
          <w:rFonts w:cs="Arial"/>
          <w:color w:val="000000" w:themeColor="text1"/>
        </w:rPr>
        <w:t xml:space="preserve">We are working with Ofsted so that its inspection guidelines reflect the role of the local authority as described </w:t>
      </w:r>
      <w:r w:rsidR="00B14771">
        <w:rPr>
          <w:rFonts w:cs="Arial"/>
          <w:color w:val="000000" w:themeColor="text1"/>
        </w:rPr>
        <w:t xml:space="preserve">in </w:t>
      </w:r>
      <w:r w:rsidRPr="0062034A">
        <w:rPr>
          <w:rFonts w:cs="Arial"/>
          <w:color w:val="000000" w:themeColor="text1"/>
        </w:rPr>
        <w:t xml:space="preserve">the guidance. </w:t>
      </w:r>
    </w:p>
    <w:p w14:paraId="12C6BD8F" w14:textId="581ACD9C" w:rsidR="00553E9B" w:rsidRPr="0062034A" w:rsidRDefault="00553E9B" w:rsidP="00553E9B">
      <w:pPr>
        <w:rPr>
          <w:rFonts w:cs="Arial"/>
          <w:i/>
        </w:rPr>
      </w:pPr>
      <w:r w:rsidRPr="0062034A">
        <w:rPr>
          <w:rFonts w:cs="Arial"/>
        </w:rPr>
        <w:t>Other opportunities for savings identified through the consultation include</w:t>
      </w:r>
      <w:r w:rsidR="00E93FBE">
        <w:rPr>
          <w:rFonts w:cs="Arial"/>
        </w:rPr>
        <w:t>:</w:t>
      </w:r>
      <w:r w:rsidRPr="0062034A">
        <w:rPr>
          <w:rFonts w:cs="Arial"/>
        </w:rPr>
        <w:t xml:space="preserve"> collabor</w:t>
      </w:r>
      <w:r w:rsidR="00E93FBE">
        <w:rPr>
          <w:rFonts w:cs="Arial"/>
        </w:rPr>
        <w:t>ation between local authorities</w:t>
      </w:r>
      <w:r w:rsidRPr="0062034A">
        <w:rPr>
          <w:rFonts w:cs="Arial"/>
        </w:rPr>
        <w:t xml:space="preserve"> in order to share expertise; school-to-school support, particularly from teaching schools; using an external provider; greater flexibility in the deployment of key staff; and using daily rates for specific projects rather than permanent arrangements.</w:t>
      </w:r>
      <w:r w:rsidR="00B14771">
        <w:rPr>
          <w:rFonts w:cs="Arial"/>
          <w:i/>
        </w:rPr>
        <w:t xml:space="preserve"> </w:t>
      </w:r>
      <w:r w:rsidRPr="0062034A">
        <w:rPr>
          <w:rFonts w:cs="Arial"/>
          <w:i/>
        </w:rPr>
        <w:t xml:space="preserve"> </w:t>
      </w:r>
    </w:p>
    <w:p w14:paraId="6D62CACC" w14:textId="00BD0813" w:rsidR="00AD298B" w:rsidRDefault="00553E9B" w:rsidP="00553E9B">
      <w:pPr>
        <w:rPr>
          <w:rFonts w:cs="Arial"/>
        </w:rPr>
      </w:pPr>
      <w:r w:rsidRPr="0062034A">
        <w:rPr>
          <w:rFonts w:cs="Arial"/>
        </w:rPr>
        <w:t xml:space="preserve">On this basis, we think it is reasonable to assume that some local authorities </w:t>
      </w:r>
      <w:r w:rsidR="00BD4CB1">
        <w:rPr>
          <w:rFonts w:cs="Arial"/>
        </w:rPr>
        <w:t>could</w:t>
      </w:r>
      <w:r w:rsidRPr="0062034A">
        <w:rPr>
          <w:rFonts w:cs="Arial"/>
        </w:rPr>
        <w:t xml:space="preserve"> reduce spending considerably in this area, with many higher spenders moving closer to – or below – the observed median planned spend in 2013-14. Furthermore, given that we have not yet found evidence of a relationship between spend on school improvement and improvement in the performance of schools</w:t>
      </w:r>
      <w:r w:rsidRPr="0062034A">
        <w:rPr>
          <w:rStyle w:val="FootnoteReference"/>
          <w:rFonts w:cs="Arial"/>
        </w:rPr>
        <w:footnoteReference w:id="6"/>
      </w:r>
      <w:r w:rsidRPr="0062034A">
        <w:rPr>
          <w:rFonts w:cs="Arial"/>
        </w:rPr>
        <w:t xml:space="preserve"> we think that many local authorities could make savings without risk to delivery. </w:t>
      </w:r>
    </w:p>
    <w:p w14:paraId="3C432843" w14:textId="220F019D" w:rsidR="0080588E" w:rsidRDefault="0080588E">
      <w:pPr>
        <w:spacing w:after="0" w:line="240" w:lineRule="auto"/>
        <w:rPr>
          <w:b/>
          <w:color w:val="104F75"/>
          <w:sz w:val="32"/>
          <w:szCs w:val="32"/>
        </w:rPr>
      </w:pPr>
      <w:bookmarkStart w:id="11" w:name="_Toc393781900"/>
      <w:r>
        <w:br w:type="page"/>
      </w:r>
    </w:p>
    <w:p w14:paraId="020AE8A1" w14:textId="255B57C7" w:rsidR="00553E9B" w:rsidRPr="000775D9" w:rsidRDefault="009A3901" w:rsidP="0028077E">
      <w:pPr>
        <w:pStyle w:val="Heading2"/>
      </w:pPr>
      <w:r>
        <w:t>Statutory and r</w:t>
      </w:r>
      <w:r w:rsidR="00553E9B" w:rsidRPr="000775D9">
        <w:t xml:space="preserve">egulatory </w:t>
      </w:r>
      <w:r>
        <w:t>d</w:t>
      </w:r>
      <w:r w:rsidR="00553E9B" w:rsidRPr="000775D9">
        <w:t>uties</w:t>
      </w:r>
      <w:bookmarkEnd w:id="11"/>
    </w:p>
    <w:p w14:paraId="778B06FB" w14:textId="7E892913" w:rsidR="00553E9B" w:rsidRPr="0062034A" w:rsidRDefault="00553E9B" w:rsidP="00553E9B">
      <w:pPr>
        <w:rPr>
          <w:rFonts w:cs="Arial"/>
        </w:rPr>
      </w:pPr>
      <w:r w:rsidRPr="0062034A">
        <w:rPr>
          <w:rFonts w:cs="Arial"/>
        </w:rPr>
        <w:t xml:space="preserve">The range of planned spend in 2013-14 on statutory and regulatory duties for maintained schools is illustrated in </w:t>
      </w:r>
      <w:r w:rsidR="00B14771">
        <w:rPr>
          <w:rFonts w:cs="Arial"/>
        </w:rPr>
        <w:t>C</w:t>
      </w:r>
      <w:r w:rsidRPr="0062034A">
        <w:rPr>
          <w:rFonts w:cs="Arial"/>
        </w:rPr>
        <w:t xml:space="preserve">hart </w:t>
      </w:r>
      <w:r w:rsidR="00B14771">
        <w:rPr>
          <w:rFonts w:cs="Arial"/>
        </w:rPr>
        <w:t xml:space="preserve">2 </w:t>
      </w:r>
      <w:r w:rsidRPr="0062034A">
        <w:rPr>
          <w:rFonts w:cs="Arial"/>
        </w:rPr>
        <w:t>below. We have adjusted planned spend by removing the funding for retained duties</w:t>
      </w:r>
      <w:r w:rsidRPr="0062034A">
        <w:rPr>
          <w:rFonts w:cs="Arial"/>
          <w:vertAlign w:val="superscript"/>
        </w:rPr>
        <w:t>5</w:t>
      </w:r>
      <w:r w:rsidRPr="0062034A">
        <w:rPr>
          <w:rFonts w:cs="Arial"/>
        </w:rPr>
        <w:t>.</w:t>
      </w:r>
    </w:p>
    <w:p w14:paraId="2B97C89E" w14:textId="66FDB9A6" w:rsidR="00553E9B" w:rsidRPr="0062034A" w:rsidRDefault="00D90862" w:rsidP="00D77BC2">
      <w:pPr>
        <w:jc w:val="center"/>
        <w:rPr>
          <w:rFonts w:cs="Arial"/>
        </w:rPr>
      </w:pPr>
      <w:r w:rsidRPr="009D4D5A">
        <w:rPr>
          <w:rFonts w:cs="Arial"/>
          <w:noProof/>
        </w:rPr>
        <w:drawing>
          <wp:inline distT="0" distB="0" distL="0" distR="0" wp14:anchorId="6DD56E33" wp14:editId="4BDCEB6F">
            <wp:extent cx="5083200" cy="3240000"/>
            <wp:effectExtent l="0" t="0" r="3175" b="0"/>
            <wp:docPr id="54" name="Picture 54" descr="This chart shows the distribution of different local authority spend (per pupil) on statutory and regulatory duties." title="Distribution of local authority per pupil spend on maintained school pupils and the median (ESG budget line 2.0.6 - statutory and regulatory du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83200" cy="3240000"/>
                    </a:xfrm>
                    <a:prstGeom prst="rect">
                      <a:avLst/>
                    </a:prstGeom>
                    <a:noFill/>
                  </pic:spPr>
                </pic:pic>
              </a:graphicData>
            </a:graphic>
          </wp:inline>
        </w:drawing>
      </w:r>
    </w:p>
    <w:p w14:paraId="4252EDDE" w14:textId="72141405" w:rsidR="009E4107" w:rsidRPr="00BD4CB1" w:rsidRDefault="009E4107" w:rsidP="009E4107">
      <w:pPr>
        <w:pStyle w:val="Caption"/>
        <w:rPr>
          <w:rFonts w:cs="Arial"/>
        </w:rPr>
      </w:pPr>
      <w:r>
        <w:rPr>
          <w:rFonts w:cs="Arial"/>
        </w:rPr>
        <w:t>Chart 2</w:t>
      </w:r>
      <w:r w:rsidRPr="0062034A">
        <w:rPr>
          <w:rFonts w:cs="Arial"/>
        </w:rPr>
        <w:t xml:space="preserve"> – </w:t>
      </w:r>
      <w:r>
        <w:rPr>
          <w:rFonts w:cs="Arial"/>
        </w:rPr>
        <w:t>Distribution of local authority per pupil spend on maintained school pupils and the median (</w:t>
      </w:r>
      <w:r w:rsidRPr="00BD4CB1">
        <w:rPr>
          <w:rFonts w:cs="Arial"/>
        </w:rPr>
        <w:t>ESG budget line 2.0.</w:t>
      </w:r>
      <w:r>
        <w:rPr>
          <w:rFonts w:cs="Arial"/>
        </w:rPr>
        <w:t>6 – statutory and regulatory duties)</w:t>
      </w:r>
    </w:p>
    <w:p w14:paraId="78F82259" w14:textId="3977C5CC" w:rsidR="00553E9B" w:rsidRPr="0062034A" w:rsidRDefault="00553E9B" w:rsidP="00553E9B">
      <w:pPr>
        <w:rPr>
          <w:rFonts w:cs="Arial"/>
        </w:rPr>
      </w:pPr>
      <w:r w:rsidRPr="0062034A">
        <w:rPr>
          <w:rFonts w:cs="Arial"/>
        </w:rPr>
        <w:t>The main opportunities for reducing costs and making savings identified through the consultation were:</w:t>
      </w:r>
    </w:p>
    <w:p w14:paraId="624A9F13" w14:textId="77777777" w:rsidR="00553E9B" w:rsidRPr="0062034A" w:rsidRDefault="00553E9B" w:rsidP="00D77BC2">
      <w:pPr>
        <w:pStyle w:val="ListBullet1"/>
        <w:numPr>
          <w:ilvl w:val="0"/>
          <w:numId w:val="33"/>
        </w:numPr>
        <w:rPr>
          <w:rFonts w:cs="Arial"/>
        </w:rPr>
      </w:pPr>
      <w:r w:rsidRPr="0062034A">
        <w:rPr>
          <w:rFonts w:cs="Arial"/>
        </w:rPr>
        <w:t>collaboration, for example sharing procurement or audit services across the whole local authority, or with other local authorities;</w:t>
      </w:r>
    </w:p>
    <w:p w14:paraId="63C58793" w14:textId="77777777" w:rsidR="00553E9B" w:rsidRPr="0062034A" w:rsidRDefault="00553E9B" w:rsidP="00D77BC2">
      <w:pPr>
        <w:pStyle w:val="ListBullet1"/>
        <w:numPr>
          <w:ilvl w:val="0"/>
          <w:numId w:val="33"/>
        </w:numPr>
        <w:rPr>
          <w:rFonts w:cs="Arial"/>
        </w:rPr>
      </w:pPr>
      <w:r w:rsidRPr="0062034A">
        <w:rPr>
          <w:rFonts w:cs="Arial"/>
        </w:rPr>
        <w:t>reducing spend on back-office functions, for example by establishing an independent provider to provide these at lower cost; and</w:t>
      </w:r>
    </w:p>
    <w:p w14:paraId="2BEEECEB" w14:textId="77777777" w:rsidR="00553E9B" w:rsidRPr="0062034A" w:rsidRDefault="00553E9B" w:rsidP="00D77BC2">
      <w:pPr>
        <w:pStyle w:val="ListBullet1"/>
        <w:numPr>
          <w:ilvl w:val="0"/>
          <w:numId w:val="33"/>
        </w:numPr>
        <w:rPr>
          <w:rFonts w:cs="Arial"/>
        </w:rPr>
      </w:pPr>
      <w:r w:rsidRPr="0062034A">
        <w:rPr>
          <w:rFonts w:cs="Arial"/>
        </w:rPr>
        <w:t>transferring costs of some functions to schools, for example audit and health and safety.</w:t>
      </w:r>
    </w:p>
    <w:p w14:paraId="0803B709" w14:textId="6A9A7925" w:rsidR="00553E9B" w:rsidRPr="0062034A" w:rsidRDefault="00553E9B" w:rsidP="00553E9B">
      <w:pPr>
        <w:rPr>
          <w:rFonts w:cs="Arial"/>
        </w:rPr>
      </w:pPr>
      <w:r w:rsidRPr="0062034A">
        <w:rPr>
          <w:rFonts w:cs="Arial"/>
        </w:rPr>
        <w:t>A key feature of this budget line is that local authorities retain some duties for both academies and maintained schools. As we have discussed in the section above, we have de</w:t>
      </w:r>
      <w:r w:rsidR="00FE1D0D">
        <w:rPr>
          <w:rFonts w:cs="Arial"/>
        </w:rPr>
        <w:t xml:space="preserve">cided to </w:t>
      </w:r>
      <w:r w:rsidR="009A3901">
        <w:rPr>
          <w:rFonts w:cs="Arial"/>
        </w:rPr>
        <w:t>maintain</w:t>
      </w:r>
      <w:r w:rsidR="00FE1D0D">
        <w:rPr>
          <w:rFonts w:cs="Arial"/>
        </w:rPr>
        <w:t xml:space="preserve"> the retained </w:t>
      </w:r>
      <w:r w:rsidRPr="0062034A">
        <w:rPr>
          <w:rFonts w:cs="Arial"/>
        </w:rPr>
        <w:t xml:space="preserve">duties rate at £15 per pupil. </w:t>
      </w:r>
    </w:p>
    <w:p w14:paraId="11918893" w14:textId="63607868" w:rsidR="00113AFB" w:rsidRDefault="00553E9B" w:rsidP="00553E9B">
      <w:pPr>
        <w:rPr>
          <w:rFonts w:cs="Arial"/>
        </w:rPr>
      </w:pPr>
      <w:r w:rsidRPr="0062034A">
        <w:rPr>
          <w:rFonts w:cs="Arial"/>
        </w:rPr>
        <w:t xml:space="preserve">A high proportion of respondents asked for further clarification of these duties. We have provided this clarification in Annex A. On </w:t>
      </w:r>
      <w:r w:rsidR="009A3901">
        <w:rPr>
          <w:rFonts w:cs="Arial"/>
        </w:rPr>
        <w:t>the basis of this clarification</w:t>
      </w:r>
      <w:r w:rsidR="0079720A">
        <w:rPr>
          <w:rFonts w:cs="Arial"/>
        </w:rPr>
        <w:t>,</w:t>
      </w:r>
      <w:r w:rsidRPr="0062034A">
        <w:rPr>
          <w:rFonts w:cs="Arial"/>
        </w:rPr>
        <w:t xml:space="preserve"> the curre</w:t>
      </w:r>
      <w:r w:rsidR="009A3901">
        <w:rPr>
          <w:rFonts w:cs="Arial"/>
        </w:rPr>
        <w:t>nt wide range of reported spend</w:t>
      </w:r>
      <w:r w:rsidR="0079720A">
        <w:rPr>
          <w:rFonts w:cs="Arial"/>
        </w:rPr>
        <w:t>,</w:t>
      </w:r>
      <w:r w:rsidRPr="0062034A">
        <w:rPr>
          <w:rFonts w:cs="Arial"/>
        </w:rPr>
        <w:t xml:space="preserve"> and the opportunities for savings identified above, we are confident that a significant number of local authorities should be able to reduce their spending on this function.</w:t>
      </w:r>
    </w:p>
    <w:p w14:paraId="512B97D0" w14:textId="77777777" w:rsidR="00113AFB" w:rsidRDefault="00113AFB">
      <w:pPr>
        <w:spacing w:after="0" w:line="240" w:lineRule="auto"/>
        <w:rPr>
          <w:rFonts w:cs="Arial"/>
        </w:rPr>
      </w:pPr>
      <w:r>
        <w:rPr>
          <w:rFonts w:cs="Arial"/>
        </w:rPr>
        <w:br w:type="page"/>
      </w:r>
    </w:p>
    <w:p w14:paraId="17311AA4" w14:textId="15E2DD37" w:rsidR="00553E9B" w:rsidRPr="000775D9" w:rsidRDefault="009A3901" w:rsidP="0028077E">
      <w:pPr>
        <w:pStyle w:val="Heading2"/>
      </w:pPr>
      <w:bookmarkStart w:id="12" w:name="_Toc393781901"/>
      <w:r>
        <w:t>Educa</w:t>
      </w:r>
      <w:r w:rsidR="00113AFB">
        <w:t>t</w:t>
      </w:r>
      <w:r>
        <w:t>ion w</w:t>
      </w:r>
      <w:r w:rsidR="00553E9B" w:rsidRPr="000775D9">
        <w:t xml:space="preserve">elfare </w:t>
      </w:r>
      <w:r>
        <w:t>s</w:t>
      </w:r>
      <w:r w:rsidR="00553E9B" w:rsidRPr="000775D9">
        <w:t>ervices</w:t>
      </w:r>
      <w:bookmarkEnd w:id="12"/>
    </w:p>
    <w:p w14:paraId="51D7B1A3" w14:textId="45D07CBF" w:rsidR="00553E9B" w:rsidRPr="0062034A" w:rsidRDefault="00553E9B" w:rsidP="00553E9B">
      <w:pPr>
        <w:rPr>
          <w:rFonts w:cs="Arial"/>
        </w:rPr>
      </w:pPr>
      <w:r w:rsidRPr="0062034A">
        <w:rPr>
          <w:rFonts w:cs="Arial"/>
        </w:rPr>
        <w:t xml:space="preserve">The range of planned spend in 2013-14 on education welfare services for maintained schools is illustrated in </w:t>
      </w:r>
      <w:r w:rsidR="00B14771">
        <w:rPr>
          <w:rFonts w:cs="Arial"/>
        </w:rPr>
        <w:t>C</w:t>
      </w:r>
      <w:r w:rsidRPr="0062034A">
        <w:rPr>
          <w:rFonts w:cs="Arial"/>
        </w:rPr>
        <w:t xml:space="preserve">hart </w:t>
      </w:r>
      <w:r w:rsidR="00B14771">
        <w:rPr>
          <w:rFonts w:cs="Arial"/>
        </w:rPr>
        <w:t xml:space="preserve">3 </w:t>
      </w:r>
      <w:r w:rsidRPr="0062034A">
        <w:rPr>
          <w:rFonts w:cs="Arial"/>
        </w:rPr>
        <w:t>below. We have adjusted planned spend by removing the funding for retained duties</w:t>
      </w:r>
      <w:r w:rsidRPr="0062034A">
        <w:rPr>
          <w:rFonts w:cs="Arial"/>
          <w:vertAlign w:val="superscript"/>
        </w:rPr>
        <w:t>5</w:t>
      </w:r>
      <w:r w:rsidRPr="0062034A">
        <w:rPr>
          <w:rFonts w:cs="Arial"/>
        </w:rPr>
        <w:t>.</w:t>
      </w:r>
    </w:p>
    <w:p w14:paraId="5AC68C8F" w14:textId="4C6C93B8" w:rsidR="00553E9B" w:rsidRPr="0062034A" w:rsidRDefault="00D90862" w:rsidP="00D77BC2">
      <w:pPr>
        <w:jc w:val="center"/>
        <w:rPr>
          <w:rFonts w:cs="Arial"/>
        </w:rPr>
      </w:pPr>
      <w:r w:rsidRPr="009D4D5A">
        <w:rPr>
          <w:rFonts w:cs="Arial"/>
          <w:noProof/>
        </w:rPr>
        <w:drawing>
          <wp:inline distT="0" distB="0" distL="0" distR="0" wp14:anchorId="13F9C352" wp14:editId="0378627B">
            <wp:extent cx="4942800" cy="3240000"/>
            <wp:effectExtent l="0" t="0" r="0" b="0"/>
            <wp:docPr id="111" name="Picture 111" descr="This chart shows the distribution of different local authority spend (per pupil) on education welfare services." title="Distribution of local authority per pupil spend on maintained school pupils and the median (ESG budget line 2.0.3 – education welfar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42800" cy="3240000"/>
                    </a:xfrm>
                    <a:prstGeom prst="rect">
                      <a:avLst/>
                    </a:prstGeom>
                    <a:noFill/>
                  </pic:spPr>
                </pic:pic>
              </a:graphicData>
            </a:graphic>
          </wp:inline>
        </w:drawing>
      </w:r>
    </w:p>
    <w:p w14:paraId="25DCB9A6" w14:textId="70BD7E61" w:rsidR="009E4107" w:rsidRPr="00BD4CB1" w:rsidRDefault="009E4107" w:rsidP="009E4107">
      <w:pPr>
        <w:pStyle w:val="Caption"/>
        <w:rPr>
          <w:rFonts w:cs="Arial"/>
        </w:rPr>
      </w:pPr>
      <w:r>
        <w:rPr>
          <w:rFonts w:cs="Arial"/>
        </w:rPr>
        <w:t>Chart 3</w:t>
      </w:r>
      <w:r w:rsidRPr="0062034A">
        <w:rPr>
          <w:rFonts w:cs="Arial"/>
        </w:rPr>
        <w:t xml:space="preserve"> – </w:t>
      </w:r>
      <w:r>
        <w:rPr>
          <w:rFonts w:cs="Arial"/>
        </w:rPr>
        <w:t>Distribution of local authority per pupil spend on maintained school pupils and the median (</w:t>
      </w:r>
      <w:r w:rsidRPr="00BD4CB1">
        <w:rPr>
          <w:rFonts w:cs="Arial"/>
        </w:rPr>
        <w:t>ESG budget line 2.0.</w:t>
      </w:r>
      <w:r>
        <w:rPr>
          <w:rFonts w:cs="Arial"/>
        </w:rPr>
        <w:t>3 – education welfare services)</w:t>
      </w:r>
    </w:p>
    <w:p w14:paraId="5FFDC4CC" w14:textId="4D0345A3" w:rsidR="00553E9B" w:rsidRPr="0062034A" w:rsidRDefault="00553E9B" w:rsidP="00553E9B">
      <w:pPr>
        <w:rPr>
          <w:rFonts w:cs="Arial"/>
        </w:rPr>
      </w:pPr>
      <w:r w:rsidRPr="0062034A">
        <w:rPr>
          <w:rFonts w:cs="Arial"/>
        </w:rPr>
        <w:t>We know that education welfare is an area where many local authorities have already made savings and reduced services to the statutory minimum. We did, however, receive responses suggesting that clarification of duties might allow some local authorities to deliv</w:t>
      </w:r>
      <w:r w:rsidR="00B14771">
        <w:rPr>
          <w:rFonts w:cs="Arial"/>
        </w:rPr>
        <w:t xml:space="preserve">er these services at lower cost. Examples cited included </w:t>
      </w:r>
      <w:r w:rsidRPr="0062034A">
        <w:rPr>
          <w:rFonts w:cs="Arial"/>
        </w:rPr>
        <w:t xml:space="preserve">schools taking more responsibility for their statutory obligations according to the England (Pupil Registration) Regulations 2006 and subsequent amendments, and joint working between services across the authority. </w:t>
      </w:r>
    </w:p>
    <w:p w14:paraId="2573BB99" w14:textId="5021E652" w:rsidR="00553E9B" w:rsidRPr="0062034A" w:rsidRDefault="00553E9B" w:rsidP="00553E9B">
      <w:pPr>
        <w:rPr>
          <w:rFonts w:cs="Arial"/>
        </w:rPr>
      </w:pPr>
      <w:r w:rsidRPr="0062034A">
        <w:rPr>
          <w:rFonts w:cs="Arial"/>
        </w:rPr>
        <w:t>A key feature of this budget line is that local authorities retain some duties for both academies and maintained schools. As we have discussed in the section above, we have decided to maintain the retained</w:t>
      </w:r>
      <w:r w:rsidR="00B14771">
        <w:rPr>
          <w:rFonts w:cs="Arial"/>
        </w:rPr>
        <w:t xml:space="preserve"> </w:t>
      </w:r>
      <w:r w:rsidRPr="0062034A">
        <w:rPr>
          <w:rFonts w:cs="Arial"/>
        </w:rPr>
        <w:t>duties rate at £15 per pupil.</w:t>
      </w:r>
    </w:p>
    <w:p w14:paraId="63F0AF3A" w14:textId="1EE930DC" w:rsidR="00113AFB" w:rsidRDefault="00553E9B" w:rsidP="00553E9B">
      <w:pPr>
        <w:rPr>
          <w:rFonts w:cs="Arial"/>
        </w:rPr>
      </w:pPr>
      <w:r w:rsidRPr="0062034A">
        <w:rPr>
          <w:rFonts w:cs="Arial"/>
        </w:rPr>
        <w:t>We have provided clarification in Annex A of the relevant statutory duties. On the basis of this clarification</w:t>
      </w:r>
      <w:r w:rsidR="00790A77">
        <w:rPr>
          <w:rFonts w:cs="Arial"/>
        </w:rPr>
        <w:t>,</w:t>
      </w:r>
      <w:r w:rsidRPr="0062034A">
        <w:rPr>
          <w:rFonts w:cs="Arial"/>
        </w:rPr>
        <w:t xml:space="preserve"> the current wide range of reported spend</w:t>
      </w:r>
      <w:r w:rsidR="00790A77">
        <w:rPr>
          <w:rFonts w:cs="Arial"/>
        </w:rPr>
        <w:t>,</w:t>
      </w:r>
      <w:r w:rsidRPr="0062034A">
        <w:rPr>
          <w:rFonts w:cs="Arial"/>
        </w:rPr>
        <w:t xml:space="preserve"> and the opportunities for savings identified above, we are confident that a significant number of local authorities should be able to reduce their spending on this function.</w:t>
      </w:r>
    </w:p>
    <w:p w14:paraId="73042F8D" w14:textId="77777777" w:rsidR="00113AFB" w:rsidRDefault="00113AFB">
      <w:pPr>
        <w:spacing w:after="0" w:line="240" w:lineRule="auto"/>
        <w:rPr>
          <w:rFonts w:cs="Arial"/>
        </w:rPr>
      </w:pPr>
      <w:r>
        <w:rPr>
          <w:rFonts w:cs="Arial"/>
        </w:rPr>
        <w:br w:type="page"/>
      </w:r>
    </w:p>
    <w:p w14:paraId="57F80BCE" w14:textId="2BB830CE" w:rsidR="00D77BC2" w:rsidRPr="000775D9" w:rsidRDefault="009A3901" w:rsidP="0028077E">
      <w:pPr>
        <w:pStyle w:val="Heading2"/>
      </w:pPr>
      <w:bookmarkStart w:id="13" w:name="_Toc393781902"/>
      <w:r>
        <w:t>Central s</w:t>
      </w:r>
      <w:r w:rsidR="00553E9B" w:rsidRPr="000775D9">
        <w:t xml:space="preserve">upport </w:t>
      </w:r>
      <w:r>
        <w:t>s</w:t>
      </w:r>
      <w:r w:rsidR="00553E9B" w:rsidRPr="000775D9">
        <w:t>ervices</w:t>
      </w:r>
      <w:bookmarkEnd w:id="13"/>
    </w:p>
    <w:p w14:paraId="237F2B53" w14:textId="02CC714D" w:rsidR="00553E9B" w:rsidRPr="0062034A" w:rsidRDefault="00553E9B" w:rsidP="00553E9B">
      <w:pPr>
        <w:rPr>
          <w:rFonts w:cs="Arial"/>
        </w:rPr>
      </w:pPr>
      <w:r w:rsidRPr="0062034A">
        <w:rPr>
          <w:rFonts w:cs="Arial"/>
        </w:rPr>
        <w:t>The range of planned spend in 2013-14 on central support services is illus</w:t>
      </w:r>
      <w:r w:rsidR="00B14771">
        <w:rPr>
          <w:rFonts w:cs="Arial"/>
        </w:rPr>
        <w:t>trated in C</w:t>
      </w:r>
      <w:r w:rsidRPr="0062034A">
        <w:rPr>
          <w:rFonts w:cs="Arial"/>
        </w:rPr>
        <w:t xml:space="preserve">hart </w:t>
      </w:r>
      <w:r w:rsidR="00B14771">
        <w:rPr>
          <w:rFonts w:cs="Arial"/>
        </w:rPr>
        <w:t xml:space="preserve">4 </w:t>
      </w:r>
      <w:r w:rsidRPr="0062034A">
        <w:rPr>
          <w:rFonts w:cs="Arial"/>
        </w:rPr>
        <w:t>below.</w:t>
      </w:r>
    </w:p>
    <w:p w14:paraId="60ADCE2A" w14:textId="494F504D" w:rsidR="00553E9B" w:rsidRPr="0062034A" w:rsidRDefault="00D90862" w:rsidP="00D77BC2">
      <w:pPr>
        <w:jc w:val="center"/>
        <w:rPr>
          <w:rFonts w:cs="Arial"/>
        </w:rPr>
      </w:pPr>
      <w:r w:rsidRPr="009D4D5A">
        <w:rPr>
          <w:rFonts w:cs="Arial"/>
          <w:noProof/>
        </w:rPr>
        <w:drawing>
          <wp:inline distT="0" distB="0" distL="0" distR="0" wp14:anchorId="4E74DE84" wp14:editId="4369EB2F">
            <wp:extent cx="5079600" cy="3240000"/>
            <wp:effectExtent l="0" t="0" r="6985" b="0"/>
            <wp:docPr id="106" name="Picture 106" descr="This chart shows the distribution of different local authority spend (per pupil) on central support services." title="Distribution of local authority per pupil spend on maintained school pupils and the median (ESG budget line 2.0.2 – central support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79600" cy="3240000"/>
                    </a:xfrm>
                    <a:prstGeom prst="rect">
                      <a:avLst/>
                    </a:prstGeom>
                    <a:noFill/>
                  </pic:spPr>
                </pic:pic>
              </a:graphicData>
            </a:graphic>
          </wp:inline>
        </w:drawing>
      </w:r>
    </w:p>
    <w:p w14:paraId="77E92C4B" w14:textId="3FBADCB5" w:rsidR="009E4107" w:rsidRPr="00BD4CB1" w:rsidRDefault="009E4107" w:rsidP="009E4107">
      <w:pPr>
        <w:pStyle w:val="Caption"/>
        <w:rPr>
          <w:rFonts w:cs="Arial"/>
        </w:rPr>
      </w:pPr>
      <w:r>
        <w:rPr>
          <w:rFonts w:cs="Arial"/>
        </w:rPr>
        <w:t>Chart 4</w:t>
      </w:r>
      <w:r w:rsidRPr="0062034A">
        <w:rPr>
          <w:rFonts w:cs="Arial"/>
        </w:rPr>
        <w:t xml:space="preserve"> – </w:t>
      </w:r>
      <w:r>
        <w:rPr>
          <w:rFonts w:cs="Arial"/>
        </w:rPr>
        <w:t>Distribution of local authority per pupil spend on maintained school pupils and the median (</w:t>
      </w:r>
      <w:r w:rsidRPr="00BD4CB1">
        <w:rPr>
          <w:rFonts w:cs="Arial"/>
        </w:rPr>
        <w:t>ESG budget line 2.0.</w:t>
      </w:r>
      <w:r>
        <w:rPr>
          <w:rFonts w:cs="Arial"/>
        </w:rPr>
        <w:t>2 – central support services)</w:t>
      </w:r>
    </w:p>
    <w:p w14:paraId="06CB183F" w14:textId="1D845CD1" w:rsidR="00553E9B" w:rsidRPr="0062034A" w:rsidRDefault="00553E9B" w:rsidP="00553E9B">
      <w:pPr>
        <w:rPr>
          <w:rFonts w:cs="Arial"/>
        </w:rPr>
      </w:pPr>
      <w:r w:rsidRPr="0062034A">
        <w:rPr>
          <w:rFonts w:cs="Arial"/>
        </w:rPr>
        <w:t xml:space="preserve">The consultation document stated that </w:t>
      </w:r>
      <w:r w:rsidR="00D62879">
        <w:rPr>
          <w:rFonts w:cs="Arial"/>
        </w:rPr>
        <w:t xml:space="preserve">we believe the </w:t>
      </w:r>
      <w:r w:rsidRPr="0062034A">
        <w:rPr>
          <w:rFonts w:cs="Arial"/>
        </w:rPr>
        <w:t>role for local authorities in providing central support services</w:t>
      </w:r>
      <w:r w:rsidR="00D62879">
        <w:rPr>
          <w:rFonts w:cs="Arial"/>
        </w:rPr>
        <w:t xml:space="preserve"> is limited</w:t>
      </w:r>
      <w:r w:rsidRPr="0062034A">
        <w:rPr>
          <w:rFonts w:cs="Arial"/>
        </w:rPr>
        <w:t xml:space="preserve"> and that local authorities could commission services on behalf of schools or charge where appropriate.</w:t>
      </w:r>
      <w:r w:rsidR="00B14771">
        <w:rPr>
          <w:rFonts w:cs="Arial"/>
        </w:rPr>
        <w:t xml:space="preserve"> </w:t>
      </w:r>
      <w:r w:rsidRPr="0062034A">
        <w:rPr>
          <w:rFonts w:cs="Arial"/>
        </w:rPr>
        <w:t>This section of the consultation attracted the vast majority of responses because we said that our expectation was that music services should now be funded through music education hubs (which can cover one or more local authority areas) and from school budgets, not from the ESG.</w:t>
      </w:r>
    </w:p>
    <w:p w14:paraId="386DED72" w14:textId="7426B1FC" w:rsidR="00553E9B" w:rsidRPr="0062034A" w:rsidRDefault="00553E9B" w:rsidP="00553E9B">
      <w:pPr>
        <w:rPr>
          <w:rFonts w:cs="Arial"/>
        </w:rPr>
      </w:pPr>
      <w:r w:rsidRPr="0062034A">
        <w:rPr>
          <w:rFonts w:cs="Arial"/>
        </w:rPr>
        <w:t xml:space="preserve">Respondents expressed concerns about local authorities reducing spend on music and the impact this would have on disadvantaged families and on local culture. Almost everyone reported that they would like to see further clarification or guidance from </w:t>
      </w:r>
      <w:r w:rsidR="00C42B0A">
        <w:rPr>
          <w:rFonts w:cs="Arial"/>
        </w:rPr>
        <w:t>t</w:t>
      </w:r>
      <w:r w:rsidR="00026BA3">
        <w:rPr>
          <w:rFonts w:cs="Arial"/>
        </w:rPr>
        <w:t xml:space="preserve">he department </w:t>
      </w:r>
      <w:r w:rsidRPr="0062034A">
        <w:rPr>
          <w:rFonts w:cs="Arial"/>
        </w:rPr>
        <w:t>on the expectations relating to this function. A number of local authority respondents reported that because there were no specific obligations for them to provide central support services, they were not incurring any expenditure, either because they have no activity or because they are charging for services.</w:t>
      </w:r>
      <w:r w:rsidR="00B14771">
        <w:rPr>
          <w:rFonts w:cs="Arial"/>
        </w:rPr>
        <w:t xml:space="preserve"> </w:t>
      </w:r>
      <w:r w:rsidRPr="0062034A">
        <w:rPr>
          <w:rFonts w:cs="Arial"/>
        </w:rPr>
        <w:t>The median spend on this line is £6 per pupil, but more than 30</w:t>
      </w:r>
      <w:r w:rsidRPr="0062034A">
        <w:rPr>
          <w:rFonts w:cs="Arial"/>
          <w:b/>
        </w:rPr>
        <w:t xml:space="preserve"> </w:t>
      </w:r>
      <w:r w:rsidRPr="0062034A">
        <w:rPr>
          <w:rFonts w:cs="Arial"/>
        </w:rPr>
        <w:t xml:space="preserve">authorities planned to spend £0, and some authorities made clear they had not incurred spend on these services for some years. </w:t>
      </w:r>
    </w:p>
    <w:p w14:paraId="437B7A48" w14:textId="1EEE9B03" w:rsidR="00113AFB" w:rsidRDefault="00553E9B" w:rsidP="00553E9B">
      <w:pPr>
        <w:rPr>
          <w:rFonts w:cs="Arial"/>
        </w:rPr>
      </w:pPr>
      <w:r w:rsidRPr="0062034A">
        <w:rPr>
          <w:rFonts w:cs="Arial"/>
        </w:rPr>
        <w:t xml:space="preserve">Because of the strong interest and concern around music services (with few concerns expressed about any other aspect of central services), we have </w:t>
      </w:r>
      <w:r w:rsidR="00E93FBE">
        <w:rPr>
          <w:rFonts w:cs="Arial"/>
        </w:rPr>
        <w:t>addressed</w:t>
      </w:r>
      <w:r w:rsidRPr="0062034A">
        <w:rPr>
          <w:rFonts w:cs="Arial"/>
        </w:rPr>
        <w:t xml:space="preserve"> the question of music services and music hubs </w:t>
      </w:r>
      <w:r w:rsidR="00E93FBE">
        <w:rPr>
          <w:rFonts w:cs="Arial"/>
        </w:rPr>
        <w:t>separately</w:t>
      </w:r>
      <w:r w:rsidRPr="0062034A">
        <w:rPr>
          <w:rFonts w:cs="Arial"/>
        </w:rPr>
        <w:t xml:space="preserve"> in Chapter </w:t>
      </w:r>
      <w:r w:rsidR="00C86FF7">
        <w:rPr>
          <w:rFonts w:cs="Arial"/>
        </w:rPr>
        <w:t>5</w:t>
      </w:r>
      <w:r w:rsidR="00E93FBE">
        <w:rPr>
          <w:rFonts w:cs="Arial"/>
        </w:rPr>
        <w:t>. Here</w:t>
      </w:r>
      <w:r w:rsidRPr="0062034A">
        <w:rPr>
          <w:rFonts w:cs="Arial"/>
        </w:rPr>
        <w:t xml:space="preserve"> we set out our position on the funding of music education and the additional £18 million announced </w:t>
      </w:r>
      <w:r w:rsidR="00E93FBE">
        <w:rPr>
          <w:rFonts w:cs="Arial"/>
        </w:rPr>
        <w:t>in parallel.</w:t>
      </w:r>
      <w:r w:rsidRPr="0062034A">
        <w:rPr>
          <w:rFonts w:cs="Arial"/>
        </w:rPr>
        <w:t xml:space="preserve"> </w:t>
      </w:r>
    </w:p>
    <w:p w14:paraId="5372D759" w14:textId="77777777" w:rsidR="00C42B0A" w:rsidRDefault="00C42B0A">
      <w:pPr>
        <w:spacing w:after="0" w:line="240" w:lineRule="auto"/>
        <w:rPr>
          <w:b/>
          <w:color w:val="104F75"/>
          <w:sz w:val="32"/>
          <w:szCs w:val="32"/>
        </w:rPr>
      </w:pPr>
      <w:bookmarkStart w:id="14" w:name="_Toc393781903"/>
      <w:r>
        <w:br w:type="page"/>
      </w:r>
    </w:p>
    <w:p w14:paraId="1DE7BA8A" w14:textId="0B86F507" w:rsidR="008E2678" w:rsidRPr="000775D9" w:rsidRDefault="009A3901" w:rsidP="0028077E">
      <w:pPr>
        <w:pStyle w:val="Heading2"/>
      </w:pPr>
      <w:r>
        <w:t>Asset m</w:t>
      </w:r>
      <w:r w:rsidR="00553E9B" w:rsidRPr="000775D9">
        <w:t>anagement</w:t>
      </w:r>
      <w:bookmarkEnd w:id="14"/>
    </w:p>
    <w:p w14:paraId="6C3B0FF8" w14:textId="6C261246" w:rsidR="00553E9B" w:rsidRPr="0062034A" w:rsidRDefault="00553E9B" w:rsidP="008E2678">
      <w:r w:rsidRPr="0062034A">
        <w:t>The range of planned spend in 2013-14 on asset management for maintained scho</w:t>
      </w:r>
      <w:r w:rsidR="00B14771">
        <w:t>ols is illustrated in Chart 5</w:t>
      </w:r>
      <w:r w:rsidRPr="0062034A">
        <w:t xml:space="preserve"> below. We have adjusted planned spend by removing the funding for retained duties</w:t>
      </w:r>
      <w:r w:rsidRPr="0062034A">
        <w:rPr>
          <w:vertAlign w:val="superscript"/>
        </w:rPr>
        <w:t>5</w:t>
      </w:r>
      <w:r w:rsidRPr="0062034A">
        <w:t xml:space="preserve">. </w:t>
      </w:r>
    </w:p>
    <w:p w14:paraId="30E089F7" w14:textId="5F0164E1" w:rsidR="00553E9B" w:rsidRPr="0062034A" w:rsidRDefault="00D90862" w:rsidP="00553E9B">
      <w:pPr>
        <w:rPr>
          <w:rFonts w:cs="Arial"/>
        </w:rPr>
      </w:pPr>
      <w:r w:rsidRPr="009D4D5A">
        <w:rPr>
          <w:rFonts w:cs="Arial"/>
          <w:noProof/>
        </w:rPr>
        <w:drawing>
          <wp:inline distT="0" distB="0" distL="0" distR="0" wp14:anchorId="465338E2" wp14:editId="2542F5CE">
            <wp:extent cx="5079600" cy="3240000"/>
            <wp:effectExtent l="0" t="0" r="6985" b="0"/>
            <wp:docPr id="107" name="Picture 107" descr="This chart shows the distribution of different local authority spend (per pupil) on asset management." title="Distribution of local authority per pupil spend on maintained school pupils and the median (ESG budget line 2.0.5 – asset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79600" cy="3240000"/>
                    </a:xfrm>
                    <a:prstGeom prst="rect">
                      <a:avLst/>
                    </a:prstGeom>
                    <a:noFill/>
                  </pic:spPr>
                </pic:pic>
              </a:graphicData>
            </a:graphic>
          </wp:inline>
        </w:drawing>
      </w:r>
    </w:p>
    <w:p w14:paraId="6CBB8710" w14:textId="76F1D336" w:rsidR="009E4107" w:rsidRPr="00BD4CB1" w:rsidRDefault="009E4107" w:rsidP="009E4107">
      <w:pPr>
        <w:pStyle w:val="Caption"/>
        <w:rPr>
          <w:rFonts w:cs="Arial"/>
        </w:rPr>
      </w:pPr>
      <w:r>
        <w:rPr>
          <w:rFonts w:cs="Arial"/>
        </w:rPr>
        <w:t>Chart 5</w:t>
      </w:r>
      <w:r w:rsidRPr="0062034A">
        <w:rPr>
          <w:rFonts w:cs="Arial"/>
        </w:rPr>
        <w:t xml:space="preserve"> – </w:t>
      </w:r>
      <w:r>
        <w:rPr>
          <w:rFonts w:cs="Arial"/>
        </w:rPr>
        <w:t>Distribution of local authority per pupil spend on maintained school pupils and the median (</w:t>
      </w:r>
      <w:r w:rsidRPr="00BD4CB1">
        <w:rPr>
          <w:rFonts w:cs="Arial"/>
        </w:rPr>
        <w:t>ESG budget line 2.0.</w:t>
      </w:r>
      <w:r w:rsidR="00B14771">
        <w:rPr>
          <w:rFonts w:cs="Arial"/>
        </w:rPr>
        <w:t>5</w:t>
      </w:r>
      <w:r>
        <w:rPr>
          <w:rFonts w:cs="Arial"/>
        </w:rPr>
        <w:t xml:space="preserve"> –</w:t>
      </w:r>
      <w:r w:rsidR="00B14771">
        <w:rPr>
          <w:rFonts w:cs="Arial"/>
        </w:rPr>
        <w:t xml:space="preserve"> asset management</w:t>
      </w:r>
      <w:r>
        <w:rPr>
          <w:rFonts w:cs="Arial"/>
        </w:rPr>
        <w:t>)</w:t>
      </w:r>
    </w:p>
    <w:p w14:paraId="31199FB9" w14:textId="0931AFFF" w:rsidR="00553E9B" w:rsidRPr="0062034A" w:rsidRDefault="00C86FF7" w:rsidP="00553E9B">
      <w:pPr>
        <w:rPr>
          <w:rFonts w:cs="Arial"/>
        </w:rPr>
      </w:pPr>
      <w:r>
        <w:rPr>
          <w:rFonts w:cs="Arial"/>
        </w:rPr>
        <w:br/>
      </w:r>
      <w:r w:rsidR="00553E9B" w:rsidRPr="0062034A">
        <w:rPr>
          <w:rFonts w:cs="Arial"/>
        </w:rPr>
        <w:t>Consultation respondents highlighted a number of services that were classified as asset management. These related to capital pro</w:t>
      </w:r>
      <w:r w:rsidR="009A3901">
        <w:rPr>
          <w:rFonts w:cs="Arial"/>
        </w:rPr>
        <w:t>gramme planning, management of p</w:t>
      </w:r>
      <w:r w:rsidR="00553E9B" w:rsidRPr="0062034A">
        <w:rPr>
          <w:rFonts w:cs="Arial"/>
        </w:rPr>
        <w:t xml:space="preserve">rivate </w:t>
      </w:r>
      <w:r w:rsidR="009A3901">
        <w:rPr>
          <w:rFonts w:cs="Arial"/>
        </w:rPr>
        <w:t>f</w:t>
      </w:r>
      <w:r w:rsidR="00553E9B" w:rsidRPr="0062034A">
        <w:rPr>
          <w:rFonts w:cs="Arial"/>
        </w:rPr>
        <w:t xml:space="preserve">inance </w:t>
      </w:r>
      <w:r w:rsidR="009A3901">
        <w:rPr>
          <w:rFonts w:cs="Arial"/>
        </w:rPr>
        <w:t>i</w:t>
      </w:r>
      <w:r w:rsidR="00553E9B" w:rsidRPr="0062034A">
        <w:rPr>
          <w:rFonts w:cs="Arial"/>
        </w:rPr>
        <w:t>nitiatives and administration of academy leases.</w:t>
      </w:r>
      <w:r w:rsidR="00B14771">
        <w:rPr>
          <w:rFonts w:cs="Arial"/>
        </w:rPr>
        <w:t xml:space="preserve"> </w:t>
      </w:r>
      <w:r w:rsidR="00553E9B" w:rsidRPr="0062034A">
        <w:rPr>
          <w:rFonts w:cs="Arial"/>
        </w:rPr>
        <w:t>Few respondents reported scope for savings given the statutory nature of the function. As a result, we have not yet found a satisfactory explanation for the wide range of reported spend. Many</w:t>
      </w:r>
      <w:r w:rsidR="00D62879">
        <w:rPr>
          <w:rFonts w:cs="Arial"/>
        </w:rPr>
        <w:t xml:space="preserve"> local</w:t>
      </w:r>
      <w:r w:rsidR="00553E9B" w:rsidRPr="0062034A">
        <w:rPr>
          <w:rFonts w:cs="Arial"/>
        </w:rPr>
        <w:t xml:space="preserve"> authorities are already joining up asset management functions across services to realise savings; where </w:t>
      </w:r>
      <w:r w:rsidR="00D62879">
        <w:rPr>
          <w:rFonts w:cs="Arial"/>
        </w:rPr>
        <w:t xml:space="preserve">local </w:t>
      </w:r>
      <w:r w:rsidR="00553E9B" w:rsidRPr="0062034A">
        <w:rPr>
          <w:rFonts w:cs="Arial"/>
        </w:rPr>
        <w:t>authorities are not, they could perhaps consider doing so. We will consider further whether there is merit in providing new, clearer, information on the roles and responsibilities for school asset management for local authorities and other bodies within the system.</w:t>
      </w:r>
    </w:p>
    <w:p w14:paraId="524642CF" w14:textId="36A85E66" w:rsidR="000775D9" w:rsidRDefault="00553E9B" w:rsidP="00553E9B">
      <w:pPr>
        <w:rPr>
          <w:rFonts w:cs="Arial"/>
        </w:rPr>
      </w:pPr>
      <w:r w:rsidRPr="0062034A">
        <w:rPr>
          <w:rFonts w:cs="Arial"/>
        </w:rPr>
        <w:t>Again, a key consideration of this function is that local authorities retain some duties for both academies and maintained schools. As we have discussed in the section above, we have decided to maintain the retained</w:t>
      </w:r>
      <w:r w:rsidR="00B14771">
        <w:rPr>
          <w:rFonts w:cs="Arial"/>
        </w:rPr>
        <w:t xml:space="preserve"> </w:t>
      </w:r>
      <w:r w:rsidRPr="0062034A">
        <w:rPr>
          <w:rFonts w:cs="Arial"/>
        </w:rPr>
        <w:t>duties rate at £15 per pupil.</w:t>
      </w:r>
    </w:p>
    <w:p w14:paraId="3F1151A0" w14:textId="1C2A9634" w:rsidR="00113AFB" w:rsidRDefault="00553E9B" w:rsidP="00553E9B">
      <w:pPr>
        <w:rPr>
          <w:rFonts w:cs="Arial"/>
        </w:rPr>
      </w:pPr>
      <w:r w:rsidRPr="0062034A">
        <w:rPr>
          <w:rFonts w:cs="Arial"/>
        </w:rPr>
        <w:t>On the basis of the current wide range of reported spend, we are confident that some local authorities currently spending well above the median should be able to reduce their spending towards – or below – the median.</w:t>
      </w:r>
    </w:p>
    <w:p w14:paraId="74762B02" w14:textId="77777777" w:rsidR="00D77BC2" w:rsidRPr="000775D9" w:rsidRDefault="00553E9B" w:rsidP="0028077E">
      <w:pPr>
        <w:pStyle w:val="Heading2"/>
      </w:pPr>
      <w:bookmarkStart w:id="15" w:name="_Toc393781904"/>
      <w:r w:rsidRPr="000775D9">
        <w:t>Premature retirement and redundancy costs</w:t>
      </w:r>
      <w:bookmarkEnd w:id="15"/>
    </w:p>
    <w:p w14:paraId="167543AA" w14:textId="720453D4" w:rsidR="00553E9B" w:rsidRPr="0062034A" w:rsidRDefault="00553E9B" w:rsidP="00553E9B">
      <w:pPr>
        <w:rPr>
          <w:rFonts w:cs="Arial"/>
        </w:rPr>
      </w:pPr>
      <w:r w:rsidRPr="0062034A">
        <w:rPr>
          <w:rFonts w:cs="Arial"/>
        </w:rPr>
        <w:t xml:space="preserve">The range of planned spend in 2013-14 on premature retirement and redundancy costs is illustrated in </w:t>
      </w:r>
      <w:r w:rsidR="00B14771">
        <w:rPr>
          <w:rFonts w:cs="Arial"/>
        </w:rPr>
        <w:t>C</w:t>
      </w:r>
      <w:r w:rsidRPr="0062034A">
        <w:rPr>
          <w:rFonts w:cs="Arial"/>
        </w:rPr>
        <w:t xml:space="preserve">hart </w:t>
      </w:r>
      <w:r w:rsidR="00B14771">
        <w:rPr>
          <w:rFonts w:cs="Arial"/>
        </w:rPr>
        <w:t xml:space="preserve">6 </w:t>
      </w:r>
      <w:r w:rsidRPr="0062034A">
        <w:rPr>
          <w:rFonts w:cs="Arial"/>
        </w:rPr>
        <w:t xml:space="preserve">below. It shows the majority </w:t>
      </w:r>
      <w:r w:rsidR="00D62879">
        <w:rPr>
          <w:rFonts w:cs="Arial"/>
        </w:rPr>
        <w:t xml:space="preserve">of local authorities </w:t>
      </w:r>
      <w:r w:rsidRPr="0062034A">
        <w:rPr>
          <w:rFonts w:cs="Arial"/>
        </w:rPr>
        <w:t>plann</w:t>
      </w:r>
      <w:r w:rsidR="00463B5B">
        <w:rPr>
          <w:rFonts w:cs="Arial"/>
        </w:rPr>
        <w:t>ed</w:t>
      </w:r>
      <w:r w:rsidRPr="0062034A">
        <w:rPr>
          <w:rFonts w:cs="Arial"/>
        </w:rPr>
        <w:t xml:space="preserve"> no spend in this area.</w:t>
      </w:r>
    </w:p>
    <w:p w14:paraId="2BB190C0" w14:textId="228484A7" w:rsidR="00553E9B" w:rsidRPr="0062034A" w:rsidRDefault="00D90862" w:rsidP="00553E9B">
      <w:pPr>
        <w:rPr>
          <w:rFonts w:cs="Arial"/>
        </w:rPr>
      </w:pPr>
      <w:r w:rsidRPr="009D4D5A">
        <w:rPr>
          <w:rFonts w:cs="Arial"/>
          <w:noProof/>
        </w:rPr>
        <w:drawing>
          <wp:inline distT="0" distB="0" distL="0" distR="0" wp14:anchorId="7408E362" wp14:editId="431FF51B">
            <wp:extent cx="5079600" cy="3240000"/>
            <wp:effectExtent l="0" t="0" r="6985" b="0"/>
            <wp:docPr id="108" name="Picture 108" descr="This chart shows the distribution of different local authority spend (per pupil) on premature retirement costs and redundancy costs (new provisions)." title="Distribution of local authority per pupil spend on maintained school pupils and the median (ESG budget line 2.0.7 – premature retirement costs / redundancy costs (new provi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79600" cy="3240000"/>
                    </a:xfrm>
                    <a:prstGeom prst="rect">
                      <a:avLst/>
                    </a:prstGeom>
                    <a:noFill/>
                  </pic:spPr>
                </pic:pic>
              </a:graphicData>
            </a:graphic>
          </wp:inline>
        </w:drawing>
      </w:r>
    </w:p>
    <w:p w14:paraId="68FCFD0A" w14:textId="580A78C3" w:rsidR="00B14771" w:rsidRPr="00BD4CB1" w:rsidRDefault="00B14771" w:rsidP="00B14771">
      <w:pPr>
        <w:pStyle w:val="Caption"/>
        <w:rPr>
          <w:rFonts w:cs="Arial"/>
        </w:rPr>
      </w:pPr>
      <w:r>
        <w:rPr>
          <w:rFonts w:cs="Arial"/>
        </w:rPr>
        <w:t>Chart 6</w:t>
      </w:r>
      <w:r w:rsidRPr="0062034A">
        <w:rPr>
          <w:rFonts w:cs="Arial"/>
        </w:rPr>
        <w:t xml:space="preserve"> – </w:t>
      </w:r>
      <w:r>
        <w:rPr>
          <w:rFonts w:cs="Arial"/>
        </w:rPr>
        <w:t>Distribution of local authority per pupil spend on maintained school pupils and the median (</w:t>
      </w:r>
      <w:r w:rsidRPr="00BD4CB1">
        <w:rPr>
          <w:rFonts w:cs="Arial"/>
        </w:rPr>
        <w:t>ESG budget line 2.0.</w:t>
      </w:r>
      <w:r>
        <w:rPr>
          <w:rFonts w:cs="Arial"/>
        </w:rPr>
        <w:t>7 – premature retirement costs / redundancy costs (new provisions))</w:t>
      </w:r>
    </w:p>
    <w:p w14:paraId="7788BFB9" w14:textId="50E1CEF6" w:rsidR="00553E9B" w:rsidRPr="0062034A" w:rsidRDefault="00553E9B" w:rsidP="00553E9B">
      <w:pPr>
        <w:rPr>
          <w:rFonts w:cs="Arial"/>
        </w:rPr>
      </w:pPr>
      <w:r w:rsidRPr="0062034A">
        <w:rPr>
          <w:rFonts w:cs="Arial"/>
        </w:rPr>
        <w:t>The statutory framework requires schoo</w:t>
      </w:r>
      <w:r w:rsidR="00E93FBE">
        <w:rPr>
          <w:rFonts w:cs="Arial"/>
        </w:rPr>
        <w:t xml:space="preserve">ls to pay for early retirement </w:t>
      </w:r>
      <w:r w:rsidRPr="0062034A">
        <w:rPr>
          <w:rFonts w:cs="Arial"/>
        </w:rPr>
        <w:t>and for local authorities to fund redundancy costs in maintained schools by default unless there are good reasons not to.</w:t>
      </w:r>
      <w:r w:rsidR="00B14771">
        <w:rPr>
          <w:rFonts w:cs="Arial"/>
        </w:rPr>
        <w:t xml:space="preserve"> </w:t>
      </w:r>
      <w:r w:rsidRPr="0062034A">
        <w:rPr>
          <w:rFonts w:cs="Arial"/>
        </w:rPr>
        <w:t>It is clear from consultation responses and fieldwork that local authorities are not covering the costs of early retirement, but practice varies on redundancy costs. Some local authorities have a local agreement that schools will meet the costs; others choose to bear all the costs themselves. The main barriers to passing costs to schools were cited as schools in financial difficulty and those facing falling rolls where it was not deemed appropriate for the school to pick up the cost.</w:t>
      </w:r>
      <w:r w:rsidR="00B14771">
        <w:rPr>
          <w:rFonts w:cs="Arial"/>
        </w:rPr>
        <w:t xml:space="preserve"> </w:t>
      </w:r>
      <w:r w:rsidRPr="0062034A">
        <w:rPr>
          <w:rFonts w:cs="Arial"/>
        </w:rPr>
        <w:t xml:space="preserve">The median planned spend on this line was £0 </w:t>
      </w:r>
      <w:r w:rsidR="00D62879">
        <w:rPr>
          <w:rFonts w:cs="Arial"/>
        </w:rPr>
        <w:t>and</w:t>
      </w:r>
      <w:r w:rsidRPr="0062034A">
        <w:rPr>
          <w:rFonts w:cs="Arial"/>
        </w:rPr>
        <w:t xml:space="preserve"> 78 local authorities </w:t>
      </w:r>
      <w:r w:rsidR="00D62879">
        <w:rPr>
          <w:rFonts w:cs="Arial"/>
        </w:rPr>
        <w:t xml:space="preserve">did not plan </w:t>
      </w:r>
      <w:r w:rsidRPr="0062034A">
        <w:rPr>
          <w:rFonts w:cs="Arial"/>
        </w:rPr>
        <w:t>to spend anything on premature retirement or redundancies in 2013-14.</w:t>
      </w:r>
    </w:p>
    <w:p w14:paraId="301534F2" w14:textId="01CD9A79" w:rsidR="00714962" w:rsidRDefault="00D77BC2" w:rsidP="003D0146">
      <w:r w:rsidRPr="0062034A">
        <w:rPr>
          <w:rFonts w:cs="Arial"/>
        </w:rPr>
        <w:t>We think that</w:t>
      </w:r>
      <w:r w:rsidR="00553E9B" w:rsidRPr="0062034A">
        <w:rPr>
          <w:rFonts w:cs="Arial"/>
        </w:rPr>
        <w:t xml:space="preserve"> this is an area of spend where the current observed median planned spend of £0 may be difficult to achieve in some local authorities.</w:t>
      </w:r>
      <w:r w:rsidR="00B14771">
        <w:rPr>
          <w:rFonts w:cs="Arial"/>
        </w:rPr>
        <w:t xml:space="preserve"> </w:t>
      </w:r>
      <w:r w:rsidR="00553E9B" w:rsidRPr="0062034A">
        <w:rPr>
          <w:rFonts w:cs="Arial"/>
        </w:rPr>
        <w:t>This might be, for example, because they have schools in circumstances such that that they cannot afford to pay redundancy costs.</w:t>
      </w:r>
      <w:bookmarkStart w:id="16" w:name="_Toc393781905"/>
      <w:r w:rsidR="00714962">
        <w:br w:type="page"/>
      </w:r>
    </w:p>
    <w:p w14:paraId="651B13ED" w14:textId="4E64B350" w:rsidR="00FC26A5" w:rsidRPr="000775D9" w:rsidRDefault="00553E9B" w:rsidP="0028077E">
      <w:pPr>
        <w:pStyle w:val="Heading2"/>
      </w:pPr>
      <w:r w:rsidRPr="000775D9">
        <w:t>Therapies and other health-related services</w:t>
      </w:r>
      <w:bookmarkEnd w:id="16"/>
    </w:p>
    <w:p w14:paraId="679575CA" w14:textId="666C0813" w:rsidR="00553E9B" w:rsidRPr="0062034A" w:rsidRDefault="00553E9B" w:rsidP="00553E9B">
      <w:pPr>
        <w:rPr>
          <w:rFonts w:cs="Arial"/>
          <w:b/>
        </w:rPr>
      </w:pPr>
      <w:r w:rsidRPr="0062034A">
        <w:rPr>
          <w:rFonts w:cs="Arial"/>
        </w:rPr>
        <w:t xml:space="preserve">The range of planned spend in 2013-14 on therapies and other health-related services is illustrated in </w:t>
      </w:r>
      <w:r w:rsidR="00B14771">
        <w:rPr>
          <w:rFonts w:cs="Arial"/>
        </w:rPr>
        <w:t>C</w:t>
      </w:r>
      <w:r w:rsidRPr="0062034A">
        <w:rPr>
          <w:rFonts w:cs="Arial"/>
        </w:rPr>
        <w:t xml:space="preserve">hart </w:t>
      </w:r>
      <w:r w:rsidR="00B14771">
        <w:rPr>
          <w:rFonts w:cs="Arial"/>
        </w:rPr>
        <w:t xml:space="preserve">7 </w:t>
      </w:r>
      <w:r w:rsidRPr="0062034A">
        <w:rPr>
          <w:rFonts w:cs="Arial"/>
        </w:rPr>
        <w:t>below. Again it shows the majority plann</w:t>
      </w:r>
      <w:r w:rsidR="00583772">
        <w:rPr>
          <w:rFonts w:cs="Arial"/>
        </w:rPr>
        <w:t>ed</w:t>
      </w:r>
      <w:r w:rsidRPr="0062034A">
        <w:rPr>
          <w:rFonts w:cs="Arial"/>
        </w:rPr>
        <w:t xml:space="preserve"> no spend in this area.</w:t>
      </w:r>
    </w:p>
    <w:p w14:paraId="58584DC4" w14:textId="23B2C324" w:rsidR="00553E9B" w:rsidRPr="0062034A" w:rsidRDefault="00D90862" w:rsidP="00FC26A5">
      <w:pPr>
        <w:pStyle w:val="ListParagraph"/>
        <w:numPr>
          <w:ilvl w:val="0"/>
          <w:numId w:val="0"/>
        </w:numPr>
        <w:jc w:val="center"/>
        <w:rPr>
          <w:rFonts w:cs="Arial"/>
        </w:rPr>
      </w:pPr>
      <w:r w:rsidRPr="009D4D5A">
        <w:rPr>
          <w:rFonts w:cs="Arial"/>
          <w:noProof/>
        </w:rPr>
        <w:drawing>
          <wp:inline distT="0" distB="0" distL="0" distR="0" wp14:anchorId="1C43A4CA" wp14:editId="04DB289D">
            <wp:extent cx="4953600" cy="3240000"/>
            <wp:effectExtent l="0" t="0" r="0" b="0"/>
            <wp:docPr id="109" name="Picture 109" descr="This chart shows the distribution of different local authority spend (per pupil) on therapies and other health-related services." title="Distribution of local authority per pupil spend on maintained school pupils and the median (ESG budget line 2.0.1 – therapies and other health-related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53600" cy="3240000"/>
                    </a:xfrm>
                    <a:prstGeom prst="rect">
                      <a:avLst/>
                    </a:prstGeom>
                    <a:noFill/>
                  </pic:spPr>
                </pic:pic>
              </a:graphicData>
            </a:graphic>
          </wp:inline>
        </w:drawing>
      </w:r>
    </w:p>
    <w:p w14:paraId="5A4640DE" w14:textId="4393A563" w:rsidR="00B14771" w:rsidRPr="00BD4CB1" w:rsidRDefault="00B14771" w:rsidP="00B14771">
      <w:pPr>
        <w:pStyle w:val="Caption"/>
        <w:rPr>
          <w:rFonts w:cs="Arial"/>
        </w:rPr>
      </w:pPr>
      <w:r>
        <w:rPr>
          <w:rFonts w:cs="Arial"/>
        </w:rPr>
        <w:t>Chart 7</w:t>
      </w:r>
      <w:r w:rsidRPr="0062034A">
        <w:rPr>
          <w:rFonts w:cs="Arial"/>
        </w:rPr>
        <w:t xml:space="preserve"> – </w:t>
      </w:r>
      <w:r>
        <w:rPr>
          <w:rFonts w:cs="Arial"/>
        </w:rPr>
        <w:t>Distribution of local authority per pupil spend on maintained school pupils and the median (</w:t>
      </w:r>
      <w:r w:rsidRPr="00BD4CB1">
        <w:rPr>
          <w:rFonts w:cs="Arial"/>
        </w:rPr>
        <w:t>ESG budget line 2.0.</w:t>
      </w:r>
      <w:r>
        <w:rPr>
          <w:rFonts w:cs="Arial"/>
        </w:rPr>
        <w:t>1 – therapies and other health-related services)</w:t>
      </w:r>
    </w:p>
    <w:p w14:paraId="3E2E2B7F" w14:textId="7D005034" w:rsidR="00553E9B" w:rsidRPr="0062034A" w:rsidRDefault="00553E9B" w:rsidP="00FC26A5">
      <w:pPr>
        <w:pStyle w:val="ListParagraph"/>
        <w:numPr>
          <w:ilvl w:val="0"/>
          <w:numId w:val="0"/>
        </w:numPr>
        <w:rPr>
          <w:rFonts w:cs="Arial"/>
        </w:rPr>
      </w:pPr>
      <w:r w:rsidRPr="0062034A">
        <w:rPr>
          <w:rFonts w:cs="Arial"/>
        </w:rPr>
        <w:t>A number of respondents queried why therapies</w:t>
      </w:r>
      <w:r w:rsidR="009A3901">
        <w:rPr>
          <w:rFonts w:cs="Arial"/>
        </w:rPr>
        <w:t xml:space="preserve"> was</w:t>
      </w:r>
      <w:r w:rsidRPr="0062034A">
        <w:rPr>
          <w:rFonts w:cs="Arial"/>
        </w:rPr>
        <w:t xml:space="preserve"> listed as an ESG related function (or included in LACSEG) when it tended to be a service for pupils with high needs. Most local authority respondents said they use their high needs block funding to pay for these services, although some said that if their DSG was too low they would need to supplement it from ESG. The median planned spend on this line was £0 and 96 local authorities did not plan to spend anything on therapies and other heal</w:t>
      </w:r>
      <w:r w:rsidR="00FC26A5" w:rsidRPr="0062034A">
        <w:rPr>
          <w:rFonts w:cs="Arial"/>
        </w:rPr>
        <w:t>th-related services in 2013-14.</w:t>
      </w:r>
    </w:p>
    <w:p w14:paraId="0C4786D3" w14:textId="1BF4F088" w:rsidR="00113AFB" w:rsidRDefault="00553E9B" w:rsidP="00FC26A5">
      <w:pPr>
        <w:pStyle w:val="ListParagraph"/>
        <w:numPr>
          <w:ilvl w:val="0"/>
          <w:numId w:val="0"/>
        </w:numPr>
        <w:rPr>
          <w:rFonts w:cs="Arial"/>
        </w:rPr>
      </w:pPr>
      <w:r w:rsidRPr="0062034A">
        <w:rPr>
          <w:rFonts w:cs="Arial"/>
        </w:rPr>
        <w:t>Given variable high needs arrangements across the country we recognise some local authorities might find it more difficult to make savings in this area than others and that the current observed median planned spend of £0 may not be achievable for some.</w:t>
      </w:r>
    </w:p>
    <w:p w14:paraId="1ACED02B" w14:textId="77777777" w:rsidR="00113AFB" w:rsidRDefault="00113AFB">
      <w:pPr>
        <w:spacing w:after="0" w:line="240" w:lineRule="auto"/>
        <w:rPr>
          <w:rFonts w:cs="Arial"/>
        </w:rPr>
      </w:pPr>
      <w:r>
        <w:rPr>
          <w:rFonts w:cs="Arial"/>
        </w:rPr>
        <w:br w:type="page"/>
      </w:r>
    </w:p>
    <w:p w14:paraId="77A4804C" w14:textId="39AC0280" w:rsidR="00553E9B" w:rsidRPr="000775D9" w:rsidRDefault="00553E9B" w:rsidP="0028077E">
      <w:pPr>
        <w:pStyle w:val="Heading2"/>
      </w:pPr>
      <w:bookmarkStart w:id="17" w:name="_Toc393781906"/>
      <w:r w:rsidRPr="000775D9">
        <w:t>Monitoring national curriculum assessment</w:t>
      </w:r>
      <w:bookmarkEnd w:id="17"/>
    </w:p>
    <w:p w14:paraId="715A5739" w14:textId="3CD5B2A6" w:rsidR="00553E9B" w:rsidRPr="0062034A" w:rsidRDefault="00553E9B" w:rsidP="00FC26A5">
      <w:pPr>
        <w:pStyle w:val="ListParagraph"/>
        <w:numPr>
          <w:ilvl w:val="0"/>
          <w:numId w:val="0"/>
        </w:numPr>
        <w:rPr>
          <w:rFonts w:cs="Arial"/>
        </w:rPr>
      </w:pPr>
      <w:r w:rsidRPr="0062034A">
        <w:rPr>
          <w:rFonts w:cs="Arial"/>
        </w:rPr>
        <w:t xml:space="preserve">The range of planned spend in 2013-14 on monitoring national curriculum assessment is illustrated in </w:t>
      </w:r>
      <w:r w:rsidR="00B14771">
        <w:rPr>
          <w:rFonts w:cs="Arial"/>
        </w:rPr>
        <w:t>C</w:t>
      </w:r>
      <w:r w:rsidRPr="0062034A">
        <w:rPr>
          <w:rFonts w:cs="Arial"/>
        </w:rPr>
        <w:t xml:space="preserve">hart </w:t>
      </w:r>
      <w:r w:rsidR="00B14771">
        <w:rPr>
          <w:rFonts w:cs="Arial"/>
        </w:rPr>
        <w:t xml:space="preserve">8 </w:t>
      </w:r>
      <w:r w:rsidRPr="0062034A">
        <w:rPr>
          <w:rFonts w:cs="Arial"/>
        </w:rPr>
        <w:t>below. Again it shows the majority plann</w:t>
      </w:r>
      <w:r w:rsidR="00583772">
        <w:rPr>
          <w:rFonts w:cs="Arial"/>
        </w:rPr>
        <w:t>ed</w:t>
      </w:r>
      <w:r w:rsidRPr="0062034A">
        <w:rPr>
          <w:rFonts w:cs="Arial"/>
        </w:rPr>
        <w:t xml:space="preserve"> no spend in this area. We think that this is probably explained by local authorities reporting spend in this area on a different </w:t>
      </w:r>
      <w:r w:rsidR="00086057">
        <w:rPr>
          <w:rFonts w:cs="Arial"/>
        </w:rPr>
        <w:t>s</w:t>
      </w:r>
      <w:r w:rsidRPr="0062034A">
        <w:rPr>
          <w:rFonts w:cs="Arial"/>
        </w:rPr>
        <w:t>ection 251 budget line (often cited as school improvement 2.0.4).</w:t>
      </w:r>
      <w:r w:rsidR="00B14771">
        <w:rPr>
          <w:rFonts w:cs="Arial"/>
        </w:rPr>
        <w:t xml:space="preserve"> </w:t>
      </w:r>
      <w:r w:rsidRPr="0062034A">
        <w:rPr>
          <w:rFonts w:cs="Arial"/>
        </w:rPr>
        <w:t>A number of local authorities highlighted this in their consultation responses.</w:t>
      </w:r>
    </w:p>
    <w:p w14:paraId="31D12CA7" w14:textId="0206EC03" w:rsidR="00553E9B" w:rsidRPr="0062034A" w:rsidRDefault="00D90862" w:rsidP="00FC26A5">
      <w:pPr>
        <w:pStyle w:val="ListParagraph"/>
        <w:numPr>
          <w:ilvl w:val="0"/>
          <w:numId w:val="0"/>
        </w:numPr>
        <w:rPr>
          <w:rFonts w:cs="Arial"/>
        </w:rPr>
      </w:pPr>
      <w:r w:rsidRPr="009D4D5A">
        <w:rPr>
          <w:rFonts w:cs="Arial"/>
          <w:noProof/>
        </w:rPr>
        <w:drawing>
          <wp:inline distT="0" distB="0" distL="0" distR="0" wp14:anchorId="26608F68" wp14:editId="686C7ECB">
            <wp:extent cx="5079600" cy="3240000"/>
            <wp:effectExtent l="0" t="0" r="6985" b="0"/>
            <wp:docPr id="110" name="Picture 110" descr="This chart shows the distribution of different local authority spend (per pupil) on national curriculum assessment." title="Distribution of local authority per pupil spend on maintained school pupils and the median (ESG budget line 2.0.8 – monitoring national curriculum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79600" cy="3240000"/>
                    </a:xfrm>
                    <a:prstGeom prst="rect">
                      <a:avLst/>
                    </a:prstGeom>
                    <a:noFill/>
                  </pic:spPr>
                </pic:pic>
              </a:graphicData>
            </a:graphic>
          </wp:inline>
        </w:drawing>
      </w:r>
    </w:p>
    <w:p w14:paraId="11898CE5" w14:textId="42932DDA" w:rsidR="00B14771" w:rsidRPr="00BD4CB1" w:rsidRDefault="00B14771" w:rsidP="00B14771">
      <w:pPr>
        <w:pStyle w:val="Caption"/>
        <w:rPr>
          <w:rFonts w:cs="Arial"/>
        </w:rPr>
      </w:pPr>
      <w:r>
        <w:rPr>
          <w:rFonts w:cs="Arial"/>
        </w:rPr>
        <w:t>Chart 8</w:t>
      </w:r>
      <w:r w:rsidRPr="0062034A">
        <w:rPr>
          <w:rFonts w:cs="Arial"/>
        </w:rPr>
        <w:t xml:space="preserve"> – </w:t>
      </w:r>
      <w:r>
        <w:rPr>
          <w:rFonts w:cs="Arial"/>
        </w:rPr>
        <w:t>Distribution of local authority per pupil spend on maintained school pupils and the median (</w:t>
      </w:r>
      <w:r w:rsidRPr="00BD4CB1">
        <w:rPr>
          <w:rFonts w:cs="Arial"/>
        </w:rPr>
        <w:t>ESG budget line 2.0.</w:t>
      </w:r>
      <w:r>
        <w:rPr>
          <w:rFonts w:cs="Arial"/>
        </w:rPr>
        <w:t>8 – monitoring national curriculum assessment)</w:t>
      </w:r>
    </w:p>
    <w:p w14:paraId="7BC8669A" w14:textId="0B14BA1F" w:rsidR="00553E9B" w:rsidRPr="0062034A" w:rsidRDefault="00553E9B" w:rsidP="00FC26A5">
      <w:pPr>
        <w:pStyle w:val="ListParagraph"/>
        <w:numPr>
          <w:ilvl w:val="0"/>
          <w:numId w:val="0"/>
        </w:numPr>
        <w:rPr>
          <w:rFonts w:cs="Arial"/>
        </w:rPr>
      </w:pPr>
      <w:r w:rsidRPr="0062034A">
        <w:rPr>
          <w:rFonts w:cs="Arial"/>
        </w:rPr>
        <w:t xml:space="preserve">Local authorities have a statutory duty to monitor the administration of national curriculum assessments in maintained schools and to moderate teacher assessments at key stage 1. </w:t>
      </w:r>
      <w:r w:rsidR="00FC26A5" w:rsidRPr="0062034A">
        <w:rPr>
          <w:rFonts w:cs="Arial"/>
        </w:rPr>
        <w:t>The department has provided c</w:t>
      </w:r>
      <w:r w:rsidRPr="0062034A">
        <w:rPr>
          <w:rFonts w:cs="Arial"/>
        </w:rPr>
        <w:t xml:space="preserve">lear guidance on </w:t>
      </w:r>
      <w:hyperlink r:id="rId25" w:history="1">
        <w:r w:rsidRPr="0062034A">
          <w:rPr>
            <w:rStyle w:val="Hyperlink"/>
            <w:rFonts w:cs="Arial"/>
          </w:rPr>
          <w:t>local authorities’ responsibilities for monitoring and moderation</w:t>
        </w:r>
      </w:hyperlink>
      <w:r w:rsidRPr="0062034A">
        <w:rPr>
          <w:rFonts w:cs="Arial"/>
        </w:rPr>
        <w:t xml:space="preserve"> </w:t>
      </w:r>
      <w:r w:rsidR="00FC26A5" w:rsidRPr="0062034A">
        <w:rPr>
          <w:rFonts w:cs="Arial"/>
        </w:rPr>
        <w:t>.</w:t>
      </w:r>
    </w:p>
    <w:p w14:paraId="107575D9" w14:textId="472580DF" w:rsidR="00553E9B" w:rsidRPr="0062034A" w:rsidRDefault="00553E9B" w:rsidP="00FC26A5">
      <w:pPr>
        <w:pStyle w:val="ListParagraph"/>
        <w:numPr>
          <w:ilvl w:val="0"/>
          <w:numId w:val="0"/>
        </w:numPr>
        <w:rPr>
          <w:rFonts w:cs="Arial"/>
        </w:rPr>
      </w:pPr>
      <w:r w:rsidRPr="0062034A">
        <w:rPr>
          <w:rFonts w:cs="Arial"/>
        </w:rPr>
        <w:t xml:space="preserve">In addition, local authorities can contact the Standards and Testing Agency helpline on </w:t>
      </w:r>
      <w:r w:rsidRPr="0062034A">
        <w:rPr>
          <w:rFonts w:cs="Arial"/>
          <w:lang w:val="en"/>
        </w:rPr>
        <w:t xml:space="preserve">0300 303 3013 </w:t>
      </w:r>
      <w:r w:rsidRPr="0062034A">
        <w:rPr>
          <w:rFonts w:cs="Arial"/>
        </w:rPr>
        <w:t>for further advice.</w:t>
      </w:r>
    </w:p>
    <w:p w14:paraId="232D124F" w14:textId="63E359FB" w:rsidR="00553E9B" w:rsidRPr="0062034A" w:rsidRDefault="00553E9B" w:rsidP="00FC26A5">
      <w:pPr>
        <w:pStyle w:val="ListParagraph"/>
        <w:numPr>
          <w:ilvl w:val="0"/>
          <w:numId w:val="0"/>
        </w:numPr>
        <w:rPr>
          <w:rFonts w:cs="Arial"/>
        </w:rPr>
      </w:pPr>
      <w:r w:rsidRPr="0062034A">
        <w:rPr>
          <w:rFonts w:cs="Arial"/>
        </w:rPr>
        <w:t>A small number of respondents suggested that savings could be made on this function through gr</w:t>
      </w:r>
      <w:r w:rsidR="00E93FBE">
        <w:rPr>
          <w:rFonts w:cs="Arial"/>
        </w:rPr>
        <w:t>eater use of school-based staff</w:t>
      </w:r>
      <w:r w:rsidRPr="0062034A">
        <w:rPr>
          <w:rFonts w:cs="Arial"/>
        </w:rPr>
        <w:t xml:space="preserve"> or through cross-school moderation.</w:t>
      </w:r>
    </w:p>
    <w:p w14:paraId="6B65E5A9" w14:textId="127FC081" w:rsidR="00553E9B" w:rsidRPr="0062034A" w:rsidRDefault="00553E9B" w:rsidP="00FC26A5">
      <w:pPr>
        <w:pStyle w:val="ListParagraph"/>
        <w:numPr>
          <w:ilvl w:val="0"/>
          <w:numId w:val="0"/>
        </w:numPr>
        <w:rPr>
          <w:rFonts w:cs="Arial"/>
        </w:rPr>
      </w:pPr>
      <w:r w:rsidRPr="0062034A">
        <w:rPr>
          <w:rFonts w:cs="Arial"/>
        </w:rPr>
        <w:t xml:space="preserve">There were mixed views reported on whether it was appropriate for local authorities to charge schools for something they are bound by statute to provide. We are able to provide some clarification on this question. Local authorities cannot charge </w:t>
      </w:r>
      <w:r w:rsidR="003D45D9">
        <w:rPr>
          <w:rFonts w:cs="Arial"/>
        </w:rPr>
        <w:t xml:space="preserve">maintained </w:t>
      </w:r>
      <w:r w:rsidRPr="0062034A">
        <w:rPr>
          <w:rFonts w:cs="Arial"/>
        </w:rPr>
        <w:t>schools for national curriculum assessments</w:t>
      </w:r>
      <w:r w:rsidR="00EC7659">
        <w:rPr>
          <w:rFonts w:cs="Arial"/>
        </w:rPr>
        <w:t>,</w:t>
      </w:r>
      <w:r w:rsidRPr="0062034A">
        <w:rPr>
          <w:rFonts w:cs="Arial"/>
        </w:rPr>
        <w:t xml:space="preserve"> although academies may be charged.</w:t>
      </w:r>
    </w:p>
    <w:p w14:paraId="10D28EFD" w14:textId="73038C5F" w:rsidR="00553E9B" w:rsidRPr="0062034A" w:rsidRDefault="00553E9B" w:rsidP="00FC26A5">
      <w:pPr>
        <w:pStyle w:val="ListParagraph"/>
        <w:numPr>
          <w:ilvl w:val="0"/>
          <w:numId w:val="0"/>
        </w:numPr>
        <w:rPr>
          <w:rFonts w:cs="Arial"/>
        </w:rPr>
      </w:pPr>
      <w:r w:rsidRPr="0062034A">
        <w:rPr>
          <w:rFonts w:cs="Arial"/>
        </w:rPr>
        <w:t>We do not anticipate that monitoring or moderation of the new national curriculum end of key stage tests will result in significant cost pressures for local authorities, but</w:t>
      </w:r>
      <w:r w:rsidR="00FC26A5" w:rsidRPr="0062034A">
        <w:rPr>
          <w:rFonts w:cs="Arial"/>
        </w:rPr>
        <w:t xml:space="preserve"> will keep this under review. </w:t>
      </w:r>
    </w:p>
    <w:p w14:paraId="6109D1E1" w14:textId="2DBBCDE7" w:rsidR="00FC26A5" w:rsidRPr="0028077E" w:rsidRDefault="00FC26A5" w:rsidP="00780F10">
      <w:pPr>
        <w:pStyle w:val="Heading1"/>
      </w:pPr>
      <w:bookmarkStart w:id="18" w:name="_Toc393781907"/>
      <w:r w:rsidRPr="00780F10">
        <w:rPr>
          <w:rFonts w:eastAsiaTheme="minorHAnsi" w:cs="Arial"/>
          <w:szCs w:val="20"/>
          <w:lang w:eastAsia="en-US"/>
        </w:rPr>
        <w:t xml:space="preserve">Chapter </w:t>
      </w:r>
      <w:r w:rsidR="002A1078">
        <w:rPr>
          <w:rFonts w:eastAsiaTheme="minorHAnsi" w:cs="Arial"/>
          <w:szCs w:val="20"/>
          <w:lang w:eastAsia="en-US"/>
        </w:rPr>
        <w:t>2</w:t>
      </w:r>
      <w:r w:rsidR="002A1078" w:rsidRPr="00780F10">
        <w:rPr>
          <w:rFonts w:eastAsiaTheme="minorHAnsi" w:cs="Arial"/>
          <w:szCs w:val="20"/>
          <w:lang w:eastAsia="en-US"/>
        </w:rPr>
        <w:t xml:space="preserve"> </w:t>
      </w:r>
      <w:r w:rsidRPr="00780F10">
        <w:rPr>
          <w:rFonts w:eastAsiaTheme="minorHAnsi" w:cs="Arial"/>
          <w:szCs w:val="20"/>
          <w:lang w:eastAsia="en-US"/>
        </w:rPr>
        <w:t>–</w:t>
      </w:r>
      <w:r w:rsidR="000C517A" w:rsidRPr="00780F10">
        <w:rPr>
          <w:rFonts w:eastAsiaTheme="minorHAnsi" w:cs="Arial"/>
          <w:szCs w:val="20"/>
          <w:lang w:eastAsia="en-US"/>
        </w:rPr>
        <w:t xml:space="preserve"> </w:t>
      </w:r>
      <w:r w:rsidRPr="00780F10">
        <w:rPr>
          <w:rFonts w:eastAsiaTheme="minorHAnsi" w:cs="Arial"/>
          <w:szCs w:val="20"/>
          <w:lang w:eastAsia="en-US"/>
        </w:rPr>
        <w:t>How a local authority might choose to spend ESG in 2015-16</w:t>
      </w:r>
      <w:bookmarkEnd w:id="18"/>
    </w:p>
    <w:p w14:paraId="101DE1DD" w14:textId="7317E29B" w:rsidR="00553E9B" w:rsidRPr="0062034A" w:rsidRDefault="00553E9B" w:rsidP="00FC26A5">
      <w:pPr>
        <w:spacing w:after="200" w:line="276" w:lineRule="auto"/>
        <w:contextualSpacing/>
        <w:rPr>
          <w:rFonts w:cs="Arial"/>
        </w:rPr>
      </w:pPr>
      <w:r w:rsidRPr="0062034A">
        <w:rPr>
          <w:rFonts w:cs="Arial"/>
        </w:rPr>
        <w:t>As ESG is an un-ringfenced grant, it is entirely at the discretion of local authorities how the funding is spent. Different local authori</w:t>
      </w:r>
      <w:r w:rsidR="00E93FBE">
        <w:rPr>
          <w:rFonts w:cs="Arial"/>
        </w:rPr>
        <w:t xml:space="preserve">ties will have different needs </w:t>
      </w:r>
      <w:r w:rsidRPr="0062034A">
        <w:rPr>
          <w:rFonts w:cs="Arial"/>
        </w:rPr>
        <w:t xml:space="preserve">and thus rightly make different choices about how to use their ESG funding. However, in order to demonstrate further why we are satisfied that a general funding rate of £87 is sufficient, we provide the following </w:t>
      </w:r>
      <w:r w:rsidRPr="0062034A">
        <w:rPr>
          <w:rFonts w:cs="Arial"/>
          <w:b/>
        </w:rPr>
        <w:t>illustrations</w:t>
      </w:r>
      <w:r w:rsidRPr="0062034A">
        <w:rPr>
          <w:rFonts w:cs="Arial"/>
        </w:rPr>
        <w:t xml:space="preserve"> of how a local authority might choose to spend its ESG funding and how this compares with planned spending in other local authorities. </w:t>
      </w:r>
    </w:p>
    <w:p w14:paraId="5DF47A2C" w14:textId="2BF495FF" w:rsidR="00553E9B" w:rsidRPr="0062034A" w:rsidRDefault="00553E9B" w:rsidP="00FC26A5">
      <w:pPr>
        <w:pStyle w:val="ListParagraph"/>
        <w:numPr>
          <w:ilvl w:val="0"/>
          <w:numId w:val="0"/>
        </w:numPr>
        <w:rPr>
          <w:rFonts w:cs="Arial"/>
        </w:rPr>
      </w:pPr>
      <w:r w:rsidRPr="0062034A">
        <w:rPr>
          <w:rFonts w:cs="Arial"/>
        </w:rPr>
        <w:t xml:space="preserve">We want to be clear that these illustrations are </w:t>
      </w:r>
      <w:r w:rsidRPr="00D62879">
        <w:rPr>
          <w:rFonts w:cs="Arial"/>
          <w:u w:val="single"/>
        </w:rPr>
        <w:t>not</w:t>
      </w:r>
      <w:r w:rsidRPr="0062034A">
        <w:rPr>
          <w:rFonts w:cs="Arial"/>
        </w:rPr>
        <w:t xml:space="preserve"> intended as a guide to how local authorities ought to spend ESG. We recognise the importance of local discretion and a degree of necessary variation in service provision across the country.</w:t>
      </w:r>
    </w:p>
    <w:p w14:paraId="2132B759" w14:textId="08B520B2" w:rsidR="00553E9B" w:rsidRPr="0062034A" w:rsidRDefault="00553E9B" w:rsidP="00FC26A5">
      <w:pPr>
        <w:pStyle w:val="ListParagraph"/>
        <w:numPr>
          <w:ilvl w:val="0"/>
          <w:numId w:val="0"/>
        </w:numPr>
        <w:rPr>
          <w:rFonts w:cs="Arial"/>
        </w:rPr>
      </w:pPr>
      <w:r w:rsidRPr="0062034A">
        <w:rPr>
          <w:rFonts w:cs="Arial"/>
        </w:rPr>
        <w:t>Our first illustration</w:t>
      </w:r>
      <w:r w:rsidR="005115F2">
        <w:rPr>
          <w:rFonts w:cs="Arial"/>
        </w:rPr>
        <w:t xml:space="preserve"> (Table 2)</w:t>
      </w:r>
      <w:r w:rsidRPr="0062034A">
        <w:rPr>
          <w:rFonts w:cs="Arial"/>
        </w:rPr>
        <w:t xml:space="preserve"> uses the median of local authority planned spending in 2013-14 as a starting point for possible spend on each line. It shows the number of local authorities that were planning to spend at or below this level. </w:t>
      </w:r>
    </w:p>
    <w:p w14:paraId="5CAA21F2" w14:textId="2C26BF2C" w:rsidR="00553E9B" w:rsidRPr="0062034A" w:rsidRDefault="00553E9B" w:rsidP="00FC26A5">
      <w:pPr>
        <w:pStyle w:val="ListParagraph"/>
        <w:numPr>
          <w:ilvl w:val="0"/>
          <w:numId w:val="0"/>
        </w:numPr>
        <w:rPr>
          <w:rFonts w:cs="Arial"/>
        </w:rPr>
      </w:pPr>
      <w:r w:rsidRPr="0062034A">
        <w:rPr>
          <w:rFonts w:cs="Arial"/>
        </w:rPr>
        <w:t>In doing this we recognise that each local authority has different circumstances and that some authorities spend more than the median on some functions for good reasons, just as others spend less for</w:t>
      </w:r>
      <w:r w:rsidR="00E93FBE">
        <w:rPr>
          <w:rFonts w:cs="Arial"/>
        </w:rPr>
        <w:t xml:space="preserve"> equally</w:t>
      </w:r>
      <w:r w:rsidRPr="0062034A">
        <w:rPr>
          <w:rFonts w:cs="Arial"/>
        </w:rPr>
        <w:t xml:space="preserve"> good reasons.</w:t>
      </w:r>
      <w:r w:rsidR="00B14771">
        <w:rPr>
          <w:rFonts w:cs="Arial"/>
        </w:rPr>
        <w:t xml:space="preserve"> </w:t>
      </w:r>
      <w:r w:rsidRPr="0062034A">
        <w:rPr>
          <w:rFonts w:cs="Arial"/>
        </w:rPr>
        <w:t>We know, however, that at present there is no correlation between high spend on one service and high spend on another service, meaning</w:t>
      </w:r>
      <w:r w:rsidR="00EC7659">
        <w:rPr>
          <w:rFonts w:cs="Arial"/>
        </w:rPr>
        <w:t xml:space="preserve"> that</w:t>
      </w:r>
      <w:r w:rsidRPr="0062034A">
        <w:rPr>
          <w:rFonts w:cs="Arial"/>
        </w:rPr>
        <w:t xml:space="preserve"> it is reasonable to assume that in the vast majority of cases higher spend on one line could be offset by lower spend on another line. Our analysis also shows that about a third of local authorities with different characteristics (</w:t>
      </w:r>
      <w:r w:rsidR="00C86FF7">
        <w:rPr>
          <w:rFonts w:cs="Arial"/>
        </w:rPr>
        <w:t xml:space="preserve">see Chapter 1 - general funding rate – and </w:t>
      </w:r>
      <w:r w:rsidRPr="0062034A">
        <w:rPr>
          <w:rFonts w:cs="Arial"/>
        </w:rPr>
        <w:t>Annex B) plan</w:t>
      </w:r>
      <w:r w:rsidR="00EC7659">
        <w:rPr>
          <w:rFonts w:cs="Arial"/>
        </w:rPr>
        <w:t>ned</w:t>
      </w:r>
      <w:r w:rsidRPr="0062034A">
        <w:rPr>
          <w:rFonts w:cs="Arial"/>
        </w:rPr>
        <w:t xml:space="preserve"> spend </w:t>
      </w:r>
      <w:r w:rsidR="00EC7659">
        <w:rPr>
          <w:rFonts w:cs="Arial"/>
        </w:rPr>
        <w:t xml:space="preserve">in 2013-14 </w:t>
      </w:r>
      <w:r w:rsidRPr="0062034A">
        <w:rPr>
          <w:rFonts w:cs="Arial"/>
        </w:rPr>
        <w:t>on maintained school</w:t>
      </w:r>
      <w:r w:rsidR="00EC7659">
        <w:rPr>
          <w:rFonts w:cs="Arial"/>
        </w:rPr>
        <w:t xml:space="preserve"> pupils</w:t>
      </w:r>
      <w:r w:rsidRPr="0062034A">
        <w:rPr>
          <w:rFonts w:cs="Arial"/>
        </w:rPr>
        <w:t xml:space="preserve"> at a rate around or below £87 per pupil.</w:t>
      </w:r>
    </w:p>
    <w:p w14:paraId="449029A2" w14:textId="4AC26D11" w:rsidR="00553E9B" w:rsidRPr="0062034A" w:rsidRDefault="00553E9B" w:rsidP="00FC26A5">
      <w:pPr>
        <w:pStyle w:val="ListParagraph"/>
        <w:numPr>
          <w:ilvl w:val="0"/>
          <w:numId w:val="0"/>
        </w:numPr>
        <w:rPr>
          <w:rFonts w:cs="Arial"/>
        </w:rPr>
      </w:pPr>
      <w:r w:rsidRPr="0062034A">
        <w:rPr>
          <w:rFonts w:cs="Arial"/>
        </w:rPr>
        <w:t xml:space="preserve">As we have highlighted in </w:t>
      </w:r>
      <w:r w:rsidR="005115F2">
        <w:rPr>
          <w:rFonts w:cs="Arial"/>
        </w:rPr>
        <w:t>Charts 1-8</w:t>
      </w:r>
      <w:r w:rsidRPr="0062034A">
        <w:rPr>
          <w:rFonts w:cs="Arial"/>
        </w:rPr>
        <w:t xml:space="preserve"> in </w:t>
      </w:r>
      <w:r w:rsidR="00C86FF7">
        <w:rPr>
          <w:rFonts w:cs="Arial"/>
        </w:rPr>
        <w:t>Chapter 1</w:t>
      </w:r>
      <w:r w:rsidRPr="0062034A">
        <w:rPr>
          <w:rFonts w:cs="Arial"/>
        </w:rPr>
        <w:t xml:space="preserve">, the median planned spend in 2013-14 for some functions was £0 (premature retirement, therapies and monitoring national curriculum assessment). </w:t>
      </w:r>
      <w:r w:rsidR="00C86FF7">
        <w:rPr>
          <w:rFonts w:cs="Arial"/>
        </w:rPr>
        <w:t>Table 2</w:t>
      </w:r>
      <w:r w:rsidRPr="0062034A">
        <w:rPr>
          <w:rFonts w:cs="Arial"/>
        </w:rPr>
        <w:t xml:space="preserve"> shows a local authority spending slightly above the median on these lines to reflect the fact that, in some circumstances, some spend may be necessary in these areas.</w:t>
      </w:r>
      <w:r w:rsidR="00B14771">
        <w:rPr>
          <w:rFonts w:cs="Arial"/>
        </w:rPr>
        <w:t xml:space="preserve"> </w:t>
      </w:r>
    </w:p>
    <w:p w14:paraId="121AFB1F" w14:textId="60BC7977" w:rsidR="009855A6" w:rsidRDefault="00553E9B" w:rsidP="00FC26A5">
      <w:pPr>
        <w:pStyle w:val="ListParagraph"/>
        <w:numPr>
          <w:ilvl w:val="0"/>
          <w:numId w:val="0"/>
        </w:numPr>
        <w:rPr>
          <w:rFonts w:cs="Arial"/>
        </w:rPr>
      </w:pPr>
      <w:r w:rsidRPr="0062034A">
        <w:rPr>
          <w:rFonts w:cs="Arial"/>
        </w:rPr>
        <w:t>The only function in this illustration that shows spending below the current median is central support services (£1.30 – the 35</w:t>
      </w:r>
      <w:r w:rsidRPr="0062034A">
        <w:rPr>
          <w:rFonts w:cs="Arial"/>
          <w:vertAlign w:val="superscript"/>
        </w:rPr>
        <w:t>th</w:t>
      </w:r>
      <w:r w:rsidRPr="0062034A">
        <w:rPr>
          <w:rFonts w:cs="Arial"/>
        </w:rPr>
        <w:t xml:space="preserve"> percentile – rather than the median of £6).</w:t>
      </w:r>
      <w:r w:rsidR="00B14771">
        <w:rPr>
          <w:rFonts w:cs="Arial"/>
        </w:rPr>
        <w:t xml:space="preserve"> </w:t>
      </w:r>
      <w:r w:rsidRPr="0062034A">
        <w:rPr>
          <w:rFonts w:cs="Arial"/>
        </w:rPr>
        <w:t xml:space="preserve">There are no statutory duties for this line. </w:t>
      </w:r>
    </w:p>
    <w:p w14:paraId="398CB5AE" w14:textId="77777777" w:rsidR="009855A6" w:rsidRDefault="009855A6">
      <w:pPr>
        <w:spacing w:after="0" w:line="240" w:lineRule="auto"/>
        <w:rPr>
          <w:rFonts w:cs="Arial"/>
        </w:rPr>
      </w:pPr>
      <w:r>
        <w:rPr>
          <w:rFonts w:cs="Arial"/>
        </w:rPr>
        <w:br w:type="page"/>
      </w:r>
    </w:p>
    <w:tbl>
      <w:tblPr>
        <w:tblW w:w="9390" w:type="dxa"/>
        <w:tblInd w:w="93" w:type="dxa"/>
        <w:tblCellMar>
          <w:top w:w="57" w:type="dxa"/>
          <w:left w:w="57" w:type="dxa"/>
          <w:bottom w:w="57" w:type="dxa"/>
          <w:right w:w="57" w:type="dxa"/>
        </w:tblCellMar>
        <w:tblLook w:val="04A0" w:firstRow="1" w:lastRow="0" w:firstColumn="1" w:lastColumn="0" w:noHBand="0" w:noVBand="1"/>
      </w:tblPr>
      <w:tblGrid>
        <w:gridCol w:w="4693"/>
        <w:gridCol w:w="2348"/>
        <w:gridCol w:w="2349"/>
      </w:tblGrid>
      <w:tr w:rsidR="000775D9" w:rsidRPr="0062034A" w14:paraId="68586FE3" w14:textId="77777777" w:rsidTr="0028077E">
        <w:trPr>
          <w:trHeight w:val="551"/>
        </w:trPr>
        <w:tc>
          <w:tcPr>
            <w:tcW w:w="9390"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6BF9C71C" w14:textId="04D72295" w:rsidR="000775D9" w:rsidRPr="0028077E" w:rsidRDefault="000775D9" w:rsidP="0028077E">
            <w:pPr>
              <w:pStyle w:val="TableHeader"/>
              <w:jc w:val="center"/>
              <w:rPr>
                <w:b w:val="0"/>
              </w:rPr>
            </w:pPr>
            <w:r w:rsidRPr="00026BA3">
              <w:t>Planned spend on ESG services for pupils in maintained schools only</w:t>
            </w:r>
          </w:p>
        </w:tc>
      </w:tr>
      <w:tr w:rsidR="000775D9" w:rsidRPr="0062034A" w14:paraId="21392BEF" w14:textId="77777777" w:rsidTr="0028077E">
        <w:trPr>
          <w:trHeight w:val="600"/>
        </w:trPr>
        <w:tc>
          <w:tcPr>
            <w:tcW w:w="4693" w:type="dxa"/>
            <w:tcBorders>
              <w:top w:val="nil"/>
              <w:left w:val="single" w:sz="4" w:space="0" w:color="auto"/>
              <w:bottom w:val="single" w:sz="4" w:space="0" w:color="auto"/>
              <w:right w:val="single" w:sz="4" w:space="0" w:color="auto"/>
            </w:tcBorders>
            <w:shd w:val="clear" w:color="auto" w:fill="auto"/>
            <w:vAlign w:val="center"/>
            <w:hideMark/>
          </w:tcPr>
          <w:p w14:paraId="23C934E7" w14:textId="421A8AE0" w:rsidR="000775D9" w:rsidRPr="0062034A" w:rsidRDefault="000775D9" w:rsidP="009A3901">
            <w:pPr>
              <w:pStyle w:val="TableHeader"/>
              <w:rPr>
                <w:rFonts w:cs="Arial"/>
              </w:rPr>
            </w:pPr>
            <w:r w:rsidRPr="0062034A">
              <w:rPr>
                <w:rFonts w:cs="Arial"/>
              </w:rPr>
              <w:t>S</w:t>
            </w:r>
            <w:r w:rsidR="009A3901">
              <w:rPr>
                <w:rFonts w:cs="Arial"/>
              </w:rPr>
              <w:t>ection 251 budget l</w:t>
            </w:r>
            <w:r w:rsidRPr="0062034A">
              <w:rPr>
                <w:rFonts w:cs="Arial"/>
              </w:rPr>
              <w:t>ine</w:t>
            </w:r>
          </w:p>
        </w:tc>
        <w:tc>
          <w:tcPr>
            <w:tcW w:w="2348" w:type="dxa"/>
            <w:tcBorders>
              <w:top w:val="nil"/>
              <w:left w:val="nil"/>
              <w:bottom w:val="single" w:sz="4" w:space="0" w:color="auto"/>
              <w:right w:val="single" w:sz="4" w:space="0" w:color="auto"/>
            </w:tcBorders>
            <w:shd w:val="clear" w:color="auto" w:fill="auto"/>
            <w:vAlign w:val="center"/>
            <w:hideMark/>
          </w:tcPr>
          <w:p w14:paraId="78FF48CC" w14:textId="20185256" w:rsidR="000775D9" w:rsidRPr="0062034A" w:rsidRDefault="000775D9" w:rsidP="00EC7659">
            <w:pPr>
              <w:pStyle w:val="TableHeader"/>
              <w:rPr>
                <w:rFonts w:cs="Arial"/>
                <w:vertAlign w:val="superscript"/>
              </w:rPr>
            </w:pPr>
            <w:r w:rsidRPr="0062034A">
              <w:rPr>
                <w:rFonts w:cs="Arial"/>
              </w:rPr>
              <w:t xml:space="preserve">Possible expenditure </w:t>
            </w:r>
            <w:r>
              <w:rPr>
                <w:rFonts w:cs="Arial"/>
              </w:rPr>
              <w:t>(p</w:t>
            </w:r>
            <w:r w:rsidRPr="0062034A">
              <w:rPr>
                <w:rFonts w:cs="Arial"/>
              </w:rPr>
              <w:t>er maintained school pupil)</w:t>
            </w:r>
            <w:r w:rsidRPr="0062034A">
              <w:rPr>
                <w:rFonts w:cs="Arial"/>
                <w:vertAlign w:val="superscript"/>
              </w:rPr>
              <w:t>5</w:t>
            </w:r>
          </w:p>
        </w:tc>
        <w:tc>
          <w:tcPr>
            <w:tcW w:w="2349" w:type="dxa"/>
            <w:tcBorders>
              <w:top w:val="nil"/>
              <w:left w:val="nil"/>
              <w:bottom w:val="single" w:sz="4" w:space="0" w:color="auto"/>
              <w:right w:val="single" w:sz="4" w:space="0" w:color="auto"/>
            </w:tcBorders>
            <w:shd w:val="clear" w:color="auto" w:fill="auto"/>
            <w:vAlign w:val="center"/>
            <w:hideMark/>
          </w:tcPr>
          <w:p w14:paraId="7498B3DD" w14:textId="77777777" w:rsidR="000775D9" w:rsidRPr="0062034A" w:rsidRDefault="000775D9" w:rsidP="00EC7659">
            <w:pPr>
              <w:pStyle w:val="TableHeader"/>
              <w:rPr>
                <w:rFonts w:cs="Arial"/>
              </w:rPr>
            </w:pPr>
            <w:r w:rsidRPr="0062034A">
              <w:rPr>
                <w:rFonts w:cs="Arial"/>
              </w:rPr>
              <w:t>Percentile of 2013-14 LA planned expenditure</w:t>
            </w:r>
          </w:p>
        </w:tc>
      </w:tr>
      <w:tr w:rsidR="000775D9" w:rsidRPr="0062034A" w14:paraId="2185DEB0" w14:textId="77777777" w:rsidTr="0028077E">
        <w:trPr>
          <w:trHeight w:val="900"/>
        </w:trPr>
        <w:tc>
          <w:tcPr>
            <w:tcW w:w="4693" w:type="dxa"/>
            <w:tcBorders>
              <w:top w:val="nil"/>
              <w:left w:val="single" w:sz="4" w:space="0" w:color="auto"/>
              <w:bottom w:val="single" w:sz="4" w:space="0" w:color="auto"/>
              <w:right w:val="single" w:sz="4" w:space="0" w:color="auto"/>
            </w:tcBorders>
            <w:shd w:val="clear" w:color="auto" w:fill="auto"/>
            <w:vAlign w:val="center"/>
            <w:hideMark/>
          </w:tcPr>
          <w:p w14:paraId="29573309" w14:textId="05F6DBC2" w:rsidR="000775D9" w:rsidRPr="0062034A" w:rsidRDefault="000775D9" w:rsidP="00EC7659">
            <w:pPr>
              <w:pStyle w:val="TableRow"/>
              <w:rPr>
                <w:rFonts w:cs="Arial"/>
              </w:rPr>
            </w:pPr>
            <w:r w:rsidRPr="0062034A">
              <w:rPr>
                <w:rFonts w:cs="Arial"/>
              </w:rPr>
              <w:t>2.0.3 Education welfare service</w:t>
            </w:r>
            <w:r w:rsidR="009A3901">
              <w:rPr>
                <w:rFonts w:cs="Arial"/>
              </w:rPr>
              <w:t>s</w:t>
            </w:r>
          </w:p>
        </w:tc>
        <w:tc>
          <w:tcPr>
            <w:tcW w:w="2348" w:type="dxa"/>
            <w:tcBorders>
              <w:top w:val="nil"/>
              <w:left w:val="nil"/>
              <w:bottom w:val="single" w:sz="4" w:space="0" w:color="auto"/>
              <w:right w:val="single" w:sz="4" w:space="0" w:color="auto"/>
            </w:tcBorders>
            <w:shd w:val="clear" w:color="auto" w:fill="auto"/>
            <w:noWrap/>
            <w:vAlign w:val="center"/>
            <w:hideMark/>
          </w:tcPr>
          <w:p w14:paraId="114DB77D" w14:textId="77777777" w:rsidR="000775D9" w:rsidRPr="0062034A" w:rsidRDefault="000775D9" w:rsidP="0028077E">
            <w:pPr>
              <w:pStyle w:val="TableRow"/>
              <w:tabs>
                <w:tab w:val="decimal" w:pos="1310"/>
              </w:tabs>
              <w:rPr>
                <w:rFonts w:cs="Arial"/>
              </w:rPr>
            </w:pPr>
            <w:r w:rsidRPr="0062034A">
              <w:rPr>
                <w:rFonts w:cs="Arial"/>
              </w:rPr>
              <w:t>£11.90</w:t>
            </w:r>
          </w:p>
        </w:tc>
        <w:tc>
          <w:tcPr>
            <w:tcW w:w="2349" w:type="dxa"/>
            <w:tcBorders>
              <w:top w:val="nil"/>
              <w:left w:val="nil"/>
              <w:bottom w:val="single" w:sz="4" w:space="0" w:color="auto"/>
              <w:right w:val="single" w:sz="4" w:space="0" w:color="auto"/>
            </w:tcBorders>
            <w:shd w:val="clear" w:color="auto" w:fill="auto"/>
            <w:vAlign w:val="center"/>
            <w:hideMark/>
          </w:tcPr>
          <w:p w14:paraId="6D84FA5E" w14:textId="77777777" w:rsidR="000775D9" w:rsidRPr="0062034A" w:rsidRDefault="000775D9" w:rsidP="0028077E">
            <w:pPr>
              <w:pStyle w:val="TableRow"/>
              <w:jc w:val="both"/>
              <w:rPr>
                <w:rFonts w:cs="Arial"/>
              </w:rPr>
            </w:pPr>
            <w:r w:rsidRPr="0062034A">
              <w:rPr>
                <w:rFonts w:cs="Arial"/>
              </w:rPr>
              <w:t>Median</w:t>
            </w:r>
            <w:r w:rsidRPr="0062034A">
              <w:rPr>
                <w:rFonts w:cs="Arial"/>
              </w:rPr>
              <w:br/>
              <w:t>(82 LAs planned to spend at or below)</w:t>
            </w:r>
          </w:p>
        </w:tc>
      </w:tr>
      <w:tr w:rsidR="000775D9" w:rsidRPr="0062034A" w14:paraId="3056AF93" w14:textId="77777777" w:rsidTr="0028077E">
        <w:trPr>
          <w:trHeight w:val="900"/>
        </w:trPr>
        <w:tc>
          <w:tcPr>
            <w:tcW w:w="4693" w:type="dxa"/>
            <w:tcBorders>
              <w:top w:val="nil"/>
              <w:left w:val="single" w:sz="4" w:space="0" w:color="auto"/>
              <w:bottom w:val="single" w:sz="4" w:space="0" w:color="auto"/>
              <w:right w:val="single" w:sz="4" w:space="0" w:color="auto"/>
            </w:tcBorders>
            <w:shd w:val="clear" w:color="auto" w:fill="auto"/>
            <w:vAlign w:val="center"/>
            <w:hideMark/>
          </w:tcPr>
          <w:p w14:paraId="27BCC70D" w14:textId="77777777" w:rsidR="000775D9" w:rsidRPr="0062034A" w:rsidRDefault="000775D9" w:rsidP="00EC7659">
            <w:pPr>
              <w:pStyle w:val="TableRow"/>
              <w:rPr>
                <w:rFonts w:cs="Arial"/>
              </w:rPr>
            </w:pPr>
            <w:r w:rsidRPr="0062034A">
              <w:rPr>
                <w:rFonts w:cs="Arial"/>
              </w:rPr>
              <w:t>2.0.4 School improvement</w:t>
            </w:r>
          </w:p>
        </w:tc>
        <w:tc>
          <w:tcPr>
            <w:tcW w:w="2348" w:type="dxa"/>
            <w:tcBorders>
              <w:top w:val="nil"/>
              <w:left w:val="nil"/>
              <w:bottom w:val="single" w:sz="4" w:space="0" w:color="auto"/>
              <w:right w:val="single" w:sz="4" w:space="0" w:color="auto"/>
            </w:tcBorders>
            <w:shd w:val="clear" w:color="auto" w:fill="auto"/>
            <w:noWrap/>
            <w:vAlign w:val="center"/>
            <w:hideMark/>
          </w:tcPr>
          <w:p w14:paraId="102D11A5" w14:textId="77777777" w:rsidR="000775D9" w:rsidRPr="0062034A" w:rsidRDefault="000775D9" w:rsidP="0028077E">
            <w:pPr>
              <w:pStyle w:val="TableRow"/>
              <w:tabs>
                <w:tab w:val="decimal" w:pos="1310"/>
              </w:tabs>
              <w:rPr>
                <w:rFonts w:cs="Arial"/>
              </w:rPr>
            </w:pPr>
            <w:r w:rsidRPr="0062034A">
              <w:rPr>
                <w:rFonts w:cs="Arial"/>
              </w:rPr>
              <w:t>£31.00</w:t>
            </w:r>
          </w:p>
        </w:tc>
        <w:tc>
          <w:tcPr>
            <w:tcW w:w="2349" w:type="dxa"/>
            <w:tcBorders>
              <w:top w:val="nil"/>
              <w:left w:val="nil"/>
              <w:bottom w:val="single" w:sz="4" w:space="0" w:color="auto"/>
              <w:right w:val="single" w:sz="4" w:space="0" w:color="auto"/>
            </w:tcBorders>
            <w:shd w:val="clear" w:color="auto" w:fill="auto"/>
            <w:vAlign w:val="center"/>
            <w:hideMark/>
          </w:tcPr>
          <w:p w14:paraId="2C0AAB34" w14:textId="77777777" w:rsidR="000775D9" w:rsidRPr="0062034A" w:rsidRDefault="000775D9" w:rsidP="0028077E">
            <w:pPr>
              <w:pStyle w:val="TableRow"/>
              <w:jc w:val="both"/>
              <w:rPr>
                <w:rFonts w:cs="Arial"/>
              </w:rPr>
            </w:pPr>
            <w:r w:rsidRPr="0062034A">
              <w:rPr>
                <w:rFonts w:cs="Arial"/>
              </w:rPr>
              <w:t>Median</w:t>
            </w:r>
            <w:r w:rsidRPr="0062034A">
              <w:rPr>
                <w:rFonts w:cs="Arial"/>
              </w:rPr>
              <w:br/>
              <w:t>(75 LAs planned to spend at or below)</w:t>
            </w:r>
          </w:p>
        </w:tc>
      </w:tr>
      <w:tr w:rsidR="000775D9" w:rsidRPr="0062034A" w14:paraId="65C8091B" w14:textId="77777777" w:rsidTr="0028077E">
        <w:trPr>
          <w:trHeight w:val="900"/>
        </w:trPr>
        <w:tc>
          <w:tcPr>
            <w:tcW w:w="4693" w:type="dxa"/>
            <w:tcBorders>
              <w:top w:val="nil"/>
              <w:left w:val="single" w:sz="4" w:space="0" w:color="auto"/>
              <w:bottom w:val="single" w:sz="4" w:space="0" w:color="auto"/>
              <w:right w:val="single" w:sz="4" w:space="0" w:color="auto"/>
            </w:tcBorders>
            <w:shd w:val="clear" w:color="auto" w:fill="auto"/>
            <w:vAlign w:val="center"/>
            <w:hideMark/>
          </w:tcPr>
          <w:p w14:paraId="089A7166" w14:textId="77777777" w:rsidR="000775D9" w:rsidRPr="0062034A" w:rsidRDefault="000775D9" w:rsidP="00EC7659">
            <w:pPr>
              <w:pStyle w:val="TableRow"/>
              <w:rPr>
                <w:rFonts w:cs="Arial"/>
              </w:rPr>
            </w:pPr>
            <w:r w:rsidRPr="0062034A">
              <w:rPr>
                <w:rFonts w:cs="Arial"/>
              </w:rPr>
              <w:t>2.0.5 Asset management - education</w:t>
            </w:r>
          </w:p>
        </w:tc>
        <w:tc>
          <w:tcPr>
            <w:tcW w:w="2348" w:type="dxa"/>
            <w:tcBorders>
              <w:top w:val="nil"/>
              <w:left w:val="nil"/>
              <w:bottom w:val="single" w:sz="4" w:space="0" w:color="auto"/>
              <w:right w:val="single" w:sz="4" w:space="0" w:color="auto"/>
            </w:tcBorders>
            <w:shd w:val="clear" w:color="auto" w:fill="auto"/>
            <w:noWrap/>
            <w:vAlign w:val="center"/>
            <w:hideMark/>
          </w:tcPr>
          <w:p w14:paraId="27FD051D" w14:textId="77777777" w:rsidR="000775D9" w:rsidRPr="0062034A" w:rsidRDefault="000775D9" w:rsidP="0028077E">
            <w:pPr>
              <w:pStyle w:val="TableRow"/>
              <w:tabs>
                <w:tab w:val="decimal" w:pos="1310"/>
              </w:tabs>
              <w:rPr>
                <w:rFonts w:cs="Arial"/>
              </w:rPr>
            </w:pPr>
            <w:r w:rsidRPr="0062034A">
              <w:rPr>
                <w:rFonts w:cs="Arial"/>
              </w:rPr>
              <w:t>£5.20</w:t>
            </w:r>
          </w:p>
        </w:tc>
        <w:tc>
          <w:tcPr>
            <w:tcW w:w="2349" w:type="dxa"/>
            <w:tcBorders>
              <w:top w:val="nil"/>
              <w:left w:val="nil"/>
              <w:bottom w:val="single" w:sz="4" w:space="0" w:color="auto"/>
              <w:right w:val="single" w:sz="4" w:space="0" w:color="auto"/>
            </w:tcBorders>
            <w:shd w:val="clear" w:color="auto" w:fill="auto"/>
            <w:vAlign w:val="center"/>
            <w:hideMark/>
          </w:tcPr>
          <w:p w14:paraId="30B9DFB6" w14:textId="77777777" w:rsidR="000775D9" w:rsidRPr="0062034A" w:rsidRDefault="000775D9" w:rsidP="0028077E">
            <w:pPr>
              <w:pStyle w:val="TableRow"/>
              <w:jc w:val="both"/>
              <w:rPr>
                <w:rFonts w:cs="Arial"/>
              </w:rPr>
            </w:pPr>
            <w:r w:rsidRPr="0062034A">
              <w:rPr>
                <w:rFonts w:cs="Arial"/>
              </w:rPr>
              <w:t xml:space="preserve">Median </w:t>
            </w:r>
            <w:r w:rsidRPr="0062034A">
              <w:rPr>
                <w:rFonts w:cs="Arial"/>
              </w:rPr>
              <w:br/>
              <w:t>(76 LAs planned to spend at or below)</w:t>
            </w:r>
          </w:p>
        </w:tc>
      </w:tr>
      <w:tr w:rsidR="000775D9" w:rsidRPr="0062034A" w14:paraId="21272D6B" w14:textId="77777777" w:rsidTr="0028077E">
        <w:trPr>
          <w:trHeight w:val="900"/>
        </w:trPr>
        <w:tc>
          <w:tcPr>
            <w:tcW w:w="4693" w:type="dxa"/>
            <w:tcBorders>
              <w:top w:val="nil"/>
              <w:left w:val="single" w:sz="4" w:space="0" w:color="auto"/>
              <w:bottom w:val="single" w:sz="4" w:space="0" w:color="auto"/>
              <w:right w:val="single" w:sz="4" w:space="0" w:color="auto"/>
            </w:tcBorders>
            <w:shd w:val="clear" w:color="auto" w:fill="auto"/>
            <w:vAlign w:val="center"/>
            <w:hideMark/>
          </w:tcPr>
          <w:p w14:paraId="46122F4B" w14:textId="654C1F73" w:rsidR="000775D9" w:rsidRPr="0062034A" w:rsidRDefault="009A3901" w:rsidP="00EC7659">
            <w:pPr>
              <w:pStyle w:val="TableRow"/>
              <w:rPr>
                <w:rFonts w:cs="Arial"/>
              </w:rPr>
            </w:pPr>
            <w:r>
              <w:rPr>
                <w:rFonts w:cs="Arial"/>
              </w:rPr>
              <w:t>2.0.6 Statutory and r</w:t>
            </w:r>
            <w:r w:rsidR="000775D9" w:rsidRPr="0062034A">
              <w:rPr>
                <w:rFonts w:cs="Arial"/>
              </w:rPr>
              <w:t>egulatory duties - education</w:t>
            </w:r>
          </w:p>
        </w:tc>
        <w:tc>
          <w:tcPr>
            <w:tcW w:w="2348" w:type="dxa"/>
            <w:tcBorders>
              <w:top w:val="nil"/>
              <w:left w:val="nil"/>
              <w:bottom w:val="single" w:sz="4" w:space="0" w:color="auto"/>
              <w:right w:val="single" w:sz="4" w:space="0" w:color="auto"/>
            </w:tcBorders>
            <w:shd w:val="clear" w:color="auto" w:fill="auto"/>
            <w:noWrap/>
            <w:vAlign w:val="center"/>
            <w:hideMark/>
          </w:tcPr>
          <w:p w14:paraId="42AD2BF5" w14:textId="77777777" w:rsidR="000775D9" w:rsidRPr="0062034A" w:rsidRDefault="000775D9" w:rsidP="0028077E">
            <w:pPr>
              <w:pStyle w:val="TableRow"/>
              <w:tabs>
                <w:tab w:val="decimal" w:pos="1310"/>
              </w:tabs>
              <w:rPr>
                <w:rFonts w:cs="Arial"/>
              </w:rPr>
            </w:pPr>
            <w:r w:rsidRPr="0062034A">
              <w:rPr>
                <w:rFonts w:cs="Arial"/>
              </w:rPr>
              <w:t>£35.60</w:t>
            </w:r>
          </w:p>
        </w:tc>
        <w:tc>
          <w:tcPr>
            <w:tcW w:w="2349" w:type="dxa"/>
            <w:tcBorders>
              <w:top w:val="nil"/>
              <w:left w:val="nil"/>
              <w:bottom w:val="single" w:sz="4" w:space="0" w:color="auto"/>
              <w:right w:val="single" w:sz="4" w:space="0" w:color="auto"/>
            </w:tcBorders>
            <w:shd w:val="clear" w:color="auto" w:fill="auto"/>
            <w:vAlign w:val="center"/>
            <w:hideMark/>
          </w:tcPr>
          <w:p w14:paraId="087C3C6F" w14:textId="77777777" w:rsidR="000775D9" w:rsidRPr="0062034A" w:rsidRDefault="000775D9" w:rsidP="0028077E">
            <w:pPr>
              <w:pStyle w:val="TableRow"/>
              <w:jc w:val="both"/>
              <w:rPr>
                <w:rFonts w:cs="Arial"/>
              </w:rPr>
            </w:pPr>
            <w:r w:rsidRPr="0062034A">
              <w:rPr>
                <w:rFonts w:cs="Arial"/>
              </w:rPr>
              <w:t xml:space="preserve">Median </w:t>
            </w:r>
            <w:r w:rsidRPr="0062034A">
              <w:rPr>
                <w:rFonts w:cs="Arial"/>
              </w:rPr>
              <w:br/>
              <w:t>(75 LAs planned to spend at or below)</w:t>
            </w:r>
          </w:p>
        </w:tc>
      </w:tr>
      <w:tr w:rsidR="000775D9" w:rsidRPr="0062034A" w14:paraId="4B62C841" w14:textId="77777777" w:rsidTr="0028077E">
        <w:trPr>
          <w:trHeight w:val="900"/>
        </w:trPr>
        <w:tc>
          <w:tcPr>
            <w:tcW w:w="4693" w:type="dxa"/>
            <w:tcBorders>
              <w:top w:val="nil"/>
              <w:left w:val="single" w:sz="4" w:space="0" w:color="auto"/>
              <w:bottom w:val="single" w:sz="4" w:space="0" w:color="auto"/>
              <w:right w:val="single" w:sz="4" w:space="0" w:color="auto"/>
            </w:tcBorders>
            <w:shd w:val="clear" w:color="auto" w:fill="auto"/>
            <w:vAlign w:val="center"/>
            <w:hideMark/>
          </w:tcPr>
          <w:p w14:paraId="77061319" w14:textId="3CE27D65" w:rsidR="000775D9" w:rsidRPr="0062034A" w:rsidRDefault="000775D9" w:rsidP="00EC7659">
            <w:pPr>
              <w:pStyle w:val="TableRow"/>
              <w:rPr>
                <w:rFonts w:cs="Arial"/>
              </w:rPr>
            </w:pPr>
            <w:r w:rsidRPr="0062034A">
              <w:rPr>
                <w:rFonts w:cs="Arial"/>
              </w:rPr>
              <w:t>2.0.7 Premature retirement cost</w:t>
            </w:r>
            <w:r w:rsidR="009A3901">
              <w:rPr>
                <w:rFonts w:cs="Arial"/>
              </w:rPr>
              <w:t>s / r</w:t>
            </w:r>
            <w:r w:rsidRPr="0062034A">
              <w:rPr>
                <w:rFonts w:cs="Arial"/>
              </w:rPr>
              <w:t>edundancy costs (new provisions)</w:t>
            </w:r>
          </w:p>
        </w:tc>
        <w:tc>
          <w:tcPr>
            <w:tcW w:w="2348" w:type="dxa"/>
            <w:tcBorders>
              <w:top w:val="nil"/>
              <w:left w:val="nil"/>
              <w:bottom w:val="single" w:sz="4" w:space="0" w:color="auto"/>
              <w:right w:val="single" w:sz="4" w:space="0" w:color="auto"/>
            </w:tcBorders>
            <w:shd w:val="clear" w:color="auto" w:fill="auto"/>
            <w:noWrap/>
            <w:vAlign w:val="center"/>
            <w:hideMark/>
          </w:tcPr>
          <w:p w14:paraId="3F178CE2" w14:textId="77777777" w:rsidR="000775D9" w:rsidRPr="0062034A" w:rsidRDefault="000775D9" w:rsidP="0028077E">
            <w:pPr>
              <w:pStyle w:val="TableRow"/>
              <w:tabs>
                <w:tab w:val="decimal" w:pos="1310"/>
              </w:tabs>
              <w:rPr>
                <w:rFonts w:cs="Arial"/>
              </w:rPr>
            </w:pPr>
            <w:r w:rsidRPr="0062034A">
              <w:rPr>
                <w:rFonts w:cs="Arial"/>
              </w:rPr>
              <w:t>£1.00</w:t>
            </w:r>
          </w:p>
        </w:tc>
        <w:tc>
          <w:tcPr>
            <w:tcW w:w="2349" w:type="dxa"/>
            <w:tcBorders>
              <w:top w:val="nil"/>
              <w:left w:val="nil"/>
              <w:bottom w:val="single" w:sz="4" w:space="0" w:color="auto"/>
              <w:right w:val="single" w:sz="4" w:space="0" w:color="auto"/>
            </w:tcBorders>
            <w:shd w:val="clear" w:color="auto" w:fill="auto"/>
            <w:vAlign w:val="center"/>
            <w:hideMark/>
          </w:tcPr>
          <w:p w14:paraId="05849C09" w14:textId="77777777" w:rsidR="000775D9" w:rsidRPr="0062034A" w:rsidRDefault="000775D9" w:rsidP="0028077E">
            <w:pPr>
              <w:pStyle w:val="TableRow"/>
              <w:jc w:val="both"/>
              <w:rPr>
                <w:rFonts w:cs="Arial"/>
              </w:rPr>
            </w:pPr>
            <w:r w:rsidRPr="0062034A">
              <w:rPr>
                <w:rFonts w:cs="Arial"/>
              </w:rPr>
              <w:t xml:space="preserve">54th percentile </w:t>
            </w:r>
            <w:r w:rsidRPr="0062034A">
              <w:rPr>
                <w:rFonts w:cs="Arial"/>
              </w:rPr>
              <w:br/>
              <w:t>(82 LAs planned to spend at or below)</w:t>
            </w:r>
          </w:p>
        </w:tc>
      </w:tr>
      <w:tr w:rsidR="000775D9" w:rsidRPr="0062034A" w14:paraId="1FB02104" w14:textId="77777777" w:rsidTr="0028077E">
        <w:trPr>
          <w:trHeight w:val="900"/>
        </w:trPr>
        <w:tc>
          <w:tcPr>
            <w:tcW w:w="4693" w:type="dxa"/>
            <w:tcBorders>
              <w:top w:val="nil"/>
              <w:left w:val="single" w:sz="4" w:space="0" w:color="auto"/>
              <w:bottom w:val="single" w:sz="4" w:space="0" w:color="auto"/>
              <w:right w:val="single" w:sz="4" w:space="0" w:color="auto"/>
            </w:tcBorders>
            <w:shd w:val="clear" w:color="auto" w:fill="auto"/>
            <w:vAlign w:val="center"/>
            <w:hideMark/>
          </w:tcPr>
          <w:p w14:paraId="27A94E4A" w14:textId="77777777" w:rsidR="000775D9" w:rsidRPr="0062034A" w:rsidRDefault="000775D9" w:rsidP="00EC7659">
            <w:pPr>
              <w:pStyle w:val="TableRow"/>
              <w:rPr>
                <w:rFonts w:cs="Arial"/>
              </w:rPr>
            </w:pPr>
            <w:r w:rsidRPr="0062034A">
              <w:rPr>
                <w:rFonts w:cs="Arial"/>
              </w:rPr>
              <w:t>2.0.8 Monitoring national curriculum assessment</w:t>
            </w:r>
          </w:p>
        </w:tc>
        <w:tc>
          <w:tcPr>
            <w:tcW w:w="2348" w:type="dxa"/>
            <w:tcBorders>
              <w:top w:val="nil"/>
              <w:left w:val="nil"/>
              <w:bottom w:val="single" w:sz="4" w:space="0" w:color="auto"/>
              <w:right w:val="single" w:sz="4" w:space="0" w:color="auto"/>
            </w:tcBorders>
            <w:shd w:val="clear" w:color="auto" w:fill="auto"/>
            <w:noWrap/>
            <w:vAlign w:val="center"/>
            <w:hideMark/>
          </w:tcPr>
          <w:p w14:paraId="252D3D35" w14:textId="77777777" w:rsidR="000775D9" w:rsidRPr="0062034A" w:rsidRDefault="000775D9" w:rsidP="0028077E">
            <w:pPr>
              <w:pStyle w:val="TableRow"/>
              <w:tabs>
                <w:tab w:val="decimal" w:pos="1310"/>
              </w:tabs>
              <w:rPr>
                <w:rFonts w:cs="Arial"/>
              </w:rPr>
            </w:pPr>
            <w:r w:rsidRPr="0062034A">
              <w:rPr>
                <w:rFonts w:cs="Arial"/>
              </w:rPr>
              <w:t>£0.50</w:t>
            </w:r>
          </w:p>
        </w:tc>
        <w:tc>
          <w:tcPr>
            <w:tcW w:w="2349" w:type="dxa"/>
            <w:tcBorders>
              <w:top w:val="nil"/>
              <w:left w:val="nil"/>
              <w:bottom w:val="single" w:sz="4" w:space="0" w:color="auto"/>
              <w:right w:val="single" w:sz="4" w:space="0" w:color="auto"/>
            </w:tcBorders>
            <w:shd w:val="clear" w:color="auto" w:fill="auto"/>
            <w:vAlign w:val="center"/>
            <w:hideMark/>
          </w:tcPr>
          <w:p w14:paraId="5391E94D" w14:textId="77777777" w:rsidR="000775D9" w:rsidRPr="0062034A" w:rsidRDefault="000775D9" w:rsidP="0028077E">
            <w:pPr>
              <w:pStyle w:val="TableRow"/>
              <w:jc w:val="both"/>
              <w:rPr>
                <w:rFonts w:cs="Arial"/>
              </w:rPr>
            </w:pPr>
            <w:r w:rsidRPr="0062034A">
              <w:rPr>
                <w:rFonts w:cs="Arial"/>
              </w:rPr>
              <w:t xml:space="preserve">67th percentile </w:t>
            </w:r>
            <w:r w:rsidRPr="0062034A">
              <w:rPr>
                <w:rFonts w:cs="Arial"/>
              </w:rPr>
              <w:br/>
              <w:t>(100 LAs planned to spend at or below)</w:t>
            </w:r>
          </w:p>
        </w:tc>
      </w:tr>
      <w:tr w:rsidR="000775D9" w:rsidRPr="0062034A" w14:paraId="3186ECC6" w14:textId="77777777" w:rsidTr="0028077E">
        <w:trPr>
          <w:trHeight w:val="900"/>
        </w:trPr>
        <w:tc>
          <w:tcPr>
            <w:tcW w:w="4693" w:type="dxa"/>
            <w:tcBorders>
              <w:top w:val="nil"/>
              <w:left w:val="single" w:sz="4" w:space="0" w:color="auto"/>
              <w:bottom w:val="single" w:sz="4" w:space="0" w:color="auto"/>
              <w:right w:val="single" w:sz="4" w:space="0" w:color="auto"/>
            </w:tcBorders>
            <w:shd w:val="clear" w:color="auto" w:fill="auto"/>
            <w:vAlign w:val="center"/>
          </w:tcPr>
          <w:p w14:paraId="42EF5B76" w14:textId="0C4D20FA" w:rsidR="000775D9" w:rsidRPr="0062034A" w:rsidRDefault="000775D9" w:rsidP="00EC7659">
            <w:pPr>
              <w:pStyle w:val="TableRow"/>
              <w:rPr>
                <w:rFonts w:cs="Arial"/>
              </w:rPr>
            </w:pPr>
            <w:r w:rsidRPr="0062034A">
              <w:rPr>
                <w:rFonts w:cs="Arial"/>
              </w:rPr>
              <w:t>2</w:t>
            </w:r>
            <w:r w:rsidR="009A3901">
              <w:rPr>
                <w:rFonts w:cs="Arial"/>
              </w:rPr>
              <w:t>.0.1 Therapies and other health-</w:t>
            </w:r>
            <w:r w:rsidRPr="0062034A">
              <w:rPr>
                <w:rFonts w:cs="Arial"/>
              </w:rPr>
              <w:t>related services</w:t>
            </w:r>
          </w:p>
        </w:tc>
        <w:tc>
          <w:tcPr>
            <w:tcW w:w="2348" w:type="dxa"/>
            <w:tcBorders>
              <w:top w:val="nil"/>
              <w:left w:val="nil"/>
              <w:bottom w:val="single" w:sz="4" w:space="0" w:color="auto"/>
              <w:right w:val="single" w:sz="4" w:space="0" w:color="auto"/>
            </w:tcBorders>
            <w:shd w:val="clear" w:color="auto" w:fill="auto"/>
            <w:noWrap/>
            <w:vAlign w:val="center"/>
          </w:tcPr>
          <w:p w14:paraId="7394A2DE" w14:textId="77777777" w:rsidR="000775D9" w:rsidRPr="0062034A" w:rsidRDefault="000775D9" w:rsidP="0028077E">
            <w:pPr>
              <w:pStyle w:val="TableRow"/>
              <w:tabs>
                <w:tab w:val="decimal" w:pos="1310"/>
              </w:tabs>
              <w:rPr>
                <w:rFonts w:cs="Arial"/>
              </w:rPr>
            </w:pPr>
            <w:r w:rsidRPr="0062034A">
              <w:rPr>
                <w:rFonts w:cs="Arial"/>
              </w:rPr>
              <w:t>£0.50</w:t>
            </w:r>
          </w:p>
        </w:tc>
        <w:tc>
          <w:tcPr>
            <w:tcW w:w="2349" w:type="dxa"/>
            <w:tcBorders>
              <w:top w:val="nil"/>
              <w:left w:val="nil"/>
              <w:bottom w:val="single" w:sz="4" w:space="0" w:color="auto"/>
              <w:right w:val="single" w:sz="4" w:space="0" w:color="auto"/>
            </w:tcBorders>
            <w:shd w:val="clear" w:color="auto" w:fill="auto"/>
            <w:vAlign w:val="center"/>
          </w:tcPr>
          <w:p w14:paraId="28391928" w14:textId="77777777" w:rsidR="000775D9" w:rsidRPr="0062034A" w:rsidRDefault="000775D9" w:rsidP="0028077E">
            <w:pPr>
              <w:pStyle w:val="TableRow"/>
              <w:jc w:val="both"/>
              <w:rPr>
                <w:rFonts w:cs="Arial"/>
              </w:rPr>
            </w:pPr>
            <w:r w:rsidRPr="0062034A">
              <w:rPr>
                <w:rFonts w:cs="Arial"/>
              </w:rPr>
              <w:t xml:space="preserve">64th percentile </w:t>
            </w:r>
            <w:r w:rsidRPr="0062034A">
              <w:rPr>
                <w:rFonts w:cs="Arial"/>
              </w:rPr>
              <w:br/>
              <w:t>(96 LAs planned to spend at or below)</w:t>
            </w:r>
          </w:p>
        </w:tc>
      </w:tr>
      <w:tr w:rsidR="000775D9" w:rsidRPr="0062034A" w14:paraId="6756974D" w14:textId="77777777" w:rsidTr="0028077E">
        <w:trPr>
          <w:trHeight w:val="428"/>
        </w:trPr>
        <w:tc>
          <w:tcPr>
            <w:tcW w:w="4693" w:type="dxa"/>
            <w:tcBorders>
              <w:top w:val="nil"/>
              <w:left w:val="single" w:sz="4" w:space="0" w:color="auto"/>
              <w:bottom w:val="single" w:sz="4" w:space="0" w:color="auto"/>
              <w:right w:val="single" w:sz="4" w:space="0" w:color="auto"/>
            </w:tcBorders>
            <w:shd w:val="clear" w:color="auto" w:fill="auto"/>
            <w:vAlign w:val="center"/>
          </w:tcPr>
          <w:p w14:paraId="20362838" w14:textId="77777777" w:rsidR="000775D9" w:rsidRPr="0062034A" w:rsidRDefault="000775D9" w:rsidP="00EC7659">
            <w:pPr>
              <w:pStyle w:val="TableRow"/>
              <w:rPr>
                <w:rFonts w:cs="Arial"/>
              </w:rPr>
            </w:pPr>
            <w:r w:rsidRPr="0062034A">
              <w:rPr>
                <w:rFonts w:cs="Arial"/>
              </w:rPr>
              <w:t>2.0.2 Central support services</w:t>
            </w:r>
          </w:p>
        </w:tc>
        <w:tc>
          <w:tcPr>
            <w:tcW w:w="2348" w:type="dxa"/>
            <w:tcBorders>
              <w:top w:val="nil"/>
              <w:left w:val="nil"/>
              <w:bottom w:val="single" w:sz="4" w:space="0" w:color="auto"/>
              <w:right w:val="single" w:sz="4" w:space="0" w:color="auto"/>
            </w:tcBorders>
            <w:shd w:val="clear" w:color="auto" w:fill="auto"/>
            <w:noWrap/>
            <w:vAlign w:val="center"/>
          </w:tcPr>
          <w:p w14:paraId="58B1C056" w14:textId="77777777" w:rsidR="000775D9" w:rsidRPr="0062034A" w:rsidRDefault="000775D9" w:rsidP="0028077E">
            <w:pPr>
              <w:pStyle w:val="TableRow"/>
              <w:tabs>
                <w:tab w:val="decimal" w:pos="1310"/>
              </w:tabs>
              <w:rPr>
                <w:rFonts w:cs="Arial"/>
              </w:rPr>
            </w:pPr>
            <w:r w:rsidRPr="0062034A">
              <w:rPr>
                <w:rFonts w:cs="Arial"/>
              </w:rPr>
              <w:t>£1.30</w:t>
            </w:r>
          </w:p>
        </w:tc>
        <w:tc>
          <w:tcPr>
            <w:tcW w:w="2349" w:type="dxa"/>
            <w:tcBorders>
              <w:top w:val="nil"/>
              <w:left w:val="nil"/>
              <w:bottom w:val="single" w:sz="4" w:space="0" w:color="auto"/>
              <w:right w:val="single" w:sz="4" w:space="0" w:color="auto"/>
            </w:tcBorders>
            <w:shd w:val="clear" w:color="auto" w:fill="auto"/>
            <w:vAlign w:val="center"/>
          </w:tcPr>
          <w:p w14:paraId="362C94D6" w14:textId="77777777" w:rsidR="000775D9" w:rsidRPr="0062034A" w:rsidRDefault="000775D9" w:rsidP="0028077E">
            <w:pPr>
              <w:pStyle w:val="TableRow"/>
              <w:jc w:val="both"/>
              <w:rPr>
                <w:rFonts w:cs="Arial"/>
              </w:rPr>
            </w:pPr>
            <w:r w:rsidRPr="0062034A">
              <w:rPr>
                <w:rFonts w:cs="Arial"/>
              </w:rPr>
              <w:t xml:space="preserve">30th percentile </w:t>
            </w:r>
            <w:r w:rsidRPr="0062034A">
              <w:rPr>
                <w:rFonts w:cs="Arial"/>
              </w:rPr>
              <w:br/>
              <w:t>(45 LAs planned to spend at or below)</w:t>
            </w:r>
          </w:p>
        </w:tc>
      </w:tr>
      <w:tr w:rsidR="000775D9" w:rsidRPr="0062034A" w14:paraId="3050E6A9" w14:textId="77777777" w:rsidTr="0028077E">
        <w:trPr>
          <w:trHeight w:val="900"/>
        </w:trPr>
        <w:tc>
          <w:tcPr>
            <w:tcW w:w="4693" w:type="dxa"/>
            <w:tcBorders>
              <w:top w:val="nil"/>
              <w:left w:val="single" w:sz="4" w:space="0" w:color="auto"/>
              <w:bottom w:val="single" w:sz="4" w:space="0" w:color="auto"/>
              <w:right w:val="single" w:sz="4" w:space="0" w:color="auto"/>
            </w:tcBorders>
            <w:shd w:val="clear" w:color="auto" w:fill="auto"/>
            <w:vAlign w:val="center"/>
            <w:hideMark/>
          </w:tcPr>
          <w:p w14:paraId="7FF762B3" w14:textId="49E35F91" w:rsidR="000775D9" w:rsidRPr="0062034A" w:rsidRDefault="000775D9" w:rsidP="00D62879">
            <w:pPr>
              <w:pStyle w:val="TableRow"/>
              <w:rPr>
                <w:rFonts w:cs="Arial"/>
                <w:b/>
              </w:rPr>
            </w:pPr>
            <w:r w:rsidRPr="0062034A">
              <w:rPr>
                <w:rFonts w:cs="Arial"/>
                <w:b/>
              </w:rPr>
              <w:t xml:space="preserve">Total spend on ESG </w:t>
            </w:r>
            <w:r w:rsidR="00D62879">
              <w:rPr>
                <w:rFonts w:cs="Arial"/>
                <w:b/>
              </w:rPr>
              <w:t>services for maintained school pupils</w:t>
            </w:r>
            <w:r w:rsidRPr="0062034A">
              <w:rPr>
                <w:rFonts w:cs="Arial"/>
                <w:b/>
              </w:rPr>
              <w:t xml:space="preserve"> only</w:t>
            </w:r>
          </w:p>
        </w:tc>
        <w:tc>
          <w:tcPr>
            <w:tcW w:w="2348" w:type="dxa"/>
            <w:tcBorders>
              <w:top w:val="nil"/>
              <w:left w:val="nil"/>
              <w:bottom w:val="single" w:sz="4" w:space="0" w:color="auto"/>
              <w:right w:val="single" w:sz="4" w:space="0" w:color="auto"/>
            </w:tcBorders>
            <w:shd w:val="clear" w:color="auto" w:fill="auto"/>
            <w:noWrap/>
            <w:vAlign w:val="center"/>
            <w:hideMark/>
          </w:tcPr>
          <w:p w14:paraId="50926549" w14:textId="77777777" w:rsidR="000775D9" w:rsidRPr="0062034A" w:rsidRDefault="000775D9" w:rsidP="0028077E">
            <w:pPr>
              <w:pStyle w:val="TableRow"/>
              <w:tabs>
                <w:tab w:val="decimal" w:pos="1310"/>
              </w:tabs>
              <w:rPr>
                <w:rFonts w:cs="Arial"/>
                <w:b/>
              </w:rPr>
            </w:pPr>
            <w:r w:rsidRPr="0062034A">
              <w:rPr>
                <w:rFonts w:cs="Arial"/>
                <w:b/>
              </w:rPr>
              <w:t>£87.00</w:t>
            </w:r>
          </w:p>
        </w:tc>
        <w:tc>
          <w:tcPr>
            <w:tcW w:w="2349" w:type="dxa"/>
            <w:tcBorders>
              <w:top w:val="nil"/>
              <w:left w:val="nil"/>
              <w:bottom w:val="single" w:sz="4" w:space="0" w:color="auto"/>
              <w:right w:val="single" w:sz="4" w:space="0" w:color="auto"/>
            </w:tcBorders>
            <w:shd w:val="clear" w:color="auto" w:fill="auto"/>
            <w:vAlign w:val="center"/>
            <w:hideMark/>
          </w:tcPr>
          <w:p w14:paraId="1B448FE4" w14:textId="77777777" w:rsidR="000775D9" w:rsidRPr="0062034A" w:rsidRDefault="000775D9" w:rsidP="0028077E">
            <w:pPr>
              <w:pStyle w:val="TableRow"/>
              <w:jc w:val="both"/>
              <w:rPr>
                <w:rFonts w:cs="Arial"/>
                <w:b/>
              </w:rPr>
            </w:pPr>
            <w:r w:rsidRPr="0062034A">
              <w:rPr>
                <w:rFonts w:cs="Arial"/>
                <w:b/>
              </w:rPr>
              <w:t>48 LAs planned to spend at or below this level</w:t>
            </w:r>
          </w:p>
        </w:tc>
      </w:tr>
    </w:tbl>
    <w:p w14:paraId="1FD967A8" w14:textId="48EA0E20" w:rsidR="000775D9" w:rsidRPr="00D62879" w:rsidRDefault="00EC7659" w:rsidP="00D62879">
      <w:pPr>
        <w:pStyle w:val="Caption"/>
      </w:pPr>
      <w:r w:rsidRPr="00D62879">
        <w:t>Table 2 –</w:t>
      </w:r>
      <w:r w:rsidR="00C86FF7">
        <w:t xml:space="preserve"> </w:t>
      </w:r>
      <w:r w:rsidR="000775D9" w:rsidRPr="00D62879">
        <w:t>potential spend based on median spending patterns (general funding rate)</w:t>
      </w:r>
    </w:p>
    <w:p w14:paraId="5873DD50" w14:textId="77777777" w:rsidR="009855A6" w:rsidRDefault="009855A6">
      <w:pPr>
        <w:spacing w:after="0" w:line="240" w:lineRule="auto"/>
        <w:rPr>
          <w:rFonts w:cs="Arial"/>
        </w:rPr>
      </w:pPr>
      <w:r>
        <w:rPr>
          <w:rFonts w:cs="Arial"/>
        </w:rPr>
        <w:br w:type="page"/>
      </w:r>
    </w:p>
    <w:p w14:paraId="438EAB55" w14:textId="662299D1" w:rsidR="00553E9B" w:rsidRPr="0062034A" w:rsidRDefault="00553E9B" w:rsidP="002615FE">
      <w:pPr>
        <w:pStyle w:val="ListParagraph"/>
        <w:numPr>
          <w:ilvl w:val="0"/>
          <w:numId w:val="0"/>
        </w:numPr>
        <w:rPr>
          <w:rFonts w:cs="Arial"/>
        </w:rPr>
      </w:pPr>
      <w:r w:rsidRPr="0062034A">
        <w:rPr>
          <w:rFonts w:cs="Arial"/>
        </w:rPr>
        <w:t xml:space="preserve">This is absolutely </w:t>
      </w:r>
      <w:r w:rsidRPr="00D62879">
        <w:rPr>
          <w:rFonts w:cs="Arial"/>
          <w:u w:val="single"/>
        </w:rPr>
        <w:t>not</w:t>
      </w:r>
      <w:r w:rsidRPr="0062034A">
        <w:rPr>
          <w:rFonts w:cs="Arial"/>
        </w:rPr>
        <w:t xml:space="preserve"> intended as an instruction of how local authorities ought to spend their ESG. It simply illustrates how a local authority might provide the services for which ESG is intended without spending less than the current median for any service, with the exception of central support services where there are no statutory duties.</w:t>
      </w:r>
    </w:p>
    <w:p w14:paraId="42858BEA" w14:textId="27B40DC7" w:rsidR="000775D9" w:rsidRDefault="00553E9B" w:rsidP="000775D9">
      <w:pPr>
        <w:pStyle w:val="ListParagraph"/>
        <w:numPr>
          <w:ilvl w:val="0"/>
          <w:numId w:val="0"/>
        </w:numPr>
        <w:rPr>
          <w:rFonts w:cs="Arial"/>
        </w:rPr>
      </w:pPr>
      <w:r w:rsidRPr="0062034A">
        <w:rPr>
          <w:rFonts w:cs="Arial"/>
        </w:rPr>
        <w:t>Our second illustration</w:t>
      </w:r>
      <w:r w:rsidR="005115F2">
        <w:rPr>
          <w:rFonts w:cs="Arial"/>
        </w:rPr>
        <w:t xml:space="preserve"> (Table 3)</w:t>
      </w:r>
      <w:r w:rsidRPr="0062034A">
        <w:rPr>
          <w:rFonts w:cs="Arial"/>
        </w:rPr>
        <w:t xml:space="preserve"> shows a pattern of spending which, if followed by all local authorities, would mean that the total national spend on each spending line would fall by 23% from 2013-14 levels. We are absolutely not suggesting that any local authority ought to follow this pattern of spending. Again, this is simply an illustration.</w:t>
      </w:r>
    </w:p>
    <w:p w14:paraId="7AB82A0A" w14:textId="4D1D81F0" w:rsidR="00FE1D0D" w:rsidRDefault="00FE1D0D">
      <w:pPr>
        <w:spacing w:after="0" w:line="240" w:lineRule="auto"/>
        <w:rPr>
          <w:rFonts w:cs="Arial"/>
        </w:rPr>
      </w:pPr>
      <w:r>
        <w:rPr>
          <w:rFonts w:cs="Arial"/>
        </w:rPr>
        <w:br w:type="page"/>
      </w:r>
    </w:p>
    <w:tbl>
      <w:tblPr>
        <w:tblW w:w="9395" w:type="dxa"/>
        <w:jc w:val="center"/>
        <w:tblLayout w:type="fixed"/>
        <w:tblLook w:val="04A0" w:firstRow="1" w:lastRow="0" w:firstColumn="1" w:lastColumn="0" w:noHBand="0" w:noVBand="1"/>
      </w:tblPr>
      <w:tblGrid>
        <w:gridCol w:w="4060"/>
        <w:gridCol w:w="2410"/>
        <w:gridCol w:w="2925"/>
      </w:tblGrid>
      <w:tr w:rsidR="0062034A" w:rsidRPr="0062034A" w14:paraId="58A084F8" w14:textId="77777777" w:rsidTr="0028077E">
        <w:trPr>
          <w:trHeight w:val="569"/>
          <w:jc w:val="center"/>
        </w:trPr>
        <w:tc>
          <w:tcPr>
            <w:tcW w:w="9395"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71B57042" w14:textId="26590699" w:rsidR="0062034A" w:rsidRPr="0062034A" w:rsidRDefault="0062034A" w:rsidP="0028077E">
            <w:pPr>
              <w:pStyle w:val="TableHeader"/>
              <w:jc w:val="center"/>
              <w:rPr>
                <w:rFonts w:cs="Arial"/>
              </w:rPr>
            </w:pPr>
            <w:r w:rsidRPr="000775D9">
              <w:t>Planned spend on ESG services for pupils in maintained schools only</w:t>
            </w:r>
          </w:p>
        </w:tc>
      </w:tr>
      <w:tr w:rsidR="0062034A" w:rsidRPr="0062034A" w14:paraId="4241026C" w14:textId="77777777" w:rsidTr="009855A6">
        <w:trPr>
          <w:trHeight w:val="300"/>
          <w:jc w:val="center"/>
        </w:trPr>
        <w:tc>
          <w:tcPr>
            <w:tcW w:w="4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9F4A3" w14:textId="252F0AF6" w:rsidR="0062034A" w:rsidRPr="0062034A" w:rsidRDefault="0062034A" w:rsidP="009A3901">
            <w:pPr>
              <w:pStyle w:val="TableHeader"/>
              <w:rPr>
                <w:rFonts w:cs="Arial"/>
              </w:rPr>
            </w:pPr>
            <w:r w:rsidRPr="0062034A">
              <w:rPr>
                <w:rFonts w:cs="Arial"/>
              </w:rPr>
              <w:t>S</w:t>
            </w:r>
            <w:r w:rsidR="009A3901">
              <w:rPr>
                <w:rFonts w:cs="Arial"/>
              </w:rPr>
              <w:t>ection 251 b</w:t>
            </w:r>
            <w:r w:rsidRPr="0062034A">
              <w:rPr>
                <w:rFonts w:cs="Arial"/>
              </w:rPr>
              <w:t xml:space="preserve">udget </w:t>
            </w:r>
            <w:r w:rsidR="009A3901">
              <w:rPr>
                <w:rFonts w:cs="Arial"/>
              </w:rPr>
              <w:t>l</w:t>
            </w:r>
            <w:r w:rsidRPr="0062034A">
              <w:rPr>
                <w:rFonts w:cs="Arial"/>
              </w:rPr>
              <w:t>ine</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7BCAE32F" w14:textId="046A5B34" w:rsidR="0062034A" w:rsidRPr="0062034A" w:rsidRDefault="0062034A" w:rsidP="0062034A">
            <w:pPr>
              <w:pStyle w:val="TableHeader"/>
              <w:rPr>
                <w:rFonts w:cs="Arial"/>
              </w:rPr>
            </w:pPr>
            <w:r w:rsidRPr="0062034A">
              <w:rPr>
                <w:rFonts w:cs="Arial"/>
              </w:rPr>
              <w:t xml:space="preserve">Possible expenditure </w:t>
            </w:r>
            <w:r w:rsidR="000775D9">
              <w:rPr>
                <w:rFonts w:cs="Arial"/>
              </w:rPr>
              <w:t>(p</w:t>
            </w:r>
            <w:r w:rsidRPr="0062034A">
              <w:rPr>
                <w:rFonts w:cs="Arial"/>
              </w:rPr>
              <w:t>er maintained school pupil)</w:t>
            </w:r>
            <w:r w:rsidRPr="0062034A">
              <w:rPr>
                <w:rFonts w:cs="Arial"/>
                <w:vertAlign w:val="superscript"/>
              </w:rPr>
              <w:t>5</w:t>
            </w:r>
          </w:p>
        </w:tc>
        <w:tc>
          <w:tcPr>
            <w:tcW w:w="2925" w:type="dxa"/>
            <w:tcBorders>
              <w:top w:val="single" w:sz="4" w:space="0" w:color="auto"/>
              <w:left w:val="nil"/>
              <w:bottom w:val="single" w:sz="4" w:space="0" w:color="auto"/>
              <w:right w:val="single" w:sz="4" w:space="0" w:color="auto"/>
            </w:tcBorders>
            <w:shd w:val="clear" w:color="auto" w:fill="auto"/>
            <w:noWrap/>
            <w:vAlign w:val="center"/>
          </w:tcPr>
          <w:p w14:paraId="317A7757" w14:textId="77777777" w:rsidR="0062034A" w:rsidRPr="0062034A" w:rsidRDefault="0062034A" w:rsidP="0062034A">
            <w:pPr>
              <w:pStyle w:val="TableHeader"/>
              <w:rPr>
                <w:rFonts w:cs="Arial"/>
              </w:rPr>
            </w:pPr>
            <w:r w:rsidRPr="0062034A">
              <w:rPr>
                <w:rFonts w:cs="Arial"/>
              </w:rPr>
              <w:t>Percentile of 2013-14 LA Spending</w:t>
            </w:r>
          </w:p>
        </w:tc>
      </w:tr>
      <w:tr w:rsidR="0062034A" w:rsidRPr="0062034A" w14:paraId="730363C3" w14:textId="77777777" w:rsidTr="009855A6">
        <w:trPr>
          <w:trHeight w:val="300"/>
          <w:jc w:val="center"/>
        </w:trPr>
        <w:tc>
          <w:tcPr>
            <w:tcW w:w="4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06BD74" w14:textId="18C435D8" w:rsidR="0062034A" w:rsidRPr="0062034A" w:rsidRDefault="0062034A" w:rsidP="0062034A">
            <w:pPr>
              <w:pStyle w:val="TableRow"/>
              <w:rPr>
                <w:rFonts w:cs="Arial"/>
              </w:rPr>
            </w:pPr>
            <w:r w:rsidRPr="0062034A">
              <w:rPr>
                <w:rFonts w:cs="Arial"/>
              </w:rPr>
              <w:t>2.0.3 Education welfare service</w:t>
            </w:r>
            <w:r w:rsidR="009A3901">
              <w:rPr>
                <w:rFonts w:cs="Arial"/>
              </w:rPr>
              <w:t>s</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449EEB46" w14:textId="77777777" w:rsidR="0062034A" w:rsidRPr="0062034A" w:rsidRDefault="0062034A" w:rsidP="0028077E">
            <w:pPr>
              <w:pStyle w:val="TableRow"/>
              <w:tabs>
                <w:tab w:val="decimal" w:pos="1451"/>
              </w:tabs>
              <w:rPr>
                <w:rFonts w:cs="Arial"/>
              </w:rPr>
            </w:pPr>
            <w:r w:rsidRPr="0062034A">
              <w:rPr>
                <w:rFonts w:cs="Arial"/>
              </w:rPr>
              <w:t>£8.65</w:t>
            </w:r>
          </w:p>
        </w:tc>
        <w:tc>
          <w:tcPr>
            <w:tcW w:w="2925" w:type="dxa"/>
            <w:tcBorders>
              <w:top w:val="single" w:sz="4" w:space="0" w:color="auto"/>
              <w:left w:val="nil"/>
              <w:bottom w:val="single" w:sz="4" w:space="0" w:color="auto"/>
              <w:right w:val="single" w:sz="4" w:space="0" w:color="auto"/>
            </w:tcBorders>
            <w:shd w:val="clear" w:color="auto" w:fill="auto"/>
            <w:noWrap/>
            <w:vAlign w:val="center"/>
          </w:tcPr>
          <w:p w14:paraId="1FB4B7FF" w14:textId="77777777" w:rsidR="0062034A" w:rsidRPr="0062034A" w:rsidRDefault="0062034A" w:rsidP="0062034A">
            <w:pPr>
              <w:pStyle w:val="TableRow"/>
              <w:rPr>
                <w:rFonts w:cs="Arial"/>
              </w:rPr>
            </w:pPr>
            <w:r w:rsidRPr="0062034A">
              <w:rPr>
                <w:rFonts w:cs="Arial"/>
              </w:rPr>
              <w:t>29th percentile</w:t>
            </w:r>
            <w:r w:rsidRPr="0062034A">
              <w:rPr>
                <w:rFonts w:cs="Arial"/>
              </w:rPr>
              <w:br/>
              <w:t>(44 LAs planned to spend at or below)</w:t>
            </w:r>
          </w:p>
        </w:tc>
      </w:tr>
      <w:tr w:rsidR="0062034A" w:rsidRPr="0062034A" w14:paraId="569961BB" w14:textId="77777777" w:rsidTr="009855A6">
        <w:trPr>
          <w:trHeight w:val="300"/>
          <w:jc w:val="center"/>
        </w:trPr>
        <w:tc>
          <w:tcPr>
            <w:tcW w:w="4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71D88" w14:textId="77777777" w:rsidR="0062034A" w:rsidRPr="0062034A" w:rsidRDefault="0062034A" w:rsidP="0062034A">
            <w:pPr>
              <w:pStyle w:val="TableRow"/>
              <w:rPr>
                <w:rFonts w:cs="Arial"/>
              </w:rPr>
            </w:pPr>
            <w:r w:rsidRPr="0062034A">
              <w:rPr>
                <w:rFonts w:cs="Arial"/>
              </w:rPr>
              <w:t>2.0.4 School improvement</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65D4E79C" w14:textId="77777777" w:rsidR="0062034A" w:rsidRPr="0062034A" w:rsidRDefault="0062034A" w:rsidP="0028077E">
            <w:pPr>
              <w:pStyle w:val="TableRow"/>
              <w:tabs>
                <w:tab w:val="decimal" w:pos="1451"/>
              </w:tabs>
              <w:rPr>
                <w:rFonts w:cs="Arial"/>
              </w:rPr>
            </w:pPr>
            <w:r w:rsidRPr="0062034A">
              <w:rPr>
                <w:rFonts w:cs="Arial"/>
              </w:rPr>
              <w:t>£27.01</w:t>
            </w:r>
          </w:p>
        </w:tc>
        <w:tc>
          <w:tcPr>
            <w:tcW w:w="2925" w:type="dxa"/>
            <w:tcBorders>
              <w:top w:val="single" w:sz="4" w:space="0" w:color="auto"/>
              <w:left w:val="nil"/>
              <w:bottom w:val="single" w:sz="4" w:space="0" w:color="auto"/>
              <w:right w:val="single" w:sz="4" w:space="0" w:color="auto"/>
            </w:tcBorders>
            <w:shd w:val="clear" w:color="auto" w:fill="auto"/>
            <w:noWrap/>
            <w:vAlign w:val="center"/>
          </w:tcPr>
          <w:p w14:paraId="33C63985" w14:textId="77777777" w:rsidR="0062034A" w:rsidRPr="0062034A" w:rsidRDefault="0062034A" w:rsidP="0062034A">
            <w:pPr>
              <w:pStyle w:val="TableRow"/>
              <w:rPr>
                <w:rFonts w:cs="Arial"/>
              </w:rPr>
            </w:pPr>
            <w:r w:rsidRPr="0062034A">
              <w:rPr>
                <w:rFonts w:cs="Arial"/>
              </w:rPr>
              <w:t>45th percentile</w:t>
            </w:r>
            <w:r w:rsidRPr="0062034A">
              <w:rPr>
                <w:rFonts w:cs="Arial"/>
              </w:rPr>
              <w:br/>
              <w:t>(68 LAs planned to spend at or below)</w:t>
            </w:r>
          </w:p>
        </w:tc>
      </w:tr>
      <w:tr w:rsidR="0062034A" w:rsidRPr="0062034A" w14:paraId="140AAB4E" w14:textId="77777777" w:rsidTr="009855A6">
        <w:trPr>
          <w:trHeight w:val="300"/>
          <w:jc w:val="center"/>
        </w:trPr>
        <w:tc>
          <w:tcPr>
            <w:tcW w:w="4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72889" w14:textId="77777777" w:rsidR="0062034A" w:rsidRPr="0062034A" w:rsidRDefault="0062034A" w:rsidP="0062034A">
            <w:pPr>
              <w:pStyle w:val="TableRow"/>
              <w:rPr>
                <w:rFonts w:cs="Arial"/>
              </w:rPr>
            </w:pPr>
            <w:r w:rsidRPr="0062034A">
              <w:rPr>
                <w:rFonts w:cs="Arial"/>
              </w:rPr>
              <w:t>2.0.5 Asset management - education</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25EAF54D" w14:textId="77777777" w:rsidR="0062034A" w:rsidRPr="0062034A" w:rsidRDefault="0062034A" w:rsidP="0028077E">
            <w:pPr>
              <w:pStyle w:val="TableRow"/>
              <w:tabs>
                <w:tab w:val="decimal" w:pos="1451"/>
              </w:tabs>
              <w:rPr>
                <w:rFonts w:cs="Arial"/>
              </w:rPr>
            </w:pPr>
            <w:r w:rsidRPr="0062034A">
              <w:rPr>
                <w:rFonts w:cs="Arial"/>
              </w:rPr>
              <w:t>£7.41</w:t>
            </w:r>
          </w:p>
        </w:tc>
        <w:tc>
          <w:tcPr>
            <w:tcW w:w="2925" w:type="dxa"/>
            <w:tcBorders>
              <w:top w:val="single" w:sz="4" w:space="0" w:color="auto"/>
              <w:left w:val="nil"/>
              <w:bottom w:val="single" w:sz="4" w:space="0" w:color="auto"/>
              <w:right w:val="single" w:sz="4" w:space="0" w:color="auto"/>
            </w:tcBorders>
            <w:shd w:val="clear" w:color="auto" w:fill="auto"/>
            <w:noWrap/>
            <w:vAlign w:val="center"/>
          </w:tcPr>
          <w:p w14:paraId="41D1432B" w14:textId="77777777" w:rsidR="0062034A" w:rsidRPr="0062034A" w:rsidRDefault="0062034A" w:rsidP="0062034A">
            <w:pPr>
              <w:pStyle w:val="TableRow"/>
              <w:rPr>
                <w:rFonts w:cs="Arial"/>
              </w:rPr>
            </w:pPr>
            <w:r w:rsidRPr="0062034A">
              <w:rPr>
                <w:rFonts w:cs="Arial"/>
              </w:rPr>
              <w:t xml:space="preserve">58th percentile </w:t>
            </w:r>
            <w:r w:rsidRPr="0062034A">
              <w:rPr>
                <w:rFonts w:cs="Arial"/>
              </w:rPr>
              <w:br/>
              <w:t>(88 LAs planned to spend at or below)</w:t>
            </w:r>
          </w:p>
        </w:tc>
      </w:tr>
      <w:tr w:rsidR="0062034A" w:rsidRPr="0062034A" w14:paraId="6C469072" w14:textId="77777777" w:rsidTr="009855A6">
        <w:trPr>
          <w:trHeight w:val="300"/>
          <w:jc w:val="center"/>
        </w:trPr>
        <w:tc>
          <w:tcPr>
            <w:tcW w:w="4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5A8B47" w14:textId="45C18584" w:rsidR="0062034A" w:rsidRPr="0062034A" w:rsidRDefault="009A3901" w:rsidP="009A3901">
            <w:pPr>
              <w:pStyle w:val="TableRow"/>
              <w:rPr>
                <w:rFonts w:cs="Arial"/>
              </w:rPr>
            </w:pPr>
            <w:r>
              <w:rPr>
                <w:rFonts w:cs="Arial"/>
              </w:rPr>
              <w:t>2.0.6 Statutory and r</w:t>
            </w:r>
            <w:r w:rsidR="0062034A" w:rsidRPr="0062034A">
              <w:rPr>
                <w:rFonts w:cs="Arial"/>
              </w:rPr>
              <w:t>egulatory duties - education</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449E089F" w14:textId="77777777" w:rsidR="0062034A" w:rsidRPr="0062034A" w:rsidRDefault="0062034A" w:rsidP="0028077E">
            <w:pPr>
              <w:pStyle w:val="TableRow"/>
              <w:tabs>
                <w:tab w:val="decimal" w:pos="1451"/>
              </w:tabs>
              <w:rPr>
                <w:rFonts w:cs="Arial"/>
              </w:rPr>
            </w:pPr>
            <w:r w:rsidRPr="0062034A">
              <w:rPr>
                <w:rFonts w:cs="Arial"/>
              </w:rPr>
              <w:t>£28.14</w:t>
            </w:r>
          </w:p>
        </w:tc>
        <w:tc>
          <w:tcPr>
            <w:tcW w:w="2925" w:type="dxa"/>
            <w:tcBorders>
              <w:top w:val="single" w:sz="4" w:space="0" w:color="auto"/>
              <w:left w:val="nil"/>
              <w:bottom w:val="single" w:sz="4" w:space="0" w:color="auto"/>
              <w:right w:val="single" w:sz="4" w:space="0" w:color="auto"/>
            </w:tcBorders>
            <w:shd w:val="clear" w:color="auto" w:fill="auto"/>
            <w:noWrap/>
            <w:vAlign w:val="center"/>
          </w:tcPr>
          <w:p w14:paraId="7DBD8FE7" w14:textId="77777777" w:rsidR="0062034A" w:rsidRPr="0062034A" w:rsidRDefault="0062034A" w:rsidP="0062034A">
            <w:pPr>
              <w:pStyle w:val="TableRow"/>
              <w:rPr>
                <w:rFonts w:cs="Arial"/>
              </w:rPr>
            </w:pPr>
            <w:r w:rsidRPr="0062034A">
              <w:rPr>
                <w:rFonts w:cs="Arial"/>
              </w:rPr>
              <w:t>37th percentile</w:t>
            </w:r>
            <w:r w:rsidRPr="0062034A">
              <w:rPr>
                <w:rFonts w:cs="Arial"/>
              </w:rPr>
              <w:br/>
              <w:t>(56 LAs planned to spend at or below)</w:t>
            </w:r>
          </w:p>
        </w:tc>
      </w:tr>
      <w:tr w:rsidR="0062034A" w:rsidRPr="0062034A" w14:paraId="38531994" w14:textId="77777777" w:rsidTr="009855A6">
        <w:trPr>
          <w:trHeight w:val="300"/>
          <w:jc w:val="center"/>
        </w:trPr>
        <w:tc>
          <w:tcPr>
            <w:tcW w:w="4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204518" w14:textId="79A515AC" w:rsidR="0062034A" w:rsidRPr="0062034A" w:rsidRDefault="0062034A" w:rsidP="0062034A">
            <w:pPr>
              <w:pStyle w:val="TableRow"/>
              <w:rPr>
                <w:rFonts w:cs="Arial"/>
              </w:rPr>
            </w:pPr>
            <w:r w:rsidRPr="0062034A">
              <w:rPr>
                <w:rFonts w:cs="Arial"/>
              </w:rPr>
              <w:t>2.0.7 Premature retirement cost</w:t>
            </w:r>
            <w:r w:rsidR="009A3901">
              <w:rPr>
                <w:rFonts w:cs="Arial"/>
              </w:rPr>
              <w:t>s / r</w:t>
            </w:r>
            <w:r w:rsidRPr="0062034A">
              <w:rPr>
                <w:rFonts w:cs="Arial"/>
              </w:rPr>
              <w:t>edundancy costs (new provisions)</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7307A845" w14:textId="77777777" w:rsidR="0062034A" w:rsidRPr="0062034A" w:rsidRDefault="0062034A" w:rsidP="0028077E">
            <w:pPr>
              <w:pStyle w:val="TableRow"/>
              <w:tabs>
                <w:tab w:val="decimal" w:pos="1451"/>
              </w:tabs>
              <w:rPr>
                <w:rFonts w:cs="Arial"/>
              </w:rPr>
            </w:pPr>
            <w:r w:rsidRPr="0062034A">
              <w:rPr>
                <w:rFonts w:cs="Arial"/>
              </w:rPr>
              <w:t>£5.82</w:t>
            </w:r>
          </w:p>
        </w:tc>
        <w:tc>
          <w:tcPr>
            <w:tcW w:w="2925" w:type="dxa"/>
            <w:tcBorders>
              <w:top w:val="single" w:sz="4" w:space="0" w:color="auto"/>
              <w:left w:val="nil"/>
              <w:bottom w:val="single" w:sz="4" w:space="0" w:color="auto"/>
              <w:right w:val="single" w:sz="4" w:space="0" w:color="auto"/>
            </w:tcBorders>
            <w:shd w:val="clear" w:color="auto" w:fill="auto"/>
            <w:noWrap/>
            <w:vAlign w:val="center"/>
          </w:tcPr>
          <w:p w14:paraId="07CF5741" w14:textId="77777777" w:rsidR="0062034A" w:rsidRPr="0062034A" w:rsidRDefault="0062034A" w:rsidP="0062034A">
            <w:pPr>
              <w:pStyle w:val="TableRow"/>
              <w:rPr>
                <w:rFonts w:cs="Arial"/>
              </w:rPr>
            </w:pPr>
            <w:r w:rsidRPr="0062034A">
              <w:rPr>
                <w:rFonts w:cs="Arial"/>
              </w:rPr>
              <w:t xml:space="preserve">72nd percentile </w:t>
            </w:r>
            <w:r w:rsidRPr="0062034A">
              <w:rPr>
                <w:rFonts w:cs="Arial"/>
              </w:rPr>
              <w:br/>
              <w:t>(108 LAs planned to spend at or below)</w:t>
            </w:r>
          </w:p>
        </w:tc>
      </w:tr>
      <w:tr w:rsidR="0062034A" w:rsidRPr="0062034A" w14:paraId="6575DCE4" w14:textId="77777777" w:rsidTr="009855A6">
        <w:trPr>
          <w:trHeight w:val="300"/>
          <w:jc w:val="center"/>
        </w:trPr>
        <w:tc>
          <w:tcPr>
            <w:tcW w:w="4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0908BF" w14:textId="77777777" w:rsidR="0062034A" w:rsidRPr="0062034A" w:rsidRDefault="0062034A" w:rsidP="0062034A">
            <w:pPr>
              <w:pStyle w:val="TableRow"/>
              <w:rPr>
                <w:rFonts w:cs="Arial"/>
              </w:rPr>
            </w:pPr>
            <w:r w:rsidRPr="0062034A">
              <w:rPr>
                <w:rFonts w:cs="Arial"/>
              </w:rPr>
              <w:t>2.0.8 Monitoring national curriculum assessment</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60A17A40" w14:textId="77777777" w:rsidR="0062034A" w:rsidRPr="0062034A" w:rsidRDefault="0062034A" w:rsidP="0028077E">
            <w:pPr>
              <w:pStyle w:val="TableRow"/>
              <w:tabs>
                <w:tab w:val="decimal" w:pos="1451"/>
              </w:tabs>
              <w:rPr>
                <w:rFonts w:cs="Arial"/>
              </w:rPr>
            </w:pPr>
            <w:r w:rsidRPr="0062034A">
              <w:rPr>
                <w:rFonts w:cs="Arial"/>
              </w:rPr>
              <w:t>£0.54</w:t>
            </w:r>
          </w:p>
        </w:tc>
        <w:tc>
          <w:tcPr>
            <w:tcW w:w="2925" w:type="dxa"/>
            <w:tcBorders>
              <w:top w:val="single" w:sz="4" w:space="0" w:color="auto"/>
              <w:left w:val="nil"/>
              <w:bottom w:val="single" w:sz="4" w:space="0" w:color="auto"/>
              <w:right w:val="single" w:sz="4" w:space="0" w:color="auto"/>
            </w:tcBorders>
            <w:shd w:val="clear" w:color="auto" w:fill="auto"/>
            <w:noWrap/>
            <w:vAlign w:val="center"/>
          </w:tcPr>
          <w:p w14:paraId="2DDBD48C" w14:textId="77777777" w:rsidR="0062034A" w:rsidRPr="0062034A" w:rsidRDefault="0062034A" w:rsidP="0062034A">
            <w:pPr>
              <w:pStyle w:val="TableRow"/>
              <w:rPr>
                <w:rFonts w:cs="Arial"/>
              </w:rPr>
            </w:pPr>
            <w:r w:rsidRPr="0062034A">
              <w:rPr>
                <w:rFonts w:cs="Arial"/>
              </w:rPr>
              <w:t xml:space="preserve">67th percentile </w:t>
            </w:r>
            <w:r w:rsidRPr="0062034A">
              <w:rPr>
                <w:rFonts w:cs="Arial"/>
              </w:rPr>
              <w:br/>
              <w:t>(100 LAs planned to spend at or below)</w:t>
            </w:r>
          </w:p>
        </w:tc>
      </w:tr>
      <w:tr w:rsidR="0062034A" w:rsidRPr="0062034A" w14:paraId="0ACC3A5F" w14:textId="77777777" w:rsidTr="009855A6">
        <w:trPr>
          <w:trHeight w:val="300"/>
          <w:jc w:val="center"/>
        </w:trPr>
        <w:tc>
          <w:tcPr>
            <w:tcW w:w="4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A81574" w14:textId="47FBF9E5" w:rsidR="0062034A" w:rsidRPr="0062034A" w:rsidRDefault="0062034A" w:rsidP="009A3901">
            <w:pPr>
              <w:pStyle w:val="TableRow"/>
              <w:rPr>
                <w:rFonts w:cs="Arial"/>
              </w:rPr>
            </w:pPr>
            <w:r w:rsidRPr="0062034A">
              <w:rPr>
                <w:rFonts w:cs="Arial"/>
              </w:rPr>
              <w:t>2.0.1 Therapies and other health</w:t>
            </w:r>
            <w:r w:rsidR="009A3901">
              <w:rPr>
                <w:rFonts w:cs="Arial"/>
              </w:rPr>
              <w:t>-</w:t>
            </w:r>
            <w:r w:rsidRPr="0062034A">
              <w:rPr>
                <w:rFonts w:cs="Arial"/>
              </w:rPr>
              <w:t>related services</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4C4C024B" w14:textId="77777777" w:rsidR="0062034A" w:rsidRPr="0062034A" w:rsidRDefault="0062034A" w:rsidP="0028077E">
            <w:pPr>
              <w:pStyle w:val="TableRow"/>
              <w:tabs>
                <w:tab w:val="decimal" w:pos="1451"/>
              </w:tabs>
              <w:rPr>
                <w:rFonts w:cs="Arial"/>
              </w:rPr>
            </w:pPr>
            <w:r w:rsidRPr="0062034A">
              <w:rPr>
                <w:rFonts w:cs="Arial"/>
              </w:rPr>
              <w:t>£1.67</w:t>
            </w:r>
          </w:p>
        </w:tc>
        <w:tc>
          <w:tcPr>
            <w:tcW w:w="2925" w:type="dxa"/>
            <w:tcBorders>
              <w:top w:val="single" w:sz="4" w:space="0" w:color="auto"/>
              <w:left w:val="nil"/>
              <w:bottom w:val="single" w:sz="4" w:space="0" w:color="auto"/>
              <w:right w:val="single" w:sz="4" w:space="0" w:color="auto"/>
            </w:tcBorders>
            <w:shd w:val="clear" w:color="auto" w:fill="auto"/>
            <w:noWrap/>
            <w:vAlign w:val="center"/>
          </w:tcPr>
          <w:p w14:paraId="1B00DA87" w14:textId="77777777" w:rsidR="0062034A" w:rsidRPr="0062034A" w:rsidRDefault="0062034A" w:rsidP="0062034A">
            <w:pPr>
              <w:pStyle w:val="TableRow"/>
              <w:rPr>
                <w:rFonts w:cs="Arial"/>
              </w:rPr>
            </w:pPr>
            <w:r w:rsidRPr="0062034A">
              <w:rPr>
                <w:rFonts w:cs="Arial"/>
              </w:rPr>
              <w:t xml:space="preserve">67th percentile </w:t>
            </w:r>
            <w:r w:rsidRPr="0062034A">
              <w:rPr>
                <w:rFonts w:cs="Arial"/>
              </w:rPr>
              <w:br/>
              <w:t>(100 LAs planned to spend at or below)</w:t>
            </w:r>
          </w:p>
        </w:tc>
      </w:tr>
      <w:tr w:rsidR="0062034A" w:rsidRPr="0062034A" w14:paraId="4BF29CA8" w14:textId="77777777" w:rsidTr="009855A6">
        <w:trPr>
          <w:trHeight w:val="300"/>
          <w:jc w:val="center"/>
        </w:trPr>
        <w:tc>
          <w:tcPr>
            <w:tcW w:w="4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8135F" w14:textId="77777777" w:rsidR="0062034A" w:rsidRPr="0062034A" w:rsidRDefault="0062034A" w:rsidP="0062034A">
            <w:pPr>
              <w:pStyle w:val="TableRow"/>
              <w:rPr>
                <w:rFonts w:cs="Arial"/>
              </w:rPr>
            </w:pPr>
            <w:r w:rsidRPr="0062034A">
              <w:rPr>
                <w:rFonts w:cs="Arial"/>
              </w:rPr>
              <w:t>2.0.2 Central support services</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7D3BFA93" w14:textId="77777777" w:rsidR="0062034A" w:rsidRPr="0062034A" w:rsidRDefault="0062034A" w:rsidP="0028077E">
            <w:pPr>
              <w:pStyle w:val="TableRow"/>
              <w:tabs>
                <w:tab w:val="decimal" w:pos="1451"/>
              </w:tabs>
              <w:rPr>
                <w:rFonts w:cs="Arial"/>
              </w:rPr>
            </w:pPr>
            <w:r w:rsidRPr="0062034A">
              <w:rPr>
                <w:rFonts w:cs="Arial"/>
              </w:rPr>
              <w:t>£7.76</w:t>
            </w:r>
          </w:p>
        </w:tc>
        <w:tc>
          <w:tcPr>
            <w:tcW w:w="2925" w:type="dxa"/>
            <w:tcBorders>
              <w:top w:val="single" w:sz="4" w:space="0" w:color="auto"/>
              <w:left w:val="nil"/>
              <w:bottom w:val="single" w:sz="4" w:space="0" w:color="auto"/>
              <w:right w:val="single" w:sz="4" w:space="0" w:color="auto"/>
            </w:tcBorders>
            <w:shd w:val="clear" w:color="auto" w:fill="auto"/>
            <w:noWrap/>
            <w:vAlign w:val="center"/>
          </w:tcPr>
          <w:p w14:paraId="0108DC28" w14:textId="77777777" w:rsidR="0062034A" w:rsidRPr="0062034A" w:rsidRDefault="0062034A" w:rsidP="0062034A">
            <w:pPr>
              <w:pStyle w:val="TableRow"/>
              <w:rPr>
                <w:rFonts w:cs="Arial"/>
              </w:rPr>
            </w:pPr>
            <w:r w:rsidRPr="0062034A">
              <w:rPr>
                <w:rFonts w:cs="Arial"/>
              </w:rPr>
              <w:t xml:space="preserve">58th percentile </w:t>
            </w:r>
            <w:r w:rsidRPr="0062034A">
              <w:rPr>
                <w:rFonts w:cs="Arial"/>
              </w:rPr>
              <w:br/>
              <w:t>(87 LAs planned to spend at or below)</w:t>
            </w:r>
          </w:p>
        </w:tc>
      </w:tr>
      <w:tr w:rsidR="0062034A" w:rsidRPr="0062034A" w14:paraId="210040F6" w14:textId="77777777" w:rsidTr="009855A6">
        <w:trPr>
          <w:trHeight w:val="300"/>
          <w:jc w:val="center"/>
        </w:trPr>
        <w:tc>
          <w:tcPr>
            <w:tcW w:w="4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70C6BA" w14:textId="633D0206" w:rsidR="0062034A" w:rsidRPr="0062034A" w:rsidRDefault="00D62879" w:rsidP="0062034A">
            <w:pPr>
              <w:pStyle w:val="TableRow"/>
              <w:rPr>
                <w:rFonts w:cs="Arial"/>
                <w:b/>
              </w:rPr>
            </w:pPr>
            <w:r w:rsidRPr="0062034A">
              <w:rPr>
                <w:rFonts w:cs="Arial"/>
                <w:b/>
              </w:rPr>
              <w:t xml:space="preserve">Total spend on ESG </w:t>
            </w:r>
            <w:r>
              <w:rPr>
                <w:rFonts w:cs="Arial"/>
                <w:b/>
              </w:rPr>
              <w:t>services for maintained school pupils</w:t>
            </w:r>
            <w:r w:rsidRPr="0062034A">
              <w:rPr>
                <w:rFonts w:cs="Arial"/>
                <w:b/>
              </w:rPr>
              <w:t xml:space="preserve"> only</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4284AFE0" w14:textId="77777777" w:rsidR="0062034A" w:rsidRPr="0062034A" w:rsidRDefault="0062034A" w:rsidP="0028077E">
            <w:pPr>
              <w:pStyle w:val="TableRow"/>
              <w:tabs>
                <w:tab w:val="decimal" w:pos="1451"/>
              </w:tabs>
              <w:rPr>
                <w:rFonts w:cs="Arial"/>
                <w:b/>
              </w:rPr>
            </w:pPr>
            <w:r w:rsidRPr="0062034A">
              <w:rPr>
                <w:rFonts w:cs="Arial"/>
                <w:b/>
              </w:rPr>
              <w:t>£87.00</w:t>
            </w:r>
          </w:p>
        </w:tc>
        <w:tc>
          <w:tcPr>
            <w:tcW w:w="2925" w:type="dxa"/>
            <w:tcBorders>
              <w:top w:val="single" w:sz="4" w:space="0" w:color="auto"/>
              <w:left w:val="nil"/>
              <w:bottom w:val="single" w:sz="4" w:space="0" w:color="auto"/>
              <w:right w:val="single" w:sz="4" w:space="0" w:color="auto"/>
            </w:tcBorders>
            <w:shd w:val="clear" w:color="auto" w:fill="auto"/>
            <w:noWrap/>
            <w:vAlign w:val="center"/>
          </w:tcPr>
          <w:p w14:paraId="775C0A33" w14:textId="7380EABA" w:rsidR="0062034A" w:rsidRPr="0062034A" w:rsidRDefault="00EC7659" w:rsidP="0062034A">
            <w:pPr>
              <w:pStyle w:val="TableRow"/>
              <w:rPr>
                <w:rFonts w:cs="Arial"/>
                <w:b/>
              </w:rPr>
            </w:pPr>
            <w:r>
              <w:rPr>
                <w:rFonts w:cs="Arial"/>
                <w:b/>
              </w:rPr>
              <w:t>48</w:t>
            </w:r>
            <w:r w:rsidR="0062034A" w:rsidRPr="0062034A">
              <w:rPr>
                <w:rFonts w:cs="Arial"/>
                <w:b/>
              </w:rPr>
              <w:t xml:space="preserve"> LAs planned to spend at or below this level</w:t>
            </w:r>
          </w:p>
        </w:tc>
      </w:tr>
    </w:tbl>
    <w:p w14:paraId="1CFBE980" w14:textId="7AC09620" w:rsidR="00553E9B" w:rsidRPr="00D62879" w:rsidRDefault="00EC7659" w:rsidP="0062034A">
      <w:pPr>
        <w:pStyle w:val="Caption"/>
      </w:pPr>
      <w:r w:rsidRPr="00D62879">
        <w:t xml:space="preserve">Table 3 - </w:t>
      </w:r>
      <w:r w:rsidR="002615FE" w:rsidRPr="00D62879">
        <w:t xml:space="preserve">potential spend based on 23% reduction to planned spend </w:t>
      </w:r>
      <w:r w:rsidR="00714962">
        <w:br/>
      </w:r>
      <w:r w:rsidR="002615FE" w:rsidRPr="00D62879">
        <w:t>on e</w:t>
      </w:r>
      <w:r w:rsidR="00D62879">
        <w:t>ach line (general funding rate)</w:t>
      </w:r>
    </w:p>
    <w:p w14:paraId="61958C89" w14:textId="1FAC4ADD" w:rsidR="0062034A" w:rsidRDefault="0062034A">
      <w:pPr>
        <w:spacing w:after="0" w:line="240" w:lineRule="auto"/>
        <w:rPr>
          <w:rFonts w:cs="Arial"/>
        </w:rPr>
      </w:pPr>
      <w:r>
        <w:rPr>
          <w:rFonts w:cs="Arial"/>
        </w:rPr>
        <w:br w:type="page"/>
      </w:r>
    </w:p>
    <w:p w14:paraId="50EF4A3A" w14:textId="405EE59D" w:rsidR="0062034A" w:rsidRPr="0062034A" w:rsidRDefault="0062034A" w:rsidP="0062034A">
      <w:pPr>
        <w:pStyle w:val="Heading1"/>
        <w:rPr>
          <w:rStyle w:val="Heading1Char"/>
          <w:rFonts w:eastAsiaTheme="minorHAnsi"/>
        </w:rPr>
      </w:pPr>
      <w:bookmarkStart w:id="19" w:name="_Toc393781908"/>
      <w:r w:rsidRPr="0062034A">
        <w:rPr>
          <w:rFonts w:cs="Arial"/>
        </w:rPr>
        <w:t xml:space="preserve">Chapter </w:t>
      </w:r>
      <w:r w:rsidR="002A1078">
        <w:rPr>
          <w:rFonts w:cs="Arial"/>
        </w:rPr>
        <w:t>3</w:t>
      </w:r>
      <w:r w:rsidR="002A1078" w:rsidRPr="0062034A">
        <w:rPr>
          <w:rFonts w:cs="Arial"/>
        </w:rPr>
        <w:t xml:space="preserve"> </w:t>
      </w:r>
      <w:r w:rsidRPr="0062034A">
        <w:rPr>
          <w:rFonts w:cs="Arial"/>
        </w:rPr>
        <w:t>–</w:t>
      </w:r>
      <w:r w:rsidR="000C517A">
        <w:rPr>
          <w:rFonts w:cs="Arial"/>
        </w:rPr>
        <w:t xml:space="preserve"> </w:t>
      </w:r>
      <w:r w:rsidRPr="0062034A">
        <w:rPr>
          <w:rFonts w:eastAsiaTheme="minorHAnsi" w:cs="Arial"/>
        </w:rPr>
        <w:t>Impact on academies</w:t>
      </w:r>
      <w:bookmarkEnd w:id="19"/>
    </w:p>
    <w:p w14:paraId="6C25AC09" w14:textId="06FF63D9" w:rsidR="0062034A" w:rsidRPr="0062034A" w:rsidRDefault="0062034A" w:rsidP="0028077E">
      <w:r w:rsidRPr="0062034A">
        <w:t>At present, academies receive higher levels of ESG than local authorities. In academic year 2014/15, all academies will receive an ESG top-up of £27 per pupil and a protection that ensures that the loss incurred by any academy as a result of the changes in ESG and SEN LACSEG</w:t>
      </w:r>
      <w:r w:rsidRPr="0062034A">
        <w:rPr>
          <w:rStyle w:val="FootnoteReference"/>
          <w:rFonts w:cs="Arial"/>
        </w:rPr>
        <w:footnoteReference w:id="7"/>
      </w:r>
      <w:r w:rsidRPr="0062034A">
        <w:t xml:space="preserve"> in that year cannot exceed 1% of its total budget (including its post-16 funding) in academic year 2013/14. </w:t>
      </w:r>
    </w:p>
    <w:p w14:paraId="19B76733" w14:textId="77777777" w:rsidR="0062034A" w:rsidRPr="0062034A" w:rsidRDefault="0062034A" w:rsidP="0028077E">
      <w:r w:rsidRPr="0062034A">
        <w:t>We have been clear since the introduction of ESG in 2013 that, over time, the ESG rates for academies will converge with those for local authorities. In 2015/16, we are changing ESG protections for academies to help us continue to achieve that aim.</w:t>
      </w:r>
    </w:p>
    <w:p w14:paraId="67804F8D" w14:textId="77777777" w:rsidR="0062034A" w:rsidRPr="0062034A" w:rsidRDefault="0062034A" w:rsidP="0028077E">
      <w:r w:rsidRPr="0062034A">
        <w:t xml:space="preserve">In academic year 2015/16, there will </w:t>
      </w:r>
      <w:r w:rsidRPr="00371C4E">
        <w:t xml:space="preserve">be </w:t>
      </w:r>
      <w:r w:rsidRPr="00371C4E">
        <w:rPr>
          <w:b/>
        </w:rPr>
        <w:t>no top-up for academies</w:t>
      </w:r>
      <w:r w:rsidRPr="00371C4E">
        <w:t>, but in o</w:t>
      </w:r>
      <w:r w:rsidRPr="0062034A">
        <w:t>rder to protect academies against large budget reductions, they will continue to receive protection against reductions to ESG and the removal of SEN LACSEG.</w:t>
      </w:r>
    </w:p>
    <w:p w14:paraId="732191CE" w14:textId="5365CF32" w:rsidR="0062034A" w:rsidRPr="00371C4E" w:rsidRDefault="0062034A" w:rsidP="0028077E">
      <w:r w:rsidRPr="00371C4E">
        <w:t xml:space="preserve">The </w:t>
      </w:r>
      <w:r w:rsidRPr="00371C4E">
        <w:rPr>
          <w:b/>
        </w:rPr>
        <w:t>new protection for academies will be set in tapered bands</w:t>
      </w:r>
      <w:r w:rsidRPr="00371C4E">
        <w:t>, so that academies that are currently receiving low ESG payments will still not be allowed to see a fall of more than 1% of their total funding, while academies that are currently receiving relatively high ESG payments (because they used to have high levels of LACSEG) will be allowed to see a fall of more than 1% in their total funding (up to a maximum of 3%). This new protection will therefore drive convergence between the academy and local authority ESG rates and move towards a fairer distribution of funding between academies.</w:t>
      </w:r>
      <w:r w:rsidR="00B14771" w:rsidRPr="00371C4E">
        <w:t xml:space="preserve"> </w:t>
      </w:r>
    </w:p>
    <w:p w14:paraId="59802D61" w14:textId="77777777" w:rsidR="0062034A" w:rsidRPr="0062034A" w:rsidRDefault="0062034A" w:rsidP="0028077E">
      <w:r w:rsidRPr="0062034A">
        <w:t>Each academy will have its own level of protection defined by its level of ESG</w:t>
      </w:r>
      <w:r w:rsidRPr="0062034A">
        <w:rPr>
          <w:rStyle w:val="FootnoteReference"/>
          <w:rFonts w:cs="Arial"/>
        </w:rPr>
        <w:footnoteReference w:id="8"/>
      </w:r>
      <w:r w:rsidRPr="0062034A">
        <w:t xml:space="preserve"> per pupil in academic year 2014/15. An individual academy’s protection rate – which sets the maximum total percentage budget loss permitted due to changes in ESG and SEN LACSEG – in 2015/16 will be calculated as follows:</w:t>
      </w:r>
    </w:p>
    <w:p w14:paraId="7F8B31AF" w14:textId="738B4C9B" w:rsidR="0062034A" w:rsidRPr="0062034A" w:rsidRDefault="0062034A" w:rsidP="00C221AD">
      <w:pPr>
        <w:pStyle w:val="ListBullet1"/>
        <w:numPr>
          <w:ilvl w:val="0"/>
          <w:numId w:val="34"/>
        </w:numPr>
        <w:spacing w:after="240"/>
      </w:pPr>
      <w:r w:rsidRPr="0062034A">
        <w:t>£140; plus</w:t>
      </w:r>
    </w:p>
    <w:p w14:paraId="19FDF911" w14:textId="54F8C59E" w:rsidR="0062034A" w:rsidRPr="0062034A" w:rsidRDefault="00EC7659" w:rsidP="00C221AD">
      <w:pPr>
        <w:pStyle w:val="ListBullet1"/>
        <w:numPr>
          <w:ilvl w:val="0"/>
          <w:numId w:val="34"/>
        </w:numPr>
        <w:spacing w:after="240"/>
      </w:pPr>
      <w:r>
        <w:t>twice</w:t>
      </w:r>
      <w:r w:rsidR="0062034A" w:rsidRPr="0062034A">
        <w:t xml:space="preserve"> the amount of ESG</w:t>
      </w:r>
      <w:r>
        <w:rPr>
          <w:vertAlign w:val="superscript"/>
        </w:rPr>
        <w:t>8</w:t>
      </w:r>
      <w:r w:rsidR="0062034A" w:rsidRPr="0062034A">
        <w:t xml:space="preserve"> per pupil that the academy receives between £140 per pupil and £160 per pupil; plus</w:t>
      </w:r>
    </w:p>
    <w:p w14:paraId="3F48C9A2" w14:textId="467DFB9D" w:rsidR="0062034A" w:rsidRPr="0062034A" w:rsidRDefault="00EC7659" w:rsidP="00C221AD">
      <w:pPr>
        <w:pStyle w:val="ListBullet1"/>
        <w:numPr>
          <w:ilvl w:val="0"/>
          <w:numId w:val="34"/>
        </w:numPr>
        <w:spacing w:after="240"/>
      </w:pPr>
      <w:r>
        <w:t>three times</w:t>
      </w:r>
      <w:r w:rsidR="0062034A" w:rsidRPr="0062034A">
        <w:t xml:space="preserve"> the amount of ESG</w:t>
      </w:r>
      <w:r>
        <w:rPr>
          <w:vertAlign w:val="superscript"/>
        </w:rPr>
        <w:t>8</w:t>
      </w:r>
      <w:r w:rsidR="0062034A" w:rsidRPr="0062034A">
        <w:t xml:space="preserve"> that the academy receives over £160 per pupil; and then</w:t>
      </w:r>
    </w:p>
    <w:p w14:paraId="666C1820" w14:textId="7C06EB41" w:rsidR="0062034A" w:rsidRPr="0062034A" w:rsidRDefault="0062034A" w:rsidP="00C221AD">
      <w:pPr>
        <w:pStyle w:val="ListBullet1"/>
        <w:numPr>
          <w:ilvl w:val="0"/>
          <w:numId w:val="34"/>
        </w:numPr>
        <w:spacing w:after="240"/>
      </w:pPr>
      <w:r w:rsidRPr="0062034A">
        <w:t>that total is divided by the total amount of ESG</w:t>
      </w:r>
      <w:r w:rsidR="00EC7659">
        <w:rPr>
          <w:vertAlign w:val="superscript"/>
        </w:rPr>
        <w:t>8</w:t>
      </w:r>
      <w:r w:rsidRPr="0062034A">
        <w:t xml:space="preserve"> that the academy receives per pupil, to give a percentage protection rate.</w:t>
      </w:r>
    </w:p>
    <w:p w14:paraId="34D7F3A3" w14:textId="2225A9CC" w:rsidR="0062034A" w:rsidRDefault="0062034A" w:rsidP="0028077E">
      <w:r w:rsidRPr="0062034A">
        <w:t>This is illustrated in the worked example and the table of protection rates, shown below.</w:t>
      </w:r>
    </w:p>
    <w:p w14:paraId="75E15200" w14:textId="19EFCBEE" w:rsidR="00172919" w:rsidRDefault="00172919" w:rsidP="00172919">
      <w:r>
        <w:t xml:space="preserve">This arrangement means that a small number of academies that currently receive exceptionally high rates of ESG will see reductions approaching 3% of their budgets – but the vast majority of academies will enjoy a tighter protection. </w:t>
      </w:r>
      <w:r w:rsidRPr="00F169CA">
        <w:rPr>
          <w:b/>
        </w:rPr>
        <w:t>T</w:t>
      </w:r>
      <w:r>
        <w:rPr>
          <w:b/>
        </w:rPr>
        <w:t>he vast majority of academies will have a protection such that their ESG</w:t>
      </w:r>
      <w:r>
        <w:rPr>
          <w:b/>
          <w:vertAlign w:val="superscript"/>
        </w:rPr>
        <w:t>8</w:t>
      </w:r>
      <w:r>
        <w:rPr>
          <w:b/>
        </w:rPr>
        <w:t xml:space="preserve"> cannot fall by more than 1.5% of their total budget.</w:t>
      </w:r>
      <w:r>
        <w:t xml:space="preserve"> It is furthermore important to note that </w:t>
      </w:r>
      <w:r w:rsidRPr="00F169CA">
        <w:rPr>
          <w:b/>
        </w:rPr>
        <w:t>not all of these academies will lose as much as 1.5% of their total budget</w:t>
      </w:r>
      <w:r>
        <w:t xml:space="preserve"> as a result of changes to ESG; many – especially those already on low rates of ESG – will see a much smaller percentage reduction.</w:t>
      </w:r>
    </w:p>
    <w:p w14:paraId="6013CB2D" w14:textId="77777777" w:rsidR="00172919" w:rsidRDefault="00172919" w:rsidP="00172919">
      <w:r>
        <w:t>The following worked example shows how we would calculate the protection for an illustrative academy.</w:t>
      </w:r>
    </w:p>
    <w:tbl>
      <w:tblPr>
        <w:tblStyle w:val="TableGrid"/>
        <w:tblW w:w="0" w:type="auto"/>
        <w:shd w:val="clear" w:color="auto" w:fill="B8CCE4" w:themeFill="accent1" w:themeFillTint="66"/>
        <w:tblCellMar>
          <w:top w:w="57" w:type="dxa"/>
          <w:left w:w="57" w:type="dxa"/>
          <w:bottom w:w="57" w:type="dxa"/>
          <w:right w:w="57" w:type="dxa"/>
        </w:tblCellMar>
        <w:tblLook w:val="04A0" w:firstRow="1" w:lastRow="0" w:firstColumn="1" w:lastColumn="0" w:noHBand="0" w:noVBand="1"/>
        <w:tblCaption w:val="Feature box"/>
        <w:tblDescription w:val="Highlights a worked example"/>
      </w:tblPr>
      <w:tblGrid>
        <w:gridCol w:w="9242"/>
      </w:tblGrid>
      <w:tr w:rsidR="00172919" w:rsidRPr="0062034A" w14:paraId="7CEA4BC3" w14:textId="77777777" w:rsidTr="0028077E">
        <w:trPr>
          <w:tblHeader/>
        </w:trPr>
        <w:tc>
          <w:tcPr>
            <w:tcW w:w="9242" w:type="dxa"/>
            <w:shd w:val="clear" w:color="auto" w:fill="B8CCE4" w:themeFill="accent1" w:themeFillTint="66"/>
          </w:tcPr>
          <w:p w14:paraId="1DCA397E" w14:textId="7EDF7E51" w:rsidR="00172919" w:rsidRPr="0062034A" w:rsidRDefault="00EC7659" w:rsidP="0028077E">
            <w:pPr>
              <w:pStyle w:val="ColouredBoxHeadline"/>
            </w:pPr>
            <w:r>
              <w:t>Academy A</w:t>
            </w:r>
          </w:p>
          <w:p w14:paraId="720C5376" w14:textId="77777777" w:rsidR="00172919" w:rsidRPr="0028077E" w:rsidRDefault="00172919" w:rsidP="0028077E">
            <w:r w:rsidRPr="0028077E">
              <w:rPr>
                <w:b/>
              </w:rPr>
              <w:t>In 2014/15:</w:t>
            </w:r>
          </w:p>
          <w:p w14:paraId="5DEADB03" w14:textId="0B018586" w:rsidR="00172919" w:rsidRPr="00371C4E" w:rsidRDefault="00172919" w:rsidP="0028077E">
            <w:r w:rsidRPr="00371C4E">
              <w:t>Its total per-pupil funding – including the dedicated schools</w:t>
            </w:r>
            <w:r w:rsidR="00EC7659" w:rsidRPr="00371C4E">
              <w:t xml:space="preserve"> grant (DSG)</w:t>
            </w:r>
            <w:r w:rsidRPr="00371C4E">
              <w:t>, post-16 funding, ESG and previous ESG protection funding in 2014/15 – is £5,500.</w:t>
            </w:r>
            <w:r w:rsidR="00B14771" w:rsidRPr="00371C4E">
              <w:t xml:space="preserve"> </w:t>
            </w:r>
            <w:r w:rsidRPr="00371C4E">
              <w:t>This £5,500 includes £465 per pupil (pp) comprised of:</w:t>
            </w:r>
          </w:p>
          <w:p w14:paraId="15E0F9C1" w14:textId="77777777" w:rsidR="00172919" w:rsidRPr="00371C4E" w:rsidRDefault="00172919" w:rsidP="0028077E">
            <w:pPr>
              <w:pStyle w:val="ListParagraph"/>
              <w:numPr>
                <w:ilvl w:val="0"/>
                <w:numId w:val="39"/>
              </w:numPr>
              <w:spacing w:after="200"/>
              <w:contextualSpacing/>
              <w:rPr>
                <w:rFonts w:cs="Arial"/>
              </w:rPr>
            </w:pPr>
            <w:r w:rsidRPr="00371C4E">
              <w:rPr>
                <w:rFonts w:cs="Arial"/>
              </w:rPr>
              <w:t>ESG of £140pp;</w:t>
            </w:r>
          </w:p>
          <w:p w14:paraId="72DA17A9" w14:textId="77777777" w:rsidR="00172919" w:rsidRPr="00371C4E" w:rsidRDefault="00172919" w:rsidP="0028077E">
            <w:pPr>
              <w:pStyle w:val="ListParagraph"/>
              <w:numPr>
                <w:ilvl w:val="0"/>
                <w:numId w:val="39"/>
              </w:numPr>
              <w:spacing w:after="200"/>
              <w:contextualSpacing/>
              <w:rPr>
                <w:rFonts w:cs="Arial"/>
              </w:rPr>
            </w:pPr>
            <w:r w:rsidRPr="00371C4E">
              <w:rPr>
                <w:rFonts w:cs="Arial"/>
              </w:rPr>
              <w:t>Previous ESG protection funding of £300 pp; and</w:t>
            </w:r>
          </w:p>
          <w:p w14:paraId="33CA913A" w14:textId="77777777" w:rsidR="00172919" w:rsidRPr="00371C4E" w:rsidRDefault="00172919" w:rsidP="0028077E">
            <w:pPr>
              <w:pStyle w:val="ListParagraph"/>
              <w:numPr>
                <w:ilvl w:val="0"/>
                <w:numId w:val="39"/>
              </w:numPr>
              <w:spacing w:after="200"/>
              <w:contextualSpacing/>
              <w:rPr>
                <w:rFonts w:cs="Arial"/>
              </w:rPr>
            </w:pPr>
            <w:r w:rsidRPr="00371C4E">
              <w:rPr>
                <w:rFonts w:cs="Arial"/>
              </w:rPr>
              <w:t>SEN LACSEG of £25 pp.</w:t>
            </w:r>
          </w:p>
          <w:p w14:paraId="082FA012" w14:textId="139B7D32" w:rsidR="002A1078" w:rsidRPr="0028077E" w:rsidRDefault="00172919" w:rsidP="0028077E">
            <w:r w:rsidRPr="0028077E">
              <w:rPr>
                <w:b/>
              </w:rPr>
              <w:t>In 2015/16:</w:t>
            </w:r>
          </w:p>
          <w:p w14:paraId="7D322805" w14:textId="261C9561" w:rsidR="00172919" w:rsidRPr="0062034A" w:rsidRDefault="00172919" w:rsidP="0028077E">
            <w:pPr>
              <w:rPr>
                <w:rFonts w:cs="Arial"/>
              </w:rPr>
            </w:pPr>
            <w:r w:rsidRPr="00C221AD">
              <w:t>Without protection the academy would lose:</w:t>
            </w:r>
          </w:p>
          <w:p w14:paraId="083652BD" w14:textId="54EAF664" w:rsidR="00172919" w:rsidRPr="0028077E" w:rsidRDefault="00172919" w:rsidP="0028077E">
            <w:pPr>
              <w:pStyle w:val="ListParagraph"/>
              <w:numPr>
                <w:ilvl w:val="0"/>
                <w:numId w:val="39"/>
              </w:numPr>
              <w:spacing w:after="200"/>
              <w:contextualSpacing/>
              <w:rPr>
                <w:rFonts w:cs="Arial"/>
              </w:rPr>
            </w:pPr>
            <w:r w:rsidRPr="0062034A">
              <w:rPr>
                <w:rFonts w:cs="Arial"/>
              </w:rPr>
              <w:t>£53pp from the</w:t>
            </w:r>
            <w:r w:rsidR="00EC7659">
              <w:rPr>
                <w:rFonts w:cs="Arial"/>
              </w:rPr>
              <w:t xml:space="preserve"> ESG reduction from £140 to £87;</w:t>
            </w:r>
          </w:p>
          <w:p w14:paraId="2710C6FF" w14:textId="5A5DDA43" w:rsidR="00172919" w:rsidRPr="0062034A" w:rsidRDefault="00172919" w:rsidP="0028077E">
            <w:pPr>
              <w:pStyle w:val="ListParagraph"/>
              <w:numPr>
                <w:ilvl w:val="0"/>
                <w:numId w:val="39"/>
              </w:numPr>
              <w:spacing w:after="200"/>
              <w:contextualSpacing/>
              <w:rPr>
                <w:rFonts w:cs="Arial"/>
              </w:rPr>
            </w:pPr>
            <w:r w:rsidRPr="0062034A">
              <w:rPr>
                <w:rFonts w:cs="Arial"/>
              </w:rPr>
              <w:t>£300pp from th</w:t>
            </w:r>
            <w:r w:rsidR="00EC7659">
              <w:rPr>
                <w:rFonts w:cs="Arial"/>
              </w:rPr>
              <w:t>e removal of the ESG protection;</w:t>
            </w:r>
            <w:r w:rsidR="009E4107">
              <w:rPr>
                <w:rFonts w:cs="Arial"/>
              </w:rPr>
              <w:t xml:space="preserve"> and</w:t>
            </w:r>
          </w:p>
          <w:p w14:paraId="49AEF02A" w14:textId="2A7149D0" w:rsidR="00172919" w:rsidRPr="0062034A" w:rsidRDefault="00172919" w:rsidP="0028077E">
            <w:pPr>
              <w:pStyle w:val="ListParagraph"/>
              <w:numPr>
                <w:ilvl w:val="0"/>
                <w:numId w:val="39"/>
              </w:numPr>
              <w:spacing w:after="200"/>
              <w:contextualSpacing/>
              <w:rPr>
                <w:rFonts w:cs="Arial"/>
              </w:rPr>
            </w:pPr>
            <w:r w:rsidRPr="0062034A">
              <w:rPr>
                <w:rFonts w:cs="Arial"/>
              </w:rPr>
              <w:t>£25pp</w:t>
            </w:r>
            <w:r w:rsidR="009E4107">
              <w:rPr>
                <w:rFonts w:cs="Arial"/>
              </w:rPr>
              <w:t xml:space="preserve"> from the removal of SEN LACSEG.</w:t>
            </w:r>
          </w:p>
          <w:p w14:paraId="574058B1" w14:textId="4230FA08" w:rsidR="00172919" w:rsidRPr="0062034A" w:rsidRDefault="009E4107" w:rsidP="0028077E">
            <w:pPr>
              <w:pStyle w:val="ListParagraph"/>
              <w:numPr>
                <w:ilvl w:val="0"/>
                <w:numId w:val="39"/>
              </w:numPr>
              <w:ind w:left="714" w:hanging="357"/>
              <w:rPr>
                <w:rFonts w:cs="Arial"/>
              </w:rPr>
            </w:pPr>
            <w:r>
              <w:rPr>
                <w:rFonts w:cs="Arial"/>
              </w:rPr>
              <w:t xml:space="preserve">Making a </w:t>
            </w:r>
            <w:r w:rsidR="00172919" w:rsidRPr="0062034A">
              <w:rPr>
                <w:rFonts w:cs="Arial"/>
              </w:rPr>
              <w:t>total loss of £378.</w:t>
            </w:r>
          </w:p>
          <w:p w14:paraId="5A976B8C" w14:textId="31AF1447" w:rsidR="00172919" w:rsidRPr="00371C4E" w:rsidRDefault="00172919" w:rsidP="0028077E">
            <w:pPr>
              <w:spacing w:after="200"/>
              <w:contextualSpacing/>
              <w:rPr>
                <w:rFonts w:cs="Arial"/>
              </w:rPr>
            </w:pPr>
            <w:r w:rsidRPr="00371C4E">
              <w:rPr>
                <w:rFonts w:cs="Arial"/>
              </w:rPr>
              <w:t>But there is protection in 2015/16</w:t>
            </w:r>
            <w:r w:rsidR="009E4107" w:rsidRPr="00371C4E">
              <w:rPr>
                <w:rFonts w:cs="Arial"/>
              </w:rPr>
              <w:t>. The protection rate for the academy is calculated as follows:</w:t>
            </w:r>
          </w:p>
          <w:p w14:paraId="7E05AD40" w14:textId="77777777" w:rsidR="00172919" w:rsidRPr="0062034A" w:rsidRDefault="00172919" w:rsidP="0028077E">
            <w:pPr>
              <w:pStyle w:val="ListParagraph"/>
              <w:numPr>
                <w:ilvl w:val="0"/>
                <w:numId w:val="39"/>
              </w:numPr>
              <w:spacing w:after="200"/>
              <w:contextualSpacing/>
              <w:rPr>
                <w:rFonts w:cs="Arial"/>
              </w:rPr>
            </w:pPr>
            <w:r w:rsidRPr="0062034A">
              <w:rPr>
                <w:rFonts w:cs="Arial"/>
              </w:rPr>
              <w:t>£140 * 1 +</w:t>
            </w:r>
          </w:p>
          <w:p w14:paraId="3AD476D2" w14:textId="1DEB3AAE" w:rsidR="00172919" w:rsidRPr="0062034A" w:rsidRDefault="000775D9" w:rsidP="0028077E">
            <w:pPr>
              <w:pStyle w:val="ListParagraph"/>
              <w:numPr>
                <w:ilvl w:val="0"/>
                <w:numId w:val="39"/>
              </w:numPr>
              <w:spacing w:after="200"/>
              <w:contextualSpacing/>
              <w:rPr>
                <w:rFonts w:cs="Arial"/>
              </w:rPr>
            </w:pPr>
            <w:r>
              <w:rPr>
                <w:rFonts w:cs="Arial"/>
              </w:rPr>
              <w:t>£20 *</w:t>
            </w:r>
            <w:r w:rsidR="00172919" w:rsidRPr="0062034A">
              <w:rPr>
                <w:rFonts w:cs="Arial"/>
              </w:rPr>
              <w:t xml:space="preserve"> 2 +</w:t>
            </w:r>
          </w:p>
          <w:p w14:paraId="03DF38D3" w14:textId="77777777" w:rsidR="00172919" w:rsidRPr="0062034A" w:rsidRDefault="00172919" w:rsidP="0028077E">
            <w:pPr>
              <w:pStyle w:val="ListParagraph"/>
              <w:numPr>
                <w:ilvl w:val="0"/>
                <w:numId w:val="39"/>
              </w:numPr>
              <w:spacing w:after="200"/>
              <w:contextualSpacing/>
              <w:rPr>
                <w:rFonts w:cs="Arial"/>
              </w:rPr>
            </w:pPr>
            <w:r w:rsidRPr="0062034A">
              <w:rPr>
                <w:rFonts w:cs="Arial"/>
              </w:rPr>
              <w:t>£305 * 3</w:t>
            </w:r>
          </w:p>
          <w:p w14:paraId="2593A4A9" w14:textId="56332DE2" w:rsidR="00172919" w:rsidRPr="0062034A" w:rsidRDefault="009E4107" w:rsidP="0028077E">
            <w:pPr>
              <w:pStyle w:val="ListParagraph"/>
              <w:numPr>
                <w:ilvl w:val="0"/>
                <w:numId w:val="39"/>
              </w:numPr>
              <w:ind w:left="714" w:hanging="357"/>
              <w:rPr>
                <w:rFonts w:cs="Arial"/>
              </w:rPr>
            </w:pPr>
            <w:r>
              <w:rPr>
                <w:rFonts w:cs="Arial"/>
              </w:rPr>
              <w:t xml:space="preserve">Giving a total of £1,095 which is then </w:t>
            </w:r>
            <w:r w:rsidR="00172919" w:rsidRPr="0062034A">
              <w:rPr>
                <w:rFonts w:cs="Arial"/>
              </w:rPr>
              <w:t>divided by £465 to give a protection rate of 2.36%</w:t>
            </w:r>
          </w:p>
          <w:p w14:paraId="2C20AF1A" w14:textId="7610A452" w:rsidR="00172919" w:rsidRPr="00371C4E" w:rsidRDefault="00172919" w:rsidP="0028077E">
            <w:pPr>
              <w:spacing w:after="200"/>
              <w:contextualSpacing/>
              <w:rPr>
                <w:rFonts w:cs="Arial"/>
              </w:rPr>
            </w:pPr>
            <w:r w:rsidRPr="00371C4E">
              <w:rPr>
                <w:rFonts w:cs="Arial"/>
              </w:rPr>
              <w:t>The protection rate of 2.36% is applied to the total budget of £5,500 to give a maximum loss of £130</w:t>
            </w:r>
            <w:r w:rsidR="009E4107" w:rsidRPr="00371C4E">
              <w:rPr>
                <w:rFonts w:cs="Arial"/>
              </w:rPr>
              <w:t>pp</w:t>
            </w:r>
            <w:r w:rsidRPr="00371C4E">
              <w:rPr>
                <w:rFonts w:cs="Arial"/>
              </w:rPr>
              <w:t>. Against a starting gross loss of £378</w:t>
            </w:r>
            <w:r w:rsidR="009E4107" w:rsidRPr="00371C4E">
              <w:rPr>
                <w:rFonts w:cs="Arial"/>
              </w:rPr>
              <w:t>pp</w:t>
            </w:r>
            <w:r w:rsidRPr="00371C4E">
              <w:rPr>
                <w:rFonts w:cs="Arial"/>
              </w:rPr>
              <w:t xml:space="preserve"> the academy has therefore received £248pp of protection.</w:t>
            </w:r>
          </w:p>
        </w:tc>
      </w:tr>
    </w:tbl>
    <w:p w14:paraId="1AF5002E" w14:textId="77777777" w:rsidR="00172919" w:rsidRDefault="00172919" w:rsidP="0028077E"/>
    <w:p w14:paraId="4B9141A7" w14:textId="41815F36" w:rsidR="00172919" w:rsidRPr="0062034A" w:rsidRDefault="00D62879" w:rsidP="0028077E">
      <w:r>
        <w:t>Table 4</w:t>
      </w:r>
      <w:r w:rsidR="00172919" w:rsidRPr="0062034A">
        <w:t xml:space="preserve"> below shows the rate of protection that academies will receive in 2015/16, based on a series of 2014/15 per pupil funding rates for ESG and SEN LACSEG after protection is applied.</w:t>
      </w:r>
      <w:r w:rsidR="00B14771">
        <w:t xml:space="preserve"> </w:t>
      </w:r>
      <w:r w:rsidR="00172919" w:rsidRPr="0062034A">
        <w:t xml:space="preserve">This is not an exhaustive list: some academies will have </w:t>
      </w:r>
      <w:r w:rsidR="005115F2">
        <w:t xml:space="preserve">significantly </w:t>
      </w:r>
      <w:r w:rsidR="00172919" w:rsidRPr="0062034A">
        <w:t>higher per pupil rates than £240 in 2014/15.</w:t>
      </w:r>
    </w:p>
    <w:tbl>
      <w:tblPr>
        <w:tblW w:w="5000" w:type="pct"/>
        <w:tblCellMar>
          <w:left w:w="0" w:type="dxa"/>
          <w:right w:w="0" w:type="dxa"/>
        </w:tblCellMar>
        <w:tblLook w:val="04A0" w:firstRow="1" w:lastRow="0" w:firstColumn="1" w:lastColumn="0" w:noHBand="0" w:noVBand="1"/>
      </w:tblPr>
      <w:tblGrid>
        <w:gridCol w:w="1528"/>
        <w:gridCol w:w="1710"/>
        <w:gridCol w:w="1529"/>
        <w:gridCol w:w="1710"/>
        <w:gridCol w:w="1529"/>
        <w:gridCol w:w="1708"/>
      </w:tblGrid>
      <w:tr w:rsidR="00553E9B" w:rsidRPr="0062034A" w14:paraId="438D0230" w14:textId="77777777" w:rsidTr="00172919">
        <w:trPr>
          <w:trHeight w:val="1078"/>
        </w:trPr>
        <w:tc>
          <w:tcPr>
            <w:tcW w:w="786" w:type="pct"/>
            <w:tcBorders>
              <w:top w:val="single" w:sz="8" w:space="0" w:color="auto"/>
              <w:left w:val="single" w:sz="8" w:space="0" w:color="auto"/>
              <w:bottom w:val="single" w:sz="8" w:space="0" w:color="auto"/>
              <w:right w:val="single" w:sz="8" w:space="0" w:color="auto"/>
            </w:tcBorders>
            <w:shd w:val="clear" w:color="auto" w:fill="B8CCE4" w:themeFill="accent1" w:themeFillTint="66"/>
            <w:tcMar>
              <w:top w:w="0" w:type="dxa"/>
              <w:left w:w="108" w:type="dxa"/>
              <w:bottom w:w="0" w:type="dxa"/>
              <w:right w:w="108" w:type="dxa"/>
            </w:tcMar>
            <w:vAlign w:val="center"/>
            <w:hideMark/>
          </w:tcPr>
          <w:p w14:paraId="08D48BA1" w14:textId="465D25AA" w:rsidR="00553E9B" w:rsidRPr="0028077E" w:rsidRDefault="00D62879" w:rsidP="00026BA3">
            <w:pPr>
              <w:pStyle w:val="TableHeader"/>
            </w:pPr>
            <w:r w:rsidRPr="00026BA3">
              <w:t>£pp ESG</w:t>
            </w:r>
            <w:r w:rsidRPr="0028077E">
              <w:t>8</w:t>
            </w:r>
          </w:p>
          <w:p w14:paraId="5CFD4CF8" w14:textId="77777777" w:rsidR="00553E9B" w:rsidRPr="00026BA3" w:rsidRDefault="00553E9B" w:rsidP="00026BA3">
            <w:pPr>
              <w:pStyle w:val="TableHeader"/>
            </w:pPr>
            <w:r w:rsidRPr="00026BA3">
              <w:t>Funding Rate (14/15)</w:t>
            </w:r>
          </w:p>
        </w:tc>
        <w:tc>
          <w:tcPr>
            <w:tcW w:w="880" w:type="pct"/>
            <w:tcBorders>
              <w:top w:val="single" w:sz="8" w:space="0" w:color="auto"/>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vAlign w:val="center"/>
            <w:hideMark/>
          </w:tcPr>
          <w:p w14:paraId="7C7EA9BF" w14:textId="77777777" w:rsidR="00553E9B" w:rsidRPr="00026BA3" w:rsidRDefault="00553E9B" w:rsidP="00026BA3">
            <w:pPr>
              <w:pStyle w:val="TableHeader"/>
            </w:pPr>
            <w:r w:rsidRPr="00026BA3">
              <w:t xml:space="preserve">% Protection in 2015/16 </w:t>
            </w:r>
          </w:p>
        </w:tc>
        <w:tc>
          <w:tcPr>
            <w:tcW w:w="787" w:type="pct"/>
            <w:tcBorders>
              <w:top w:val="single" w:sz="8" w:space="0" w:color="auto"/>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vAlign w:val="center"/>
            <w:hideMark/>
          </w:tcPr>
          <w:p w14:paraId="2242F48E" w14:textId="7E7ACE09" w:rsidR="00553E9B" w:rsidRPr="0028077E" w:rsidRDefault="00553E9B" w:rsidP="00026BA3">
            <w:pPr>
              <w:pStyle w:val="TableHeader"/>
            </w:pPr>
            <w:r w:rsidRPr="00026BA3">
              <w:t>£pp ESG</w:t>
            </w:r>
            <w:r w:rsidR="00D62879" w:rsidRPr="0028077E">
              <w:t>8</w:t>
            </w:r>
          </w:p>
          <w:p w14:paraId="7DACC246" w14:textId="77777777" w:rsidR="00553E9B" w:rsidRPr="00026BA3" w:rsidRDefault="00553E9B" w:rsidP="00026BA3">
            <w:pPr>
              <w:pStyle w:val="TableHeader"/>
            </w:pPr>
            <w:r w:rsidRPr="00026BA3">
              <w:t>Funding Rate (14/15)</w:t>
            </w:r>
          </w:p>
        </w:tc>
        <w:tc>
          <w:tcPr>
            <w:tcW w:w="880" w:type="pct"/>
            <w:tcBorders>
              <w:top w:val="single" w:sz="8" w:space="0" w:color="auto"/>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vAlign w:val="center"/>
            <w:hideMark/>
          </w:tcPr>
          <w:p w14:paraId="67A5FDB3" w14:textId="77777777" w:rsidR="00553E9B" w:rsidRPr="00026BA3" w:rsidRDefault="00553E9B" w:rsidP="00026BA3">
            <w:pPr>
              <w:pStyle w:val="TableHeader"/>
            </w:pPr>
            <w:r w:rsidRPr="00026BA3">
              <w:t xml:space="preserve">% Protection in 2015/16 </w:t>
            </w:r>
          </w:p>
        </w:tc>
        <w:tc>
          <w:tcPr>
            <w:tcW w:w="787" w:type="pct"/>
            <w:tcBorders>
              <w:top w:val="single" w:sz="8" w:space="0" w:color="auto"/>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vAlign w:val="center"/>
            <w:hideMark/>
          </w:tcPr>
          <w:p w14:paraId="6602A90C" w14:textId="483F22F5" w:rsidR="00553E9B" w:rsidRPr="00026BA3" w:rsidRDefault="00553E9B" w:rsidP="00026BA3">
            <w:pPr>
              <w:pStyle w:val="TableHeader"/>
            </w:pPr>
            <w:r w:rsidRPr="00026BA3">
              <w:t>£pp ESG</w:t>
            </w:r>
            <w:r w:rsidR="00D62879" w:rsidRPr="0028077E">
              <w:t>8</w:t>
            </w:r>
            <w:r w:rsidRPr="00026BA3">
              <w:t xml:space="preserve"> Funding Rate (14/15)</w:t>
            </w:r>
          </w:p>
        </w:tc>
        <w:tc>
          <w:tcPr>
            <w:tcW w:w="879" w:type="pct"/>
            <w:tcBorders>
              <w:top w:val="single" w:sz="8" w:space="0" w:color="auto"/>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vAlign w:val="center"/>
            <w:hideMark/>
          </w:tcPr>
          <w:p w14:paraId="0F1C1637" w14:textId="77777777" w:rsidR="00553E9B" w:rsidRPr="00026BA3" w:rsidRDefault="00553E9B" w:rsidP="00026BA3">
            <w:pPr>
              <w:pStyle w:val="TableHeader"/>
            </w:pPr>
            <w:r w:rsidRPr="00026BA3">
              <w:t xml:space="preserve">% Protection in 2015/16 </w:t>
            </w:r>
          </w:p>
        </w:tc>
      </w:tr>
      <w:tr w:rsidR="00553E9B" w:rsidRPr="0062034A" w14:paraId="2733CBC8" w14:textId="77777777" w:rsidTr="00172919">
        <w:trPr>
          <w:trHeight w:val="315"/>
        </w:trPr>
        <w:tc>
          <w:tcPr>
            <w:tcW w:w="78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399CCD9" w14:textId="77777777" w:rsidR="00553E9B" w:rsidRPr="0062034A" w:rsidRDefault="00553E9B" w:rsidP="0028077E">
            <w:pPr>
              <w:pStyle w:val="TableRow"/>
              <w:jc w:val="right"/>
            </w:pPr>
            <w:r w:rsidRPr="0062034A">
              <w:t>140</w:t>
            </w:r>
          </w:p>
        </w:tc>
        <w:tc>
          <w:tcPr>
            <w:tcW w:w="88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545968" w14:textId="77777777" w:rsidR="00553E9B" w:rsidRPr="0062034A" w:rsidRDefault="00553E9B" w:rsidP="0028077E">
            <w:pPr>
              <w:pStyle w:val="TableRow"/>
              <w:jc w:val="right"/>
            </w:pPr>
            <w:r w:rsidRPr="0062034A">
              <w:t>-1.00%</w:t>
            </w:r>
          </w:p>
        </w:tc>
        <w:tc>
          <w:tcPr>
            <w:tcW w:w="78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F6A393" w14:textId="77777777" w:rsidR="00553E9B" w:rsidRPr="0062034A" w:rsidRDefault="00553E9B" w:rsidP="0028077E">
            <w:pPr>
              <w:pStyle w:val="TableRow"/>
              <w:jc w:val="right"/>
            </w:pPr>
            <w:r w:rsidRPr="0062034A">
              <w:t>175</w:t>
            </w:r>
          </w:p>
        </w:tc>
        <w:tc>
          <w:tcPr>
            <w:tcW w:w="88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EE3278" w14:textId="77777777" w:rsidR="00553E9B" w:rsidRPr="0062034A" w:rsidRDefault="00553E9B" w:rsidP="0028077E">
            <w:pPr>
              <w:pStyle w:val="TableRow"/>
              <w:jc w:val="right"/>
            </w:pPr>
            <w:r w:rsidRPr="0062034A">
              <w:t>-1.29%</w:t>
            </w:r>
          </w:p>
        </w:tc>
        <w:tc>
          <w:tcPr>
            <w:tcW w:w="78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12E6EF" w14:textId="77777777" w:rsidR="00553E9B" w:rsidRPr="0062034A" w:rsidRDefault="00553E9B" w:rsidP="0028077E">
            <w:pPr>
              <w:pStyle w:val="TableRow"/>
              <w:jc w:val="right"/>
            </w:pPr>
            <w:r w:rsidRPr="0062034A">
              <w:t>210</w:t>
            </w:r>
          </w:p>
        </w:tc>
        <w:tc>
          <w:tcPr>
            <w:tcW w:w="87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32214A" w14:textId="77777777" w:rsidR="00553E9B" w:rsidRPr="0062034A" w:rsidRDefault="00553E9B" w:rsidP="0028077E">
            <w:pPr>
              <w:pStyle w:val="TableRow"/>
              <w:jc w:val="right"/>
            </w:pPr>
            <w:r w:rsidRPr="0062034A">
              <w:t>-1.57%</w:t>
            </w:r>
          </w:p>
        </w:tc>
      </w:tr>
      <w:tr w:rsidR="00553E9B" w:rsidRPr="0062034A" w14:paraId="4251C66A" w14:textId="77777777" w:rsidTr="00172919">
        <w:trPr>
          <w:trHeight w:val="315"/>
        </w:trPr>
        <w:tc>
          <w:tcPr>
            <w:tcW w:w="78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91D7E78" w14:textId="77777777" w:rsidR="00553E9B" w:rsidRPr="0062034A" w:rsidRDefault="00553E9B" w:rsidP="0028077E">
            <w:pPr>
              <w:pStyle w:val="TableRow"/>
              <w:jc w:val="right"/>
            </w:pPr>
            <w:r w:rsidRPr="0062034A">
              <w:t>145</w:t>
            </w:r>
          </w:p>
        </w:tc>
        <w:tc>
          <w:tcPr>
            <w:tcW w:w="88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8967A8" w14:textId="77777777" w:rsidR="00553E9B" w:rsidRPr="0062034A" w:rsidRDefault="00553E9B" w:rsidP="0028077E">
            <w:pPr>
              <w:pStyle w:val="TableRow"/>
              <w:jc w:val="right"/>
            </w:pPr>
            <w:r w:rsidRPr="0062034A">
              <w:t>-1.03%</w:t>
            </w:r>
          </w:p>
        </w:tc>
        <w:tc>
          <w:tcPr>
            <w:tcW w:w="78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5A7C5C" w14:textId="77777777" w:rsidR="00553E9B" w:rsidRPr="0062034A" w:rsidRDefault="00553E9B" w:rsidP="0028077E">
            <w:pPr>
              <w:pStyle w:val="TableRow"/>
              <w:jc w:val="right"/>
            </w:pPr>
            <w:r w:rsidRPr="0062034A">
              <w:t>180</w:t>
            </w:r>
          </w:p>
        </w:tc>
        <w:tc>
          <w:tcPr>
            <w:tcW w:w="88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61B794" w14:textId="77777777" w:rsidR="00553E9B" w:rsidRPr="0062034A" w:rsidRDefault="00553E9B" w:rsidP="0028077E">
            <w:pPr>
              <w:pStyle w:val="TableRow"/>
              <w:jc w:val="right"/>
            </w:pPr>
            <w:r w:rsidRPr="0062034A">
              <w:t>-1.33%</w:t>
            </w:r>
          </w:p>
        </w:tc>
        <w:tc>
          <w:tcPr>
            <w:tcW w:w="78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CC80A8" w14:textId="77777777" w:rsidR="00553E9B" w:rsidRPr="0062034A" w:rsidRDefault="00553E9B" w:rsidP="0028077E">
            <w:pPr>
              <w:pStyle w:val="TableRow"/>
              <w:jc w:val="right"/>
            </w:pPr>
            <w:r w:rsidRPr="0062034A">
              <w:t>215</w:t>
            </w:r>
          </w:p>
        </w:tc>
        <w:tc>
          <w:tcPr>
            <w:tcW w:w="87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708958" w14:textId="77777777" w:rsidR="00553E9B" w:rsidRPr="0062034A" w:rsidRDefault="00553E9B" w:rsidP="0028077E">
            <w:pPr>
              <w:pStyle w:val="TableRow"/>
              <w:jc w:val="right"/>
            </w:pPr>
            <w:r w:rsidRPr="0062034A">
              <w:t>-1.60%</w:t>
            </w:r>
          </w:p>
        </w:tc>
      </w:tr>
      <w:tr w:rsidR="00553E9B" w:rsidRPr="0062034A" w14:paraId="411C5E00" w14:textId="77777777" w:rsidTr="00172919">
        <w:trPr>
          <w:trHeight w:val="315"/>
        </w:trPr>
        <w:tc>
          <w:tcPr>
            <w:tcW w:w="78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635BB5B" w14:textId="77777777" w:rsidR="00553E9B" w:rsidRPr="0062034A" w:rsidRDefault="00553E9B" w:rsidP="0028077E">
            <w:pPr>
              <w:pStyle w:val="TableRow"/>
              <w:jc w:val="right"/>
            </w:pPr>
            <w:r w:rsidRPr="0062034A">
              <w:t>150</w:t>
            </w:r>
          </w:p>
        </w:tc>
        <w:tc>
          <w:tcPr>
            <w:tcW w:w="88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616CA5" w14:textId="77777777" w:rsidR="00553E9B" w:rsidRPr="0062034A" w:rsidRDefault="00553E9B" w:rsidP="0028077E">
            <w:pPr>
              <w:pStyle w:val="TableRow"/>
              <w:jc w:val="right"/>
            </w:pPr>
            <w:r w:rsidRPr="0062034A">
              <w:t>-1.07%</w:t>
            </w:r>
          </w:p>
        </w:tc>
        <w:tc>
          <w:tcPr>
            <w:tcW w:w="78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91E6EF" w14:textId="77777777" w:rsidR="00553E9B" w:rsidRPr="0062034A" w:rsidRDefault="00553E9B" w:rsidP="0028077E">
            <w:pPr>
              <w:pStyle w:val="TableRow"/>
              <w:jc w:val="right"/>
            </w:pPr>
            <w:r w:rsidRPr="0062034A">
              <w:t>185</w:t>
            </w:r>
          </w:p>
        </w:tc>
        <w:tc>
          <w:tcPr>
            <w:tcW w:w="88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55355D" w14:textId="77777777" w:rsidR="00553E9B" w:rsidRPr="0062034A" w:rsidRDefault="00553E9B" w:rsidP="0028077E">
            <w:pPr>
              <w:pStyle w:val="TableRow"/>
              <w:jc w:val="right"/>
            </w:pPr>
            <w:r w:rsidRPr="0062034A">
              <w:t>-1.38%</w:t>
            </w:r>
          </w:p>
        </w:tc>
        <w:tc>
          <w:tcPr>
            <w:tcW w:w="78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ED291F" w14:textId="77777777" w:rsidR="00553E9B" w:rsidRPr="0062034A" w:rsidRDefault="00553E9B" w:rsidP="0028077E">
            <w:pPr>
              <w:pStyle w:val="TableRow"/>
              <w:jc w:val="right"/>
            </w:pPr>
            <w:r w:rsidRPr="0062034A">
              <w:t>220</w:t>
            </w:r>
          </w:p>
        </w:tc>
        <w:tc>
          <w:tcPr>
            <w:tcW w:w="87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4F592A" w14:textId="77777777" w:rsidR="00553E9B" w:rsidRPr="0062034A" w:rsidRDefault="00553E9B" w:rsidP="0028077E">
            <w:pPr>
              <w:pStyle w:val="TableRow"/>
              <w:jc w:val="right"/>
            </w:pPr>
            <w:r w:rsidRPr="0062034A">
              <w:t>-1.64%</w:t>
            </w:r>
          </w:p>
        </w:tc>
      </w:tr>
      <w:tr w:rsidR="00553E9B" w:rsidRPr="0062034A" w14:paraId="147D9A4C" w14:textId="77777777" w:rsidTr="00172919">
        <w:trPr>
          <w:trHeight w:val="315"/>
        </w:trPr>
        <w:tc>
          <w:tcPr>
            <w:tcW w:w="78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84EF33F" w14:textId="77777777" w:rsidR="00553E9B" w:rsidRPr="0062034A" w:rsidRDefault="00553E9B" w:rsidP="0028077E">
            <w:pPr>
              <w:pStyle w:val="TableRow"/>
              <w:jc w:val="right"/>
            </w:pPr>
            <w:r w:rsidRPr="0062034A">
              <w:t>155</w:t>
            </w:r>
          </w:p>
        </w:tc>
        <w:tc>
          <w:tcPr>
            <w:tcW w:w="88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D6C282" w14:textId="77777777" w:rsidR="00553E9B" w:rsidRPr="0062034A" w:rsidRDefault="00553E9B" w:rsidP="0028077E">
            <w:pPr>
              <w:pStyle w:val="TableRow"/>
              <w:jc w:val="right"/>
            </w:pPr>
            <w:r w:rsidRPr="0062034A">
              <w:t>-1.10%</w:t>
            </w:r>
          </w:p>
        </w:tc>
        <w:tc>
          <w:tcPr>
            <w:tcW w:w="78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F0AA0D" w14:textId="77777777" w:rsidR="00553E9B" w:rsidRPr="0062034A" w:rsidRDefault="00553E9B" w:rsidP="0028077E">
            <w:pPr>
              <w:pStyle w:val="TableRow"/>
              <w:jc w:val="right"/>
            </w:pPr>
            <w:r w:rsidRPr="0062034A">
              <w:t>190</w:t>
            </w:r>
          </w:p>
        </w:tc>
        <w:tc>
          <w:tcPr>
            <w:tcW w:w="88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B890BC" w14:textId="77777777" w:rsidR="00553E9B" w:rsidRPr="0062034A" w:rsidRDefault="00553E9B" w:rsidP="0028077E">
            <w:pPr>
              <w:pStyle w:val="TableRow"/>
              <w:jc w:val="right"/>
            </w:pPr>
            <w:r w:rsidRPr="0062034A">
              <w:t>-1.42%</w:t>
            </w:r>
          </w:p>
        </w:tc>
        <w:tc>
          <w:tcPr>
            <w:tcW w:w="78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95583C" w14:textId="77777777" w:rsidR="00553E9B" w:rsidRPr="0062034A" w:rsidRDefault="00553E9B" w:rsidP="0028077E">
            <w:pPr>
              <w:pStyle w:val="TableRow"/>
              <w:jc w:val="right"/>
            </w:pPr>
            <w:r w:rsidRPr="0062034A">
              <w:t>225</w:t>
            </w:r>
          </w:p>
        </w:tc>
        <w:tc>
          <w:tcPr>
            <w:tcW w:w="87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66CAC4" w14:textId="77777777" w:rsidR="00553E9B" w:rsidRPr="0062034A" w:rsidRDefault="00553E9B" w:rsidP="0028077E">
            <w:pPr>
              <w:pStyle w:val="TableRow"/>
              <w:jc w:val="right"/>
            </w:pPr>
            <w:r w:rsidRPr="0062034A">
              <w:t>-1.67%</w:t>
            </w:r>
          </w:p>
        </w:tc>
      </w:tr>
      <w:tr w:rsidR="00553E9B" w:rsidRPr="0062034A" w14:paraId="24F98927" w14:textId="77777777" w:rsidTr="00172919">
        <w:trPr>
          <w:trHeight w:val="315"/>
        </w:trPr>
        <w:tc>
          <w:tcPr>
            <w:tcW w:w="78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19507F6" w14:textId="77777777" w:rsidR="00553E9B" w:rsidRPr="0062034A" w:rsidRDefault="00553E9B" w:rsidP="0028077E">
            <w:pPr>
              <w:pStyle w:val="TableRow"/>
              <w:jc w:val="right"/>
            </w:pPr>
            <w:r w:rsidRPr="0062034A">
              <w:t>160</w:t>
            </w:r>
          </w:p>
        </w:tc>
        <w:tc>
          <w:tcPr>
            <w:tcW w:w="88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5F449B" w14:textId="77777777" w:rsidR="00553E9B" w:rsidRPr="0062034A" w:rsidRDefault="00553E9B" w:rsidP="0028077E">
            <w:pPr>
              <w:pStyle w:val="TableRow"/>
              <w:jc w:val="right"/>
            </w:pPr>
            <w:r w:rsidRPr="0062034A">
              <w:t>-1.13%</w:t>
            </w:r>
          </w:p>
        </w:tc>
        <w:tc>
          <w:tcPr>
            <w:tcW w:w="78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D7B8CA" w14:textId="77777777" w:rsidR="00553E9B" w:rsidRPr="0062034A" w:rsidRDefault="00553E9B" w:rsidP="0028077E">
            <w:pPr>
              <w:pStyle w:val="TableRow"/>
              <w:jc w:val="right"/>
            </w:pPr>
            <w:r w:rsidRPr="0062034A">
              <w:t>195</w:t>
            </w:r>
          </w:p>
        </w:tc>
        <w:tc>
          <w:tcPr>
            <w:tcW w:w="88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D8E5FE" w14:textId="77777777" w:rsidR="00553E9B" w:rsidRPr="0062034A" w:rsidRDefault="00553E9B" w:rsidP="0028077E">
            <w:pPr>
              <w:pStyle w:val="TableRow"/>
              <w:jc w:val="right"/>
            </w:pPr>
            <w:r w:rsidRPr="0062034A">
              <w:t>-1.46%</w:t>
            </w:r>
          </w:p>
        </w:tc>
        <w:tc>
          <w:tcPr>
            <w:tcW w:w="78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FBF51F" w14:textId="77777777" w:rsidR="00553E9B" w:rsidRPr="0062034A" w:rsidRDefault="00553E9B" w:rsidP="0028077E">
            <w:pPr>
              <w:pStyle w:val="TableRow"/>
              <w:jc w:val="right"/>
            </w:pPr>
            <w:r w:rsidRPr="0062034A">
              <w:t>230</w:t>
            </w:r>
          </w:p>
        </w:tc>
        <w:tc>
          <w:tcPr>
            <w:tcW w:w="87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F79AC7" w14:textId="77777777" w:rsidR="00553E9B" w:rsidRPr="0062034A" w:rsidRDefault="00553E9B" w:rsidP="0028077E">
            <w:pPr>
              <w:pStyle w:val="TableRow"/>
              <w:jc w:val="right"/>
            </w:pPr>
            <w:r w:rsidRPr="0062034A">
              <w:t>-1.70%</w:t>
            </w:r>
          </w:p>
        </w:tc>
      </w:tr>
      <w:tr w:rsidR="00553E9B" w:rsidRPr="0062034A" w14:paraId="541181BA" w14:textId="77777777" w:rsidTr="00172919">
        <w:trPr>
          <w:trHeight w:val="315"/>
        </w:trPr>
        <w:tc>
          <w:tcPr>
            <w:tcW w:w="78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40F743D" w14:textId="77777777" w:rsidR="00553E9B" w:rsidRPr="0062034A" w:rsidRDefault="00553E9B" w:rsidP="0028077E">
            <w:pPr>
              <w:pStyle w:val="TableRow"/>
              <w:jc w:val="right"/>
            </w:pPr>
            <w:r w:rsidRPr="0062034A">
              <w:t>165</w:t>
            </w:r>
          </w:p>
        </w:tc>
        <w:tc>
          <w:tcPr>
            <w:tcW w:w="88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EAFE2F" w14:textId="77777777" w:rsidR="00553E9B" w:rsidRPr="0062034A" w:rsidRDefault="00553E9B" w:rsidP="0028077E">
            <w:pPr>
              <w:pStyle w:val="TableRow"/>
              <w:jc w:val="right"/>
            </w:pPr>
            <w:r w:rsidRPr="0062034A">
              <w:t>-1.18%</w:t>
            </w:r>
          </w:p>
        </w:tc>
        <w:tc>
          <w:tcPr>
            <w:tcW w:w="78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26297D" w14:textId="77777777" w:rsidR="00553E9B" w:rsidRPr="0062034A" w:rsidRDefault="00553E9B" w:rsidP="0028077E">
            <w:pPr>
              <w:pStyle w:val="TableRow"/>
              <w:jc w:val="right"/>
            </w:pPr>
            <w:r w:rsidRPr="0062034A">
              <w:t>200</w:t>
            </w:r>
          </w:p>
        </w:tc>
        <w:tc>
          <w:tcPr>
            <w:tcW w:w="88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128724" w14:textId="77777777" w:rsidR="00553E9B" w:rsidRPr="0062034A" w:rsidRDefault="00553E9B" w:rsidP="0028077E">
            <w:pPr>
              <w:pStyle w:val="TableRow"/>
              <w:jc w:val="right"/>
            </w:pPr>
            <w:r w:rsidRPr="0062034A">
              <w:t>-1.50%</w:t>
            </w:r>
          </w:p>
        </w:tc>
        <w:tc>
          <w:tcPr>
            <w:tcW w:w="78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D724AD" w14:textId="77777777" w:rsidR="00553E9B" w:rsidRPr="0062034A" w:rsidRDefault="00553E9B" w:rsidP="0028077E">
            <w:pPr>
              <w:pStyle w:val="TableRow"/>
              <w:jc w:val="right"/>
            </w:pPr>
            <w:r w:rsidRPr="0062034A">
              <w:t>235</w:t>
            </w:r>
          </w:p>
        </w:tc>
        <w:tc>
          <w:tcPr>
            <w:tcW w:w="87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A6EE52" w14:textId="77777777" w:rsidR="00553E9B" w:rsidRPr="0062034A" w:rsidRDefault="00553E9B" w:rsidP="0028077E">
            <w:pPr>
              <w:pStyle w:val="TableRow"/>
              <w:jc w:val="right"/>
            </w:pPr>
            <w:r w:rsidRPr="0062034A">
              <w:t>-1.72%</w:t>
            </w:r>
          </w:p>
        </w:tc>
      </w:tr>
      <w:tr w:rsidR="00553E9B" w:rsidRPr="0062034A" w14:paraId="3EC1FC25" w14:textId="77777777" w:rsidTr="00172919">
        <w:trPr>
          <w:trHeight w:val="80"/>
        </w:trPr>
        <w:tc>
          <w:tcPr>
            <w:tcW w:w="78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EAA906A" w14:textId="77777777" w:rsidR="00553E9B" w:rsidRPr="0062034A" w:rsidRDefault="00553E9B" w:rsidP="0028077E">
            <w:pPr>
              <w:pStyle w:val="TableRow"/>
              <w:jc w:val="right"/>
            </w:pPr>
            <w:r w:rsidRPr="0062034A">
              <w:t>170</w:t>
            </w:r>
          </w:p>
        </w:tc>
        <w:tc>
          <w:tcPr>
            <w:tcW w:w="88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73162A" w14:textId="77777777" w:rsidR="00553E9B" w:rsidRPr="0062034A" w:rsidRDefault="00553E9B" w:rsidP="0028077E">
            <w:pPr>
              <w:pStyle w:val="TableRow"/>
              <w:jc w:val="right"/>
            </w:pPr>
            <w:r w:rsidRPr="0062034A">
              <w:t>-1.24%</w:t>
            </w:r>
          </w:p>
        </w:tc>
        <w:tc>
          <w:tcPr>
            <w:tcW w:w="78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261310" w14:textId="77777777" w:rsidR="00553E9B" w:rsidRPr="0062034A" w:rsidRDefault="00553E9B" w:rsidP="0028077E">
            <w:pPr>
              <w:pStyle w:val="TableRow"/>
              <w:jc w:val="right"/>
            </w:pPr>
            <w:r w:rsidRPr="0062034A">
              <w:t>205</w:t>
            </w:r>
          </w:p>
        </w:tc>
        <w:tc>
          <w:tcPr>
            <w:tcW w:w="88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B6236E" w14:textId="77777777" w:rsidR="00553E9B" w:rsidRPr="0062034A" w:rsidRDefault="00553E9B" w:rsidP="0028077E">
            <w:pPr>
              <w:pStyle w:val="TableRow"/>
              <w:jc w:val="right"/>
            </w:pPr>
            <w:r w:rsidRPr="0062034A">
              <w:t>-1.54%</w:t>
            </w:r>
          </w:p>
        </w:tc>
        <w:tc>
          <w:tcPr>
            <w:tcW w:w="78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7A0BE7" w14:textId="77777777" w:rsidR="00553E9B" w:rsidRPr="0062034A" w:rsidRDefault="00553E9B" w:rsidP="0028077E">
            <w:pPr>
              <w:pStyle w:val="TableRow"/>
              <w:jc w:val="right"/>
            </w:pPr>
            <w:r w:rsidRPr="0062034A">
              <w:t>240</w:t>
            </w:r>
          </w:p>
        </w:tc>
        <w:tc>
          <w:tcPr>
            <w:tcW w:w="87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2767B2" w14:textId="77777777" w:rsidR="00553E9B" w:rsidRPr="0062034A" w:rsidRDefault="00553E9B" w:rsidP="0028077E">
            <w:pPr>
              <w:pStyle w:val="TableRow"/>
              <w:jc w:val="right"/>
            </w:pPr>
            <w:r w:rsidRPr="0062034A">
              <w:t>-1.75%</w:t>
            </w:r>
          </w:p>
        </w:tc>
      </w:tr>
    </w:tbl>
    <w:p w14:paraId="32F2E13F" w14:textId="20D997C1" w:rsidR="00553E9B" w:rsidRDefault="009E4107" w:rsidP="00172919">
      <w:pPr>
        <w:pStyle w:val="Caption"/>
        <w:rPr>
          <w:rFonts w:eastAsiaTheme="minorHAnsi"/>
        </w:rPr>
      </w:pPr>
      <w:r>
        <w:rPr>
          <w:rFonts w:eastAsiaTheme="minorHAnsi"/>
        </w:rPr>
        <w:t>Table 4 – Summary of protection rates</w:t>
      </w:r>
    </w:p>
    <w:p w14:paraId="32BCBF9C" w14:textId="262B8FA0" w:rsidR="00172919" w:rsidRPr="0028077E" w:rsidRDefault="00172919" w:rsidP="0028077E">
      <w:pPr>
        <w:pStyle w:val="Heading2"/>
      </w:pPr>
      <w:bookmarkStart w:id="20" w:name="_Toc393781909"/>
      <w:r w:rsidRPr="0028077E">
        <w:t>R</w:t>
      </w:r>
      <w:r w:rsidR="00553E9B" w:rsidRPr="0028077E">
        <w:t>ates for alternative provision academies and special academies</w:t>
      </w:r>
      <w:bookmarkEnd w:id="20"/>
    </w:p>
    <w:p w14:paraId="3035E419" w14:textId="5247BF0A" w:rsidR="00172919" w:rsidRPr="00172919" w:rsidRDefault="00553E9B" w:rsidP="0028077E">
      <w:pPr>
        <w:rPr>
          <w:rStyle w:val="ListParagraphChar"/>
          <w:rFonts w:cs="Arial"/>
          <w:b/>
          <w:color w:val="104F75"/>
        </w:rPr>
      </w:pPr>
      <w:r w:rsidRPr="00172919">
        <w:rPr>
          <w:rStyle w:val="ListParagraphChar"/>
          <w:rFonts w:eastAsiaTheme="minorHAnsi" w:cs="Arial"/>
        </w:rPr>
        <w:t>Many of the functions that ESG was intended to fund relate to staff and premises. These include asset management, administering pension contributions, advising on terms and conditions of non-teaching staff and appointment checks and dismissals. Special schools / special academies and pupil referral units</w:t>
      </w:r>
      <w:r w:rsidR="009E4107">
        <w:rPr>
          <w:rStyle w:val="ListParagraphChar"/>
          <w:rFonts w:eastAsiaTheme="minorHAnsi" w:cs="Arial"/>
        </w:rPr>
        <w:t xml:space="preserve"> </w:t>
      </w:r>
      <w:r w:rsidRPr="00172919">
        <w:rPr>
          <w:rStyle w:val="ListParagraphChar"/>
          <w:rFonts w:eastAsiaTheme="minorHAnsi" w:cs="Arial"/>
        </w:rPr>
        <w:t>(PRUs)</w:t>
      </w:r>
      <w:r w:rsidR="009E4107">
        <w:rPr>
          <w:rStyle w:val="ListParagraphChar"/>
          <w:rFonts w:eastAsiaTheme="minorHAnsi" w:cs="Arial"/>
        </w:rPr>
        <w:t xml:space="preserve"> </w:t>
      </w:r>
      <w:r w:rsidRPr="00172919">
        <w:rPr>
          <w:rStyle w:val="ListParagraphChar"/>
          <w:rFonts w:eastAsiaTheme="minorHAnsi" w:cs="Arial"/>
        </w:rPr>
        <w:t>/</w:t>
      </w:r>
      <w:r w:rsidR="009E4107">
        <w:rPr>
          <w:rStyle w:val="ListParagraphChar"/>
          <w:rFonts w:eastAsiaTheme="minorHAnsi" w:cs="Arial"/>
        </w:rPr>
        <w:t xml:space="preserve"> </w:t>
      </w:r>
      <w:r w:rsidRPr="00172919">
        <w:rPr>
          <w:rStyle w:val="ListParagraphChar"/>
          <w:rFonts w:eastAsiaTheme="minorHAnsi" w:cs="Arial"/>
        </w:rPr>
        <w:t>alternative provision (AP) academies have much higher staffing ratios per pupil, and need more space per pupil, as a result of smaller group sizes and the intensive support they offer. The teacher to pupil ratio in these schools is around four to five times higher than in mainstream settings. These factors all result in increased overheads and higher staff-related costs.</w:t>
      </w:r>
    </w:p>
    <w:p w14:paraId="2AB80481" w14:textId="2578BDE6" w:rsidR="00553E9B" w:rsidRPr="00172919" w:rsidRDefault="00553E9B" w:rsidP="0028077E">
      <w:r w:rsidRPr="00172919">
        <w:rPr>
          <w:rStyle w:val="ListParagraphChar"/>
          <w:rFonts w:eastAsiaTheme="minorHAnsi" w:cs="Arial"/>
        </w:rPr>
        <w:t>In summer 2012, we consulted on applying a multiplier to the ESG general funding rate for these institutions of 4.25 and 3.75 respectively for special schools and PRUs / AP. We see no compelling reason why these multipliers need to change and they will remain constant in 2015-16.</w:t>
      </w:r>
    </w:p>
    <w:p w14:paraId="1DF9269E" w14:textId="28E74D56" w:rsidR="00553E9B" w:rsidRPr="00172919" w:rsidRDefault="00553E9B" w:rsidP="0028077E">
      <w:r w:rsidRPr="00172919">
        <w:t>For special and AP academies, these multipliers wi</w:t>
      </w:r>
      <w:r w:rsidR="009A3901">
        <w:t>ll also be applied to the £140 per pupil and £160 per pupil</w:t>
      </w:r>
      <w:r w:rsidRPr="00172919">
        <w:t xml:space="preserve"> thresholds of the academies protection</w:t>
      </w:r>
      <w:r w:rsidR="009E4107">
        <w:t xml:space="preserve"> described above</w:t>
      </w:r>
      <w:r w:rsidRPr="00172919">
        <w:t>, to ensure that special and AP academies are not disproportionately affected by the new tapered protection.</w:t>
      </w:r>
    </w:p>
    <w:p w14:paraId="6D38A2C4" w14:textId="67270312" w:rsidR="00553E9B" w:rsidRPr="0062034A" w:rsidRDefault="009E4107" w:rsidP="00172919">
      <w:pPr>
        <w:rPr>
          <w:rFonts w:cs="Arial"/>
        </w:rPr>
      </w:pPr>
      <w:r>
        <w:rPr>
          <w:rFonts w:cs="Arial"/>
        </w:rPr>
        <w:t>Full</w:t>
      </w:r>
      <w:r w:rsidR="00553E9B" w:rsidRPr="0062034A">
        <w:rPr>
          <w:rFonts w:cs="Arial"/>
        </w:rPr>
        <w:t xml:space="preserve"> technical guidance on the revised academy protection arrangements and the rates for alternative provision academies and special academies will be issued in due course.</w:t>
      </w:r>
    </w:p>
    <w:p w14:paraId="47CBD950" w14:textId="67E24BEC" w:rsidR="00172919" w:rsidRDefault="00172919" w:rsidP="00172919">
      <w:pPr>
        <w:pStyle w:val="Heading1"/>
        <w:rPr>
          <w:rFonts w:cs="Arial"/>
        </w:rPr>
      </w:pPr>
      <w:bookmarkStart w:id="21" w:name="_Toc393781910"/>
      <w:r>
        <w:rPr>
          <w:rFonts w:cs="Arial"/>
        </w:rPr>
        <w:t xml:space="preserve">Chapter </w:t>
      </w:r>
      <w:r w:rsidR="002A1078">
        <w:rPr>
          <w:rFonts w:cs="Arial"/>
        </w:rPr>
        <w:t>4</w:t>
      </w:r>
      <w:r w:rsidR="002A1078" w:rsidRPr="0062034A">
        <w:rPr>
          <w:rFonts w:cs="Arial"/>
        </w:rPr>
        <w:t xml:space="preserve"> </w:t>
      </w:r>
      <w:r w:rsidR="00060D8F" w:rsidRPr="0062034A">
        <w:rPr>
          <w:rFonts w:cs="Arial"/>
        </w:rPr>
        <w:t xml:space="preserve">– </w:t>
      </w:r>
      <w:r w:rsidR="000C3D73" w:rsidRPr="0062034A">
        <w:rPr>
          <w:rFonts w:cs="Arial"/>
        </w:rPr>
        <w:t>Clarification of duties in relation to education services</w:t>
      </w:r>
      <w:bookmarkEnd w:id="21"/>
      <w:r w:rsidR="000C3D73" w:rsidRPr="0062034A">
        <w:rPr>
          <w:rFonts w:cs="Arial"/>
        </w:rPr>
        <w:t xml:space="preserve"> </w:t>
      </w:r>
    </w:p>
    <w:p w14:paraId="68864B3A" w14:textId="3E8BD648" w:rsidR="00172919" w:rsidRDefault="00172919" w:rsidP="00172919">
      <w:r w:rsidRPr="002E2D67">
        <w:t xml:space="preserve">Analysis of consultation responses demonstrates that </w:t>
      </w:r>
      <w:r w:rsidR="009E4107">
        <w:t>clarification of local authorities’ duties to provide</w:t>
      </w:r>
      <w:r w:rsidRPr="002E2D67">
        <w:t xml:space="preserve"> education services </w:t>
      </w:r>
      <w:r w:rsidR="009E4107">
        <w:t xml:space="preserve">to academies and maintained schools </w:t>
      </w:r>
      <w:r w:rsidRPr="002E2D67">
        <w:t>would be welcomed and could also help with achieving savings.</w:t>
      </w:r>
    </w:p>
    <w:p w14:paraId="516E3462" w14:textId="77777777" w:rsidR="00172919" w:rsidRDefault="00172919" w:rsidP="00172919">
      <w:r w:rsidRPr="002E2D67">
        <w:t>The table in Annex A lists the main duties that local authorities have in education services</w:t>
      </w:r>
      <w:r>
        <w:t xml:space="preserve"> in relation to both maintained schools and </w:t>
      </w:r>
      <w:r w:rsidRPr="002E2D67">
        <w:t>academies. Local authorities may wish to use this information when considering their provision of services for schools, and we hope that it will be helpful for academies to</w:t>
      </w:r>
      <w:r>
        <w:t xml:space="preserve"> have clarity about the duties that local authorities retain for them. </w:t>
      </w:r>
    </w:p>
    <w:p w14:paraId="2F6F0A70" w14:textId="75BBB0F0" w:rsidR="00060D8F" w:rsidRPr="0062034A" w:rsidRDefault="00060D8F">
      <w:pPr>
        <w:spacing w:after="0" w:line="240" w:lineRule="auto"/>
        <w:rPr>
          <w:rFonts w:cs="Arial"/>
        </w:rPr>
      </w:pPr>
      <w:r w:rsidRPr="0062034A">
        <w:rPr>
          <w:rFonts w:cs="Arial"/>
        </w:rPr>
        <w:br w:type="page"/>
      </w:r>
    </w:p>
    <w:p w14:paraId="2CCE4CE9" w14:textId="6F879D02" w:rsidR="000C3D73" w:rsidRPr="0062034A" w:rsidRDefault="00060D8F" w:rsidP="00060D8F">
      <w:pPr>
        <w:pStyle w:val="Heading1"/>
        <w:rPr>
          <w:rFonts w:cs="Arial"/>
        </w:rPr>
      </w:pPr>
      <w:bookmarkStart w:id="22" w:name="_Toc393781911"/>
      <w:r w:rsidRPr="0062034A">
        <w:rPr>
          <w:rFonts w:cs="Arial"/>
        </w:rPr>
        <w:t xml:space="preserve">Chapter </w:t>
      </w:r>
      <w:r w:rsidR="002A1078">
        <w:rPr>
          <w:rFonts w:cs="Arial"/>
        </w:rPr>
        <w:t>5</w:t>
      </w:r>
      <w:r w:rsidR="002A1078" w:rsidRPr="0062034A">
        <w:rPr>
          <w:rFonts w:cs="Arial"/>
        </w:rPr>
        <w:t xml:space="preserve"> </w:t>
      </w:r>
      <w:r w:rsidRPr="0062034A">
        <w:rPr>
          <w:rFonts w:cs="Arial"/>
        </w:rPr>
        <w:t>– Additional funding for music s</w:t>
      </w:r>
      <w:r w:rsidR="000C3D73" w:rsidRPr="0062034A">
        <w:rPr>
          <w:rFonts w:cs="Arial"/>
        </w:rPr>
        <w:t>ervices</w:t>
      </w:r>
      <w:bookmarkEnd w:id="22"/>
    </w:p>
    <w:p w14:paraId="76251BC9" w14:textId="7F626EA2" w:rsidR="00172919" w:rsidRPr="007B23C8" w:rsidRDefault="00172919" w:rsidP="00026BA3">
      <w:bookmarkStart w:id="23" w:name="OLE_LINK1"/>
      <w:r w:rsidRPr="007B23C8">
        <w:t>We believe that every child is entitled to a high-quality music education. We have confirmed music as a compulsory subject for all children from key stage 1 to key stage 3 in the new national curriculum.</w:t>
      </w:r>
      <w:r w:rsidR="00B14771">
        <w:t xml:space="preserve"> </w:t>
      </w:r>
      <w:r w:rsidRPr="007B23C8">
        <w:t>The new programmes of study for music include an increased focus on the need for activities to be undertaken ‘musically’ with reference to learning to play a musical instrument and an increased focus on singing.</w:t>
      </w:r>
      <w:r w:rsidR="00B14771">
        <w:t xml:space="preserve"> </w:t>
      </w:r>
    </w:p>
    <w:p w14:paraId="08A7EDC7" w14:textId="1FEFB60D" w:rsidR="00172919" w:rsidRDefault="00172919" w:rsidP="00026BA3">
      <w:r w:rsidRPr="00CA55C5">
        <w:t>In November 2011 we announced that we would set up new music education hubs to improve the quality and consistency of music education.</w:t>
      </w:r>
      <w:r w:rsidR="00B14771">
        <w:t xml:space="preserve"> </w:t>
      </w:r>
      <w:r w:rsidRPr="00CA55C5">
        <w:t>Music hubs are responsible for ensuring that every child has access to free whole class ensemble tuition for at least one term</w:t>
      </w:r>
      <w:r>
        <w:t>,</w:t>
      </w:r>
      <w:r w:rsidRPr="00CA55C5">
        <w:t xml:space="preserve"> </w:t>
      </w:r>
      <w:r>
        <w:t>p</w:t>
      </w:r>
      <w:r w:rsidRPr="00CA55C5">
        <w:t>roviding</w:t>
      </w:r>
      <w:r>
        <w:t xml:space="preserve"> affordable</w:t>
      </w:r>
      <w:r w:rsidRPr="00CA55C5">
        <w:t xml:space="preserve"> progression routes to all young people who wish to develop their skills even further</w:t>
      </w:r>
      <w:r>
        <w:t>, providing opportunities for young people to play in ensembles, and developing a singing strategy to ensure that every young person sings regularly</w:t>
      </w:r>
      <w:r w:rsidRPr="00CA55C5">
        <w:t>. We are providing £1</w:t>
      </w:r>
      <w:r w:rsidR="009A3901">
        <w:t>71 million for hubs across 2012-</w:t>
      </w:r>
      <w:r w:rsidRPr="00CA55C5">
        <w:t>15,</w:t>
      </w:r>
      <w:r>
        <w:t xml:space="preserve"> and in 2015-16 at least £75 million, compared with £58</w:t>
      </w:r>
      <w:r w:rsidR="009E4107">
        <w:t xml:space="preserve"> </w:t>
      </w:r>
      <w:r>
        <w:t>million in 2014-15.</w:t>
      </w:r>
    </w:p>
    <w:p w14:paraId="2D59933B" w14:textId="2368B8C7" w:rsidR="00172919" w:rsidRPr="00CA55C5" w:rsidRDefault="00172919" w:rsidP="00026BA3">
      <w:r w:rsidRPr="007723D8">
        <w:t>Government funds music education hubs centrally, according to a formula which reflects total pupil numbers and the number of pupils in each area who are eligible for free school meals, and music education hubs are also encouraged to seek other sources of funding.</w:t>
      </w:r>
      <w:r w:rsidR="00B14771">
        <w:t xml:space="preserve"> </w:t>
      </w:r>
      <w:r w:rsidRPr="007723D8">
        <w:t xml:space="preserve">If they wish, </w:t>
      </w:r>
      <w:r>
        <w:t>local authorities</w:t>
      </w:r>
      <w:r w:rsidRPr="007723D8">
        <w:t xml:space="preserve"> can choose to supplement this central funding from their non-ringfenced budget, including ESG.</w:t>
      </w:r>
      <w:r w:rsidR="00B14771">
        <w:t xml:space="preserve"> </w:t>
      </w:r>
    </w:p>
    <w:p w14:paraId="60721127" w14:textId="409F54BB" w:rsidR="00172919" w:rsidRPr="00CA55C5" w:rsidRDefault="00172919" w:rsidP="00026BA3">
      <w:r w:rsidRPr="00CA55C5">
        <w:t xml:space="preserve">There are additional programmes funded by </w:t>
      </w:r>
      <w:r w:rsidR="00026BA3">
        <w:t xml:space="preserve">The department </w:t>
      </w:r>
      <w:r w:rsidRPr="00CA55C5">
        <w:t xml:space="preserve">which support children from deprived areas and low-income families </w:t>
      </w:r>
      <w:r>
        <w:t>to</w:t>
      </w:r>
      <w:r w:rsidRPr="00CA55C5">
        <w:t xml:space="preserve"> access an excellent music education. We are providing over £84 million across 2012-15 for the Music and Dance Scheme (MDS), which provides means-tested financial assistance for children with exceptional potential so that they can benefit from world-class specialist training</w:t>
      </w:r>
      <w:r>
        <w:t>, and we</w:t>
      </w:r>
      <w:r w:rsidRPr="00CA55C5">
        <w:t xml:space="preserve"> are also providing £1.5 million for ‘In Harmony’ across the 2012-15 period.</w:t>
      </w:r>
      <w:r w:rsidR="00B14771">
        <w:t xml:space="preserve"> </w:t>
      </w:r>
    </w:p>
    <w:p w14:paraId="1308F364" w14:textId="3B825F47" w:rsidR="00172919" w:rsidRDefault="00026BA3" w:rsidP="00026BA3">
      <w:r>
        <w:t xml:space="preserve">The department </w:t>
      </w:r>
      <w:r w:rsidR="00172919" w:rsidRPr="004061F5">
        <w:t xml:space="preserve">received a large volume of responses to the consultation </w:t>
      </w:r>
      <w:r w:rsidR="00172919">
        <w:t xml:space="preserve">on ESG </w:t>
      </w:r>
      <w:r w:rsidR="00172919" w:rsidRPr="004061F5">
        <w:t xml:space="preserve">relating to the provision of music services. </w:t>
      </w:r>
      <w:r w:rsidR="00172919">
        <w:t xml:space="preserve">Concern was triggered by our statement in the consultation document that </w:t>
      </w:r>
      <w:r w:rsidR="00172919" w:rsidRPr="007723D8">
        <w:t xml:space="preserve">our expectation was that music services should now be funded through music education hubs (which can cover one or more local authority areas) and from school budgets, not from the ESG. </w:t>
      </w:r>
      <w:r w:rsidR="00172919" w:rsidRPr="004061F5">
        <w:t xml:space="preserve">Many </w:t>
      </w:r>
      <w:r w:rsidR="00172919">
        <w:t xml:space="preserve">respondents </w:t>
      </w:r>
      <w:r w:rsidR="00172919" w:rsidRPr="004061F5">
        <w:t>were concerned that reduced local authority support for music services would impact on the overall quality of music provision and in particular on the opportuni</w:t>
      </w:r>
      <w:r w:rsidR="00172919">
        <w:t xml:space="preserve">ties for disadvantaged children. </w:t>
      </w:r>
    </w:p>
    <w:p w14:paraId="596DFE38" w14:textId="138DFC5D" w:rsidR="00172919" w:rsidRPr="00CA55C5" w:rsidRDefault="00172919" w:rsidP="00026BA3">
      <w:r>
        <w:t xml:space="preserve">In 2014-15 </w:t>
      </w:r>
      <w:r w:rsidR="00026BA3">
        <w:t xml:space="preserve">The department </w:t>
      </w:r>
      <w:r>
        <w:t>for Education gave central funding of £58</w:t>
      </w:r>
      <w:r w:rsidR="009A3901">
        <w:t xml:space="preserve"> </w:t>
      </w:r>
      <w:r>
        <w:t>million to music hubs. At present, we do not have reliable data on the amount of extra funding that local authorities gave to music hubs in 2014-15. Data collected by Arts Council England suggests that, in 2012-13, local authorities contributed just over £14</w:t>
      </w:r>
      <w:r w:rsidR="009E4107">
        <w:t xml:space="preserve"> </w:t>
      </w:r>
      <w:r>
        <w:t xml:space="preserve">million to music hubs. </w:t>
      </w:r>
    </w:p>
    <w:p w14:paraId="6BBEA1B4" w14:textId="309A2A8C" w:rsidR="00172919" w:rsidRDefault="00172919" w:rsidP="00026BA3">
      <w:r>
        <w:t xml:space="preserve">In recognition of the importance of high quality music education, we </w:t>
      </w:r>
      <w:r w:rsidR="00E93FBE">
        <w:t xml:space="preserve">have </w:t>
      </w:r>
      <w:r>
        <w:t xml:space="preserve">announced </w:t>
      </w:r>
      <w:r w:rsidR="00E93FBE">
        <w:t>in parallel</w:t>
      </w:r>
      <w:r>
        <w:t xml:space="preserve"> that in 2015-16 we will increase central funding to music education by £18</w:t>
      </w:r>
      <w:r w:rsidR="009E4107">
        <w:t xml:space="preserve"> </w:t>
      </w:r>
      <w:r>
        <w:t>m</w:t>
      </w:r>
      <w:r w:rsidR="009E4107">
        <w:t>illion</w:t>
      </w:r>
      <w:r>
        <w:t>. The total funding for music education hubs will be around £75</w:t>
      </w:r>
      <w:r w:rsidR="009E4107">
        <w:t xml:space="preserve"> </w:t>
      </w:r>
      <w:r>
        <w:t>million 2015-16 – up from £58 million in 2014-15.</w:t>
      </w:r>
    </w:p>
    <w:p w14:paraId="0B4E5DCC" w14:textId="77777777" w:rsidR="00172919" w:rsidRDefault="00172919" w:rsidP="00026BA3">
      <w:r>
        <w:t xml:space="preserve">As ESG is an un-ringfenced grant, local authorities will continue to have total discretion about whether to spend any of the ESG budget they receive on providing music services. </w:t>
      </w:r>
    </w:p>
    <w:p w14:paraId="13B519FD" w14:textId="7DE712C2" w:rsidR="00E05678" w:rsidRPr="0062034A" w:rsidRDefault="00E05678" w:rsidP="0028077E">
      <w:pPr>
        <w:rPr>
          <w:rFonts w:cs="Arial"/>
        </w:rPr>
      </w:pPr>
      <w:r w:rsidRPr="0062034A">
        <w:rPr>
          <w:rFonts w:cs="Arial"/>
        </w:rPr>
        <w:br w:type="page"/>
      </w:r>
    </w:p>
    <w:p w14:paraId="702AAEB6" w14:textId="0A93ED7A" w:rsidR="00F75D49" w:rsidRPr="0062034A" w:rsidRDefault="00D16C10" w:rsidP="00F75D49">
      <w:pPr>
        <w:rPr>
          <w:rFonts w:cs="Arial"/>
        </w:rPr>
      </w:pPr>
      <w:bookmarkStart w:id="24" w:name="_Toc373223097"/>
      <w:bookmarkStart w:id="25" w:name="_Toc378336176"/>
      <w:bookmarkEnd w:id="2"/>
      <w:bookmarkEnd w:id="3"/>
      <w:bookmarkEnd w:id="4"/>
      <w:bookmarkEnd w:id="5"/>
      <w:bookmarkEnd w:id="23"/>
      <w:r w:rsidRPr="0062034A">
        <w:rPr>
          <w:rFonts w:cs="Arial"/>
          <w:noProof/>
        </w:rPr>
        <w:drawing>
          <wp:inline distT="0" distB="0" distL="0" distR="0" wp14:anchorId="0ADBF7FC" wp14:editId="3080F2D9">
            <wp:extent cx="1341120" cy="1078865"/>
            <wp:effectExtent l="0" t="0" r="0" b="6985"/>
            <wp:docPr id="4" name="Picture 4" descr="Department for Educatio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41120" cy="1078865"/>
                    </a:xfrm>
                    <a:prstGeom prst="rect">
                      <a:avLst/>
                    </a:prstGeom>
                    <a:noFill/>
                  </pic:spPr>
                </pic:pic>
              </a:graphicData>
            </a:graphic>
          </wp:inline>
        </w:drawing>
      </w:r>
    </w:p>
    <w:p w14:paraId="307D8191" w14:textId="64C409D4" w:rsidR="00F75D49" w:rsidRPr="00371C4E" w:rsidRDefault="00F75D49" w:rsidP="0028077E">
      <w:pPr>
        <w:pStyle w:val="CopyrightSpacing"/>
      </w:pPr>
      <w:r w:rsidRPr="00371C4E">
        <w:t>© Crown copyright 2014</w:t>
      </w:r>
    </w:p>
    <w:p w14:paraId="59E05E7B" w14:textId="77777777" w:rsidR="00F75D49" w:rsidRPr="0062034A" w:rsidRDefault="00F75D49" w:rsidP="00F75D49">
      <w:pPr>
        <w:spacing w:after="160"/>
        <w:rPr>
          <w:rFonts w:cs="Arial"/>
        </w:rPr>
      </w:pPr>
      <w:r w:rsidRPr="0062034A">
        <w:rPr>
          <w:rFonts w:cs="Arial"/>
        </w:rPr>
        <w:t>You may re-use this document/publication (not including logos) free of charge in any format or medium, under the terms of the Open Government Licence v2.0. Where we have identified any third party copyright information you will need to obtain permission from the copyright holders concerned.</w:t>
      </w:r>
    </w:p>
    <w:p w14:paraId="0F95877A" w14:textId="61493AFE" w:rsidR="00F75D49" w:rsidRPr="0062034A" w:rsidRDefault="00F75D49" w:rsidP="0028077E">
      <w:pPr>
        <w:spacing w:after="160" w:line="240" w:lineRule="auto"/>
      </w:pPr>
      <w:r w:rsidRPr="0062034A">
        <w:t>To view</w:t>
      </w:r>
      <w:r w:rsidR="00B14771">
        <w:t xml:space="preserve"> </w:t>
      </w:r>
      <w:r w:rsidRPr="0062034A">
        <w:t>this licence:</w:t>
      </w:r>
    </w:p>
    <w:p w14:paraId="767B1148" w14:textId="77777777" w:rsidR="00F75D49" w:rsidRPr="0062034A" w:rsidRDefault="00F75D49" w:rsidP="0028077E">
      <w:pPr>
        <w:spacing w:after="160" w:line="240" w:lineRule="auto"/>
        <w:ind w:left="567"/>
      </w:pPr>
      <w:r w:rsidRPr="0062034A">
        <w:t xml:space="preserve">visit </w:t>
      </w:r>
      <w:r w:rsidRPr="0062034A">
        <w:tab/>
      </w:r>
      <w:hyperlink r:id="rId27" w:tooltip="Visit the national archives licencing information" w:history="1">
        <w:r w:rsidRPr="0062034A">
          <w:rPr>
            <w:color w:val="0000FF"/>
            <w:u w:val="single"/>
          </w:rPr>
          <w:t>www.nationalarchives.gov.uk/doc/open-government-licence/version/2</w:t>
        </w:r>
      </w:hyperlink>
    </w:p>
    <w:p w14:paraId="6A52FFAC" w14:textId="77777777" w:rsidR="00F75D49" w:rsidRPr="0062034A" w:rsidRDefault="00F75D49" w:rsidP="0028077E">
      <w:pPr>
        <w:spacing w:after="160" w:line="240" w:lineRule="auto"/>
        <w:ind w:left="567"/>
      </w:pPr>
      <w:r w:rsidRPr="0062034A">
        <w:t xml:space="preserve">email </w:t>
      </w:r>
      <w:r w:rsidRPr="0062034A">
        <w:tab/>
      </w:r>
      <w:hyperlink r:id="rId28" w:tooltip="The National Archives' email address" w:history="1">
        <w:r w:rsidRPr="0062034A">
          <w:rPr>
            <w:color w:val="0000FF"/>
            <w:u w:val="single"/>
          </w:rPr>
          <w:t>psi@nationalarchives.gsi.gov.uk</w:t>
        </w:r>
      </w:hyperlink>
    </w:p>
    <w:p w14:paraId="0D2767BE" w14:textId="77777777" w:rsidR="00F75D49" w:rsidRPr="0062034A" w:rsidRDefault="00F75D49" w:rsidP="0028077E">
      <w:pPr>
        <w:spacing w:after="160" w:line="240" w:lineRule="auto"/>
      </w:pPr>
      <w:r w:rsidRPr="0062034A">
        <w:t>About this publication:</w:t>
      </w:r>
    </w:p>
    <w:p w14:paraId="3BC399F9" w14:textId="43B974EA" w:rsidR="00F75D49" w:rsidRPr="0062034A" w:rsidRDefault="00F75D49" w:rsidP="0028077E">
      <w:pPr>
        <w:spacing w:after="160" w:line="240" w:lineRule="auto"/>
        <w:ind w:left="567"/>
      </w:pPr>
      <w:r w:rsidRPr="0062034A">
        <w:t>enquiries</w:t>
      </w:r>
      <w:r w:rsidR="00B14771">
        <w:t xml:space="preserve"> </w:t>
      </w:r>
      <w:r w:rsidRPr="0062034A">
        <w:tab/>
      </w:r>
      <w:hyperlink r:id="rId29" w:tooltip="Department for Education contact us list" w:history="1">
        <w:r w:rsidRPr="0062034A">
          <w:rPr>
            <w:color w:val="0000FF"/>
            <w:u w:val="single"/>
          </w:rPr>
          <w:t>www.education.gov.uk/contactus</w:t>
        </w:r>
      </w:hyperlink>
      <w:r w:rsidRPr="0062034A">
        <w:t xml:space="preserve"> </w:t>
      </w:r>
    </w:p>
    <w:p w14:paraId="59F6B6E7" w14:textId="77777777" w:rsidR="00F75D49" w:rsidRPr="0062034A" w:rsidRDefault="00F75D49" w:rsidP="0028077E">
      <w:pPr>
        <w:spacing w:after="160" w:line="240" w:lineRule="auto"/>
        <w:ind w:left="567"/>
      </w:pPr>
      <w:r w:rsidRPr="0062034A">
        <w:t xml:space="preserve">download </w:t>
      </w:r>
      <w:r w:rsidRPr="0062034A">
        <w:tab/>
      </w:r>
      <w:hyperlink r:id="rId30" w:tooltip="Link to Gov.uk publications" w:history="1">
        <w:r w:rsidRPr="0062034A">
          <w:rPr>
            <w:color w:val="0000FF"/>
            <w:u w:val="single"/>
          </w:rPr>
          <w:t>www.gov.uk/government/publications</w:t>
        </w:r>
      </w:hyperlink>
      <w:r w:rsidRPr="0062034A">
        <w:t xml:space="preserve"> </w:t>
      </w:r>
    </w:p>
    <w:p w14:paraId="68D3A6C3" w14:textId="77777777" w:rsidR="00F75D49" w:rsidRPr="0062034A" w:rsidRDefault="00F75D49" w:rsidP="0028077E">
      <w:pPr>
        <w:spacing w:after="160" w:line="240" w:lineRule="auto"/>
      </w:pPr>
      <w:r w:rsidRPr="0062034A">
        <w:t xml:space="preserve">Reference: </w:t>
      </w:r>
      <w:r w:rsidRPr="0062034A">
        <w:tab/>
        <w:t>[000-000-000]</w:t>
      </w:r>
    </w:p>
    <w:tbl>
      <w:tblPr>
        <w:tblStyle w:val="TableGrid2"/>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478"/>
        <w:gridCol w:w="2692"/>
        <w:gridCol w:w="876"/>
        <w:gridCol w:w="3459"/>
      </w:tblGrid>
      <w:tr w:rsidR="00F75D49" w:rsidRPr="0062034A" w14:paraId="09C1655F" w14:textId="77777777" w:rsidTr="00F75D49">
        <w:trPr>
          <w:tblHeader/>
        </w:trPr>
        <w:tc>
          <w:tcPr>
            <w:tcW w:w="1276" w:type="dxa"/>
            <w:hideMark/>
          </w:tcPr>
          <w:p w14:paraId="1AB187CB" w14:textId="2144124E" w:rsidR="00F75D49" w:rsidRPr="0062034A" w:rsidRDefault="00F75D49" w:rsidP="000C517A">
            <w:pPr>
              <w:pStyle w:val="NormalWeb"/>
              <w:rPr>
                <w:noProof/>
              </w:rPr>
            </w:pPr>
            <w:r w:rsidRPr="0062034A">
              <w:rPr>
                <w:noProof/>
              </w:rPr>
              <w:tab/>
            </w:r>
            <w:r w:rsidRPr="0062034A">
              <w:rPr>
                <w:noProof/>
              </w:rPr>
              <w:drawing>
                <wp:inline distT="0" distB="0" distL="0" distR="0" wp14:anchorId="7DAF70F3" wp14:editId="4E8D26FE">
                  <wp:extent cx="344170" cy="273050"/>
                  <wp:effectExtent l="0" t="0" r="0" b="0"/>
                  <wp:docPr id="6" name="Picture 6"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27B34160" w14:textId="77777777" w:rsidR="00F75D49" w:rsidRPr="0028077E" w:rsidRDefault="00F75D49" w:rsidP="000C517A">
            <w:pPr>
              <w:pStyle w:val="NormalWeb"/>
              <w:rPr>
                <w:rFonts w:ascii="Arial" w:hAnsi="Arial" w:cs="Arial"/>
                <w:noProof/>
              </w:rPr>
            </w:pPr>
            <w:r w:rsidRPr="0028077E">
              <w:rPr>
                <w:rFonts w:ascii="Arial" w:hAnsi="Arial" w:cs="Arial"/>
                <w:noProof/>
              </w:rPr>
              <w:t xml:space="preserve">Follow us on Twitter: </w:t>
            </w:r>
            <w:hyperlink r:id="rId32" w:tooltip="View the DfE Twitter profile page" w:history="1">
              <w:r w:rsidRPr="0028077E">
                <w:rPr>
                  <w:rFonts w:ascii="Arial" w:hAnsi="Arial" w:cs="Arial"/>
                  <w:noProof/>
                  <w:color w:val="0000FF"/>
                  <w:u w:val="single"/>
                </w:rPr>
                <w:t>@educationgovuk</w:t>
              </w:r>
            </w:hyperlink>
          </w:p>
        </w:tc>
        <w:tc>
          <w:tcPr>
            <w:tcW w:w="935" w:type="dxa"/>
            <w:hideMark/>
          </w:tcPr>
          <w:p w14:paraId="22DFD66B" w14:textId="77777777" w:rsidR="00F75D49" w:rsidRPr="0028077E" w:rsidRDefault="00F75D49" w:rsidP="000C517A">
            <w:pPr>
              <w:pStyle w:val="NormalWeb"/>
              <w:rPr>
                <w:rFonts w:ascii="Arial" w:hAnsi="Arial" w:cs="Arial"/>
                <w:noProof/>
              </w:rPr>
            </w:pPr>
            <w:r w:rsidRPr="0028077E">
              <w:rPr>
                <w:rFonts w:ascii="Arial" w:hAnsi="Arial" w:cs="Arial"/>
                <w:noProof/>
              </w:rPr>
              <w:drawing>
                <wp:inline distT="0" distB="0" distL="0" distR="0" wp14:anchorId="181DBCC3" wp14:editId="47DF3A30">
                  <wp:extent cx="273050" cy="273050"/>
                  <wp:effectExtent l="0" t="0" r="0" b="0"/>
                  <wp:docPr id="7" name="Picture 7"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003198D9" w14:textId="77777777" w:rsidR="00F75D49" w:rsidRPr="0028077E" w:rsidRDefault="00F75D49" w:rsidP="000C517A">
            <w:pPr>
              <w:pStyle w:val="NormalWeb"/>
              <w:rPr>
                <w:rFonts w:ascii="Arial" w:hAnsi="Arial" w:cs="Arial"/>
                <w:noProof/>
              </w:rPr>
            </w:pPr>
            <w:r w:rsidRPr="0028077E">
              <w:rPr>
                <w:rFonts w:ascii="Arial" w:hAnsi="Arial" w:cs="Arial"/>
                <w:noProof/>
              </w:rPr>
              <w:t>Like us on Facebook:</w:t>
            </w:r>
            <w:r w:rsidRPr="0028077E">
              <w:rPr>
                <w:rFonts w:ascii="Arial" w:hAnsi="Arial" w:cs="Arial"/>
                <w:noProof/>
              </w:rPr>
              <w:br/>
            </w:r>
            <w:hyperlink r:id="rId34" w:tooltip="Link the DfE on Facebook" w:history="1">
              <w:r w:rsidRPr="0028077E">
                <w:rPr>
                  <w:rFonts w:ascii="Arial" w:hAnsi="Arial" w:cs="Arial"/>
                  <w:noProof/>
                  <w:color w:val="0000FF"/>
                  <w:u w:val="single"/>
                </w:rPr>
                <w:t>facebook.com/educationgovuk</w:t>
              </w:r>
            </w:hyperlink>
          </w:p>
        </w:tc>
      </w:tr>
      <w:bookmarkEnd w:id="24"/>
      <w:bookmarkEnd w:id="25"/>
    </w:tbl>
    <w:p w14:paraId="5B5AAB41" w14:textId="77777777" w:rsidR="00F75D49" w:rsidRPr="0062034A" w:rsidRDefault="00F75D49" w:rsidP="0028077E"/>
    <w:sectPr w:rsidR="00F75D49" w:rsidRPr="0062034A" w:rsidSect="00BA17A1">
      <w:footerReference w:type="default" r:id="rId35"/>
      <w:pgSz w:w="11906" w:h="16838"/>
      <w:pgMar w:top="1134" w:right="1274" w:bottom="993" w:left="1134" w:header="709" w:footer="709"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B1FE6" w14:textId="77777777" w:rsidR="003D0146" w:rsidRDefault="003D0146" w:rsidP="005C657D">
      <w:pPr>
        <w:spacing w:after="0" w:line="240" w:lineRule="auto"/>
      </w:pPr>
      <w:r>
        <w:separator/>
      </w:r>
    </w:p>
    <w:p w14:paraId="6D2387B9" w14:textId="77777777" w:rsidR="003D0146" w:rsidRDefault="003D0146"/>
  </w:endnote>
  <w:endnote w:type="continuationSeparator" w:id="0">
    <w:p w14:paraId="284CC923" w14:textId="77777777" w:rsidR="003D0146" w:rsidRDefault="003D0146" w:rsidP="005C657D">
      <w:pPr>
        <w:spacing w:after="0" w:line="240" w:lineRule="auto"/>
      </w:pPr>
      <w:r>
        <w:continuationSeparator/>
      </w:r>
    </w:p>
    <w:p w14:paraId="24CCFE50" w14:textId="77777777" w:rsidR="003D0146" w:rsidRDefault="003D01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51B46" w14:textId="77777777" w:rsidR="003D0146" w:rsidRDefault="003D0146" w:rsidP="00D05342">
    <w:pPr>
      <w:pStyle w:val="Footer"/>
      <w:spacing w:before="240"/>
      <w:jc w:val="center"/>
    </w:pPr>
    <w:r>
      <w:fldChar w:fldCharType="begin"/>
    </w:r>
    <w:r>
      <w:instrText xml:space="preserve"> PAGE   \* MERGEFORMAT </w:instrText>
    </w:r>
    <w:r>
      <w:fldChar w:fldCharType="separate"/>
    </w:r>
    <w:r w:rsidR="000412EA">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214E0" w14:textId="77777777" w:rsidR="003D0146" w:rsidRDefault="003D0146" w:rsidP="005C657D">
      <w:pPr>
        <w:spacing w:after="0" w:line="240" w:lineRule="auto"/>
      </w:pPr>
      <w:r>
        <w:separator/>
      </w:r>
    </w:p>
    <w:p w14:paraId="10E7BCDB" w14:textId="77777777" w:rsidR="003D0146" w:rsidRDefault="003D0146"/>
  </w:footnote>
  <w:footnote w:type="continuationSeparator" w:id="0">
    <w:p w14:paraId="5B310228" w14:textId="77777777" w:rsidR="003D0146" w:rsidRDefault="003D0146" w:rsidP="005C657D">
      <w:pPr>
        <w:spacing w:after="0" w:line="240" w:lineRule="auto"/>
      </w:pPr>
      <w:r>
        <w:continuationSeparator/>
      </w:r>
    </w:p>
    <w:p w14:paraId="022CA495" w14:textId="77777777" w:rsidR="003D0146" w:rsidRDefault="003D0146"/>
  </w:footnote>
  <w:footnote w:id="1">
    <w:p w14:paraId="5BECEF92" w14:textId="77777777" w:rsidR="003D0146" w:rsidRDefault="003D0146" w:rsidP="00553E9B">
      <w:pPr>
        <w:pStyle w:val="FootnoteText"/>
      </w:pPr>
      <w:r>
        <w:rPr>
          <w:rStyle w:val="FootnoteReference"/>
        </w:rPr>
        <w:footnoteRef/>
      </w:r>
      <w:r>
        <w:t xml:space="preserve"> Academies receive their funding on an academic year basis, whereas local authorities receive it on a financial year basis. </w:t>
      </w:r>
    </w:p>
  </w:footnote>
  <w:footnote w:id="2">
    <w:p w14:paraId="1CFC5C3F" w14:textId="7828B641" w:rsidR="003D0146" w:rsidRDefault="003D0146" w:rsidP="00553E9B">
      <w:pPr>
        <w:pStyle w:val="FootnoteText"/>
      </w:pPr>
      <w:r>
        <w:rPr>
          <w:rStyle w:val="FootnoteReference"/>
        </w:rPr>
        <w:footnoteRef/>
      </w:r>
      <w:r>
        <w:t xml:space="preserve"> </w:t>
      </w:r>
      <w:r w:rsidRPr="0079332B">
        <w:t xml:space="preserve">For </w:t>
      </w:r>
      <w:r>
        <w:t xml:space="preserve">pupils in alternative provision and special schools </w:t>
      </w:r>
      <w:r w:rsidRPr="0079332B">
        <w:t>multipliers of 3.75 and 4.25 respectively are appl</w:t>
      </w:r>
      <w:r>
        <w:t>ied on a per place basis to the rates and top-up shown.</w:t>
      </w:r>
    </w:p>
  </w:footnote>
  <w:footnote w:id="3">
    <w:p w14:paraId="167ADAEA" w14:textId="0FD697E9" w:rsidR="003D0146" w:rsidRPr="00AC782E" w:rsidRDefault="003D0146" w:rsidP="00553E9B">
      <w:pPr>
        <w:pStyle w:val="FootnoteText"/>
        <w:rPr>
          <w:color w:val="000000" w:themeColor="text1"/>
        </w:rPr>
      </w:pPr>
      <w:r>
        <w:rPr>
          <w:rStyle w:val="FootnoteReference"/>
        </w:rPr>
        <w:footnoteRef/>
      </w:r>
      <w:r>
        <w:t xml:space="preserve"> </w:t>
      </w:r>
      <w:r w:rsidRPr="00AC782E">
        <w:rPr>
          <w:color w:val="000000" w:themeColor="text1"/>
        </w:rPr>
        <w:t xml:space="preserve">Academies used to receive money from DfE for SEN services as part of the </w:t>
      </w:r>
      <w:r>
        <w:rPr>
          <w:color w:val="000000" w:themeColor="text1"/>
        </w:rPr>
        <w:t>s</w:t>
      </w:r>
      <w:r w:rsidRPr="00AC782E">
        <w:rPr>
          <w:color w:val="000000" w:themeColor="text1"/>
        </w:rPr>
        <w:t xml:space="preserve">chools </w:t>
      </w:r>
      <w:r>
        <w:rPr>
          <w:color w:val="000000" w:themeColor="text1"/>
        </w:rPr>
        <w:t>b</w:t>
      </w:r>
      <w:r w:rsidRPr="00AC782E">
        <w:rPr>
          <w:color w:val="000000" w:themeColor="text1"/>
        </w:rPr>
        <w:t>lock Local Authority Central Spend Equivalent Grant (LACSEG). From 2011-12 local authorities were given responsibility for providing such services to academies free of charge</w:t>
      </w:r>
      <w:r>
        <w:rPr>
          <w:color w:val="000000" w:themeColor="text1"/>
        </w:rPr>
        <w:t>,</w:t>
      </w:r>
      <w:r w:rsidRPr="00AC782E">
        <w:rPr>
          <w:color w:val="000000" w:themeColor="text1"/>
        </w:rPr>
        <w:t xml:space="preserve"> </w:t>
      </w:r>
      <w:r>
        <w:rPr>
          <w:color w:val="000000" w:themeColor="text1"/>
        </w:rPr>
        <w:t>s</w:t>
      </w:r>
      <w:r w:rsidRPr="00AC782E">
        <w:rPr>
          <w:color w:val="000000" w:themeColor="text1"/>
        </w:rPr>
        <w:t>o academies were being double funded.This element of LACSEG continued to be paid directly to academies until academic year 2012/13.</w:t>
      </w:r>
      <w:r>
        <w:rPr>
          <w:color w:val="000000" w:themeColor="text1"/>
        </w:rPr>
        <w:t xml:space="preserve"> </w:t>
      </w:r>
      <w:r w:rsidRPr="00AC782E">
        <w:rPr>
          <w:color w:val="000000" w:themeColor="text1"/>
        </w:rPr>
        <w:t>It ceased to be paid in academic year 2013/14 but was included in academies’ baselines for calcula</w:t>
      </w:r>
      <w:r>
        <w:rPr>
          <w:color w:val="000000" w:themeColor="text1"/>
        </w:rPr>
        <w:t>tion of the m</w:t>
      </w:r>
      <w:r w:rsidRPr="00AC782E">
        <w:rPr>
          <w:color w:val="000000" w:themeColor="text1"/>
        </w:rPr>
        <w:t xml:space="preserve">inimum </w:t>
      </w:r>
      <w:r>
        <w:rPr>
          <w:color w:val="000000" w:themeColor="text1"/>
        </w:rPr>
        <w:t>f</w:t>
      </w:r>
      <w:r w:rsidRPr="00AC782E">
        <w:rPr>
          <w:color w:val="000000" w:themeColor="text1"/>
        </w:rPr>
        <w:t xml:space="preserve">unding </w:t>
      </w:r>
      <w:r>
        <w:rPr>
          <w:color w:val="000000" w:themeColor="text1"/>
        </w:rPr>
        <w:t>guarantee</w:t>
      </w:r>
      <w:r w:rsidRPr="00AC782E">
        <w:rPr>
          <w:color w:val="000000" w:themeColor="text1"/>
        </w:rPr>
        <w:t xml:space="preserve">. We announced in February 2014 that the </w:t>
      </w:r>
      <w:r>
        <w:rPr>
          <w:color w:val="000000" w:themeColor="text1"/>
        </w:rPr>
        <w:t>Education Funding Agency</w:t>
      </w:r>
      <w:r w:rsidRPr="00AC782E">
        <w:rPr>
          <w:color w:val="000000" w:themeColor="text1"/>
        </w:rPr>
        <w:t xml:space="preserve"> would recover the overpayment made in academic year 2012/13. The adjustment is being made ove</w:t>
      </w:r>
      <w:r>
        <w:rPr>
          <w:color w:val="000000" w:themeColor="text1"/>
        </w:rPr>
        <w:t xml:space="preserve">r two academic year allocations: </w:t>
      </w:r>
      <w:r w:rsidRPr="00AC782E">
        <w:rPr>
          <w:color w:val="000000" w:themeColor="text1"/>
        </w:rPr>
        <w:t xml:space="preserve">50% in 2014/15 and 50% in 2015/16. Academies are protected from excessive year-on-year turbulence as a result of this change, through the transitional protection as set out in </w:t>
      </w:r>
      <w:r>
        <w:rPr>
          <w:color w:val="000000" w:themeColor="text1"/>
        </w:rPr>
        <w:t>Chapter 3</w:t>
      </w:r>
      <w:r w:rsidRPr="00AC782E">
        <w:rPr>
          <w:color w:val="000000" w:themeColor="text1"/>
        </w:rPr>
        <w:t>.</w:t>
      </w:r>
    </w:p>
    <w:p w14:paraId="022D0459" w14:textId="77777777" w:rsidR="003D0146" w:rsidRDefault="003D0146" w:rsidP="00553E9B">
      <w:pPr>
        <w:pStyle w:val="FootnoteText"/>
      </w:pPr>
    </w:p>
  </w:footnote>
  <w:footnote w:id="4">
    <w:p w14:paraId="40012B32" w14:textId="77777777" w:rsidR="003D0146" w:rsidRDefault="003D0146" w:rsidP="00553E9B">
      <w:pPr>
        <w:pStyle w:val="FootnoteText"/>
      </w:pPr>
      <w:r>
        <w:rPr>
          <w:rStyle w:val="FootnoteReference"/>
        </w:rPr>
        <w:footnoteRef/>
      </w:r>
      <w:r>
        <w:t xml:space="preserve"> As in previous years, protection funding for academies will continue to be funded from a part of the Department's budget outside the ESG, not from the ESG itself.</w:t>
      </w:r>
    </w:p>
  </w:footnote>
  <w:footnote w:id="5">
    <w:p w14:paraId="07E300F9" w14:textId="391C2D70" w:rsidR="003D0146" w:rsidRDefault="003D0146" w:rsidP="00553E9B">
      <w:pPr>
        <w:pStyle w:val="FootnoteText"/>
      </w:pPr>
      <w:r>
        <w:rPr>
          <w:rStyle w:val="FootnoteReference"/>
        </w:rPr>
        <w:footnoteRef/>
      </w:r>
      <w:r>
        <w:t xml:space="preserve"> This is after spend on retained duties has been accounted for. For the three ESG relevant functions where local authorities retain some duties on behalf of academies we have applied an adjustment for retained duties. We have assumed that the percentage of total spend on each line for retained duties is as follows: education welfare services, 15%; statutory and regulatory duties, 25%; and asset management, 26%. These splits are the same as those applied to former LACSEG rates.</w:t>
      </w:r>
    </w:p>
  </w:footnote>
  <w:footnote w:id="6">
    <w:p w14:paraId="2AA901D6" w14:textId="2F57A8BD" w:rsidR="003D0146" w:rsidRDefault="003D0146" w:rsidP="00553E9B">
      <w:pPr>
        <w:pStyle w:val="FootnoteText"/>
      </w:pPr>
      <w:r>
        <w:rPr>
          <w:rStyle w:val="FootnoteReference"/>
        </w:rPr>
        <w:footnoteRef/>
      </w:r>
      <w:r>
        <w:t xml:space="preserve">Figures 4 and 5 in Annex B of our consultation document illustrated the relationship between spend on school improvement and % change in key stage 2 and 4 attainment rates. It can be found here: </w:t>
      </w:r>
      <w:r w:rsidRPr="00940B82">
        <w:t>https://www.gov.uk/government/uploads/system/uploads/attachment_data/file/321286/Consultation_Document.pdf</w:t>
      </w:r>
    </w:p>
  </w:footnote>
  <w:footnote w:id="7">
    <w:p w14:paraId="1EEDA723" w14:textId="0AC5A8CE" w:rsidR="003D0146" w:rsidRDefault="003D0146" w:rsidP="0062034A">
      <w:pPr>
        <w:pStyle w:val="FootnoteText"/>
      </w:pPr>
      <w:r>
        <w:rPr>
          <w:rStyle w:val="FootnoteReference"/>
        </w:rPr>
        <w:footnoteRef/>
      </w:r>
      <w:r>
        <w:t xml:space="preserve"> See Footnote 3.</w:t>
      </w:r>
    </w:p>
  </w:footnote>
  <w:footnote w:id="8">
    <w:p w14:paraId="1E319BC5" w14:textId="4CB4564C" w:rsidR="003D0146" w:rsidRDefault="003D0146" w:rsidP="0062034A">
      <w:pPr>
        <w:pStyle w:val="FootnoteText"/>
      </w:pPr>
      <w:r>
        <w:rPr>
          <w:rStyle w:val="FootnoteReference"/>
        </w:rPr>
        <w:footnoteRef/>
      </w:r>
      <w:r>
        <w:t xml:space="preserve"> Including SEN LACSEG and after the current protection has been applied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19D8BD9E"/>
    <w:lvl w:ilvl="0">
      <w:start w:val="1"/>
      <w:numFmt w:val="bullet"/>
      <w:lvlText w:val=""/>
      <w:lvlJc w:val="left"/>
      <w:pPr>
        <w:tabs>
          <w:tab w:val="num" w:pos="1492"/>
        </w:tabs>
        <w:ind w:left="1492" w:hanging="360"/>
      </w:pPr>
      <w:rPr>
        <w:rFonts w:ascii="Symbol" w:hAnsi="Symbol" w:hint="default"/>
      </w:rPr>
    </w:lvl>
  </w:abstractNum>
  <w:abstractNum w:abstractNumId="1">
    <w:nsid w:val="FFFFFF82"/>
    <w:multiLevelType w:val="singleLevel"/>
    <w:tmpl w:val="AB52D508"/>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D1E8579E"/>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BD136B"/>
    <w:multiLevelType w:val="hybridMultilevel"/>
    <w:tmpl w:val="60A28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18901CF"/>
    <w:multiLevelType w:val="hybridMultilevel"/>
    <w:tmpl w:val="BDD2B840"/>
    <w:lvl w:ilvl="0" w:tplc="E408A1B8">
      <w:start w:val="1"/>
      <w:numFmt w:val="bullet"/>
      <w:pStyle w:val="TOC3"/>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6">
    <w:nsid w:val="02645B75"/>
    <w:multiLevelType w:val="hybridMultilevel"/>
    <w:tmpl w:val="CDD608E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nsid w:val="10426D66"/>
    <w:multiLevelType w:val="hybridMultilevel"/>
    <w:tmpl w:val="8F4AA02E"/>
    <w:lvl w:ilvl="0" w:tplc="A6C44D18">
      <w:start w:val="1"/>
      <w:numFmt w:val="bullet"/>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5171D5"/>
    <w:multiLevelType w:val="hybridMultilevel"/>
    <w:tmpl w:val="AB7AD16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nsid w:val="1E2D5D65"/>
    <w:multiLevelType w:val="hybridMultilevel"/>
    <w:tmpl w:val="8BBE82D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nsid w:val="1F303229"/>
    <w:multiLevelType w:val="hybridMultilevel"/>
    <w:tmpl w:val="0F58E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F21CEF"/>
    <w:multiLevelType w:val="multilevel"/>
    <w:tmpl w:val="99B42FE8"/>
    <w:lvl w:ilvl="0">
      <w:start w:val="1"/>
      <w:numFmt w:val="decimal"/>
      <w:pStyle w:val="Lvl1bullet"/>
      <w:lvlText w:val="%1."/>
      <w:lvlJc w:val="left"/>
      <w:pPr>
        <w:ind w:left="720" w:hanging="360"/>
      </w:pPr>
      <w:rPr>
        <w:rFonts w:hint="default"/>
      </w:rPr>
    </w:lvl>
    <w:lvl w:ilvl="1">
      <w:start w:val="1"/>
      <w:numFmt w:val="lowerLetter"/>
      <w:lvlText w:val="%2."/>
      <w:lvlJc w:val="left"/>
      <w:pPr>
        <w:ind w:left="1353" w:hanging="360"/>
      </w:pPr>
      <w:rPr>
        <w:rFonts w:ascii="Arial" w:hAnsi="Arial" w:hint="default"/>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60B2529"/>
    <w:multiLevelType w:val="multilevel"/>
    <w:tmpl w:val="65722B18"/>
    <w:lvl w:ilvl="0">
      <w:start w:val="1"/>
      <w:numFmt w:val="decimal"/>
      <w:pStyle w:val="Dept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4">
    <w:nsid w:val="27396347"/>
    <w:multiLevelType w:val="hybridMultilevel"/>
    <w:tmpl w:val="C5ACEEF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nsid w:val="2A442EDE"/>
    <w:multiLevelType w:val="hybridMultilevel"/>
    <w:tmpl w:val="507AEF92"/>
    <w:lvl w:ilvl="0" w:tplc="3E6E676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125953"/>
    <w:multiLevelType w:val="hybridMultilevel"/>
    <w:tmpl w:val="28466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031EED"/>
    <w:multiLevelType w:val="multilevel"/>
    <w:tmpl w:val="3984EC1A"/>
    <w:lvl w:ilvl="0">
      <w:start w:val="1"/>
      <w:numFmt w:val="decimal"/>
      <w:lvlRestart w:val="0"/>
      <w:lvlText w:val="%1."/>
      <w:lvlJc w:val="left"/>
      <w:pPr>
        <w:tabs>
          <w:tab w:val="num" w:pos="720"/>
        </w:tabs>
        <w:ind w:left="0" w:firstLine="0"/>
      </w:pPr>
    </w:lvl>
    <w:lvl w:ilvl="1">
      <w:start w:val="1"/>
      <w:numFmt w:val="decimal"/>
      <w:pStyle w:val="Lvl2bullet"/>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pStyle w:val="Lvl4bullet"/>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8">
    <w:nsid w:val="30904AB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1304BFE"/>
    <w:multiLevelType w:val="hybridMultilevel"/>
    <w:tmpl w:val="0986CB9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nsid w:val="364D7252"/>
    <w:multiLevelType w:val="hybridMultilevel"/>
    <w:tmpl w:val="01E2B918"/>
    <w:lvl w:ilvl="0" w:tplc="87149A98">
      <w:start w:val="1"/>
      <w:numFmt w:val="bullet"/>
      <w:pStyle w:val="ListBullet2"/>
      <w:lvlText w:val=""/>
      <w:lvlJc w:val="left"/>
      <w:pPr>
        <w:ind w:left="360" w:hanging="360"/>
      </w:pPr>
      <w:rPr>
        <w:rFonts w:ascii="Wingdings" w:hAnsi="Wingdings" w:hint="default"/>
        <w:color w:val="104F7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75A49A0"/>
    <w:multiLevelType w:val="hybridMultilevel"/>
    <w:tmpl w:val="655AC3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nsid w:val="382E69D5"/>
    <w:multiLevelType w:val="hybridMultilevel"/>
    <w:tmpl w:val="C400D6E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nsid w:val="386C3745"/>
    <w:multiLevelType w:val="hybridMultilevel"/>
    <w:tmpl w:val="2D325FB6"/>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24">
    <w:nsid w:val="391E76F6"/>
    <w:multiLevelType w:val="hybridMultilevel"/>
    <w:tmpl w:val="397006A2"/>
    <w:lvl w:ilvl="0" w:tplc="08090001">
      <w:start w:val="1"/>
      <w:numFmt w:val="bullet"/>
      <w:lvlText w:val=""/>
      <w:lvlJc w:val="left"/>
      <w:pPr>
        <w:ind w:left="1512" w:hanging="360"/>
      </w:pPr>
      <w:rPr>
        <w:rFonts w:ascii="Symbol" w:hAnsi="Symbol" w:hint="default"/>
      </w:rPr>
    </w:lvl>
    <w:lvl w:ilvl="1" w:tplc="08090003">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5">
    <w:nsid w:val="3DA1056B"/>
    <w:multiLevelType w:val="multilevel"/>
    <w:tmpl w:val="86CA9448"/>
    <w:lvl w:ilvl="0">
      <w:start w:val="1"/>
      <w:numFmt w:val="decimal"/>
      <w:lvlText w:val="%1"/>
      <w:lvlJc w:val="left"/>
      <w:pPr>
        <w:tabs>
          <w:tab w:val="num" w:pos="720"/>
        </w:tabs>
        <w:ind w:left="0" w:firstLine="0"/>
      </w:pPr>
      <w:rPr>
        <w:rFonts w:hint="default"/>
      </w:rPr>
    </w:lvl>
    <w:lvl w:ilvl="1">
      <w:start w:val="1"/>
      <w:numFmt w:val="decimal"/>
      <w:pStyle w:val="NumberedList"/>
      <w:lvlText w:val="%2.%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3E09131F"/>
    <w:multiLevelType w:val="multilevel"/>
    <w:tmpl w:val="E25222E8"/>
    <w:lvl w:ilvl="0">
      <w:start w:val="1"/>
      <w:numFmt w:val="bullet"/>
      <w:pStyle w:val="ListParagraph"/>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27">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8">
    <w:nsid w:val="4E427258"/>
    <w:multiLevelType w:val="hybridMultilevel"/>
    <w:tmpl w:val="F2BA5B34"/>
    <w:lvl w:ilvl="0" w:tplc="45A0584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nsid w:val="5DB35B57"/>
    <w:multiLevelType w:val="hybridMultilevel"/>
    <w:tmpl w:val="22C68EE4"/>
    <w:lvl w:ilvl="0" w:tplc="2C2284BA">
      <w:start w:val="1"/>
      <w:numFmt w:val="bullet"/>
      <w:pStyle w:val="ListBullet4"/>
      <w:lvlText w:val=""/>
      <w:lvlJc w:val="left"/>
      <w:pPr>
        <w:ind w:left="2279" w:hanging="360"/>
      </w:pPr>
      <w:rPr>
        <w:rFonts w:ascii="Wingdings" w:hAnsi="Wingdings" w:hint="default"/>
        <w:color w:val="104F75"/>
      </w:rPr>
    </w:lvl>
    <w:lvl w:ilvl="1" w:tplc="08090003" w:tentative="1">
      <w:start w:val="1"/>
      <w:numFmt w:val="bullet"/>
      <w:lvlText w:val="o"/>
      <w:lvlJc w:val="left"/>
      <w:pPr>
        <w:ind w:left="2999" w:hanging="360"/>
      </w:pPr>
      <w:rPr>
        <w:rFonts w:ascii="Courier New" w:hAnsi="Courier New" w:cs="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cs="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cs="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31">
    <w:nsid w:val="62A232E5"/>
    <w:multiLevelType w:val="multilevel"/>
    <w:tmpl w:val="4228834A"/>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pStyle w:val="Lvl3bullet"/>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32">
    <w:nsid w:val="64B0079D"/>
    <w:multiLevelType w:val="hybridMultilevel"/>
    <w:tmpl w:val="6B1A1D5E"/>
    <w:lvl w:ilvl="0" w:tplc="08090001">
      <w:start w:val="1"/>
      <w:numFmt w:val="bullet"/>
      <w:lvlText w:val=""/>
      <w:lvlJc w:val="left"/>
      <w:pPr>
        <w:ind w:left="1584" w:hanging="360"/>
      </w:pPr>
      <w:rPr>
        <w:rFonts w:ascii="Symbol" w:hAnsi="Symbol" w:hint="default"/>
      </w:rPr>
    </w:lvl>
    <w:lvl w:ilvl="1" w:tplc="08090003">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33">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nsid w:val="66C61262"/>
    <w:multiLevelType w:val="hybridMultilevel"/>
    <w:tmpl w:val="E2544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CF1620"/>
    <w:multiLevelType w:val="hybridMultilevel"/>
    <w:tmpl w:val="206A0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E054D8"/>
    <w:multiLevelType w:val="hybridMultilevel"/>
    <w:tmpl w:val="54DCF8AC"/>
    <w:lvl w:ilvl="0" w:tplc="3E6E676A">
      <w:numFmt w:val="bullet"/>
      <w:lvlText w:val="-"/>
      <w:lvlJc w:val="left"/>
      <w:pPr>
        <w:ind w:left="855" w:hanging="360"/>
      </w:pPr>
      <w:rPr>
        <w:rFonts w:ascii="Arial" w:eastAsiaTheme="minorHAnsi" w:hAnsi="Arial" w:cs="Aria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37">
    <w:nsid w:val="6F8F0199"/>
    <w:multiLevelType w:val="hybridMultilevel"/>
    <w:tmpl w:val="E0AA73B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8">
    <w:nsid w:val="6F93220B"/>
    <w:multiLevelType w:val="hybridMultilevel"/>
    <w:tmpl w:val="DD9AEF0A"/>
    <w:lvl w:ilvl="0" w:tplc="E2F8E2C2">
      <w:start w:val="1"/>
      <w:numFmt w:val="bullet"/>
      <w:pStyle w:val="ListBullet3"/>
      <w:lvlText w:val=""/>
      <w:lvlJc w:val="left"/>
      <w:pPr>
        <w:ind w:left="1854" w:hanging="360"/>
      </w:pPr>
      <w:rPr>
        <w:rFonts w:ascii="Wingdings" w:hAnsi="Wingdings" w:hint="default"/>
        <w:color w:val="104F75"/>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9">
    <w:nsid w:val="7B9837A7"/>
    <w:multiLevelType w:val="hybridMultilevel"/>
    <w:tmpl w:val="A6CEE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EF02115"/>
    <w:multiLevelType w:val="hybridMultilevel"/>
    <w:tmpl w:val="B7747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33"/>
  </w:num>
  <w:num w:numId="4">
    <w:abstractNumId w:val="9"/>
  </w:num>
  <w:num w:numId="5">
    <w:abstractNumId w:val="25"/>
  </w:num>
  <w:num w:numId="6">
    <w:abstractNumId w:val="26"/>
  </w:num>
  <w:num w:numId="7">
    <w:abstractNumId w:val="12"/>
  </w:num>
  <w:num w:numId="8">
    <w:abstractNumId w:val="20"/>
  </w:num>
  <w:num w:numId="9">
    <w:abstractNumId w:val="38"/>
  </w:num>
  <w:num w:numId="10">
    <w:abstractNumId w:val="30"/>
  </w:num>
  <w:num w:numId="11">
    <w:abstractNumId w:val="17"/>
  </w:num>
  <w:num w:numId="12">
    <w:abstractNumId w:val="31"/>
  </w:num>
  <w:num w:numId="13">
    <w:abstractNumId w:val="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16"/>
  </w:num>
  <w:num w:numId="18">
    <w:abstractNumId w:val="18"/>
  </w:num>
  <w:num w:numId="19">
    <w:abstractNumId w:val="29"/>
  </w:num>
  <w:num w:numId="20">
    <w:abstractNumId w:val="4"/>
  </w:num>
  <w:num w:numId="21">
    <w:abstractNumId w:val="32"/>
  </w:num>
  <w:num w:numId="22">
    <w:abstractNumId w:val="11"/>
  </w:num>
  <w:num w:numId="23">
    <w:abstractNumId w:val="39"/>
  </w:num>
  <w:num w:numId="24">
    <w:abstractNumId w:val="24"/>
  </w:num>
  <w:num w:numId="25">
    <w:abstractNumId w:val="36"/>
  </w:num>
  <w:num w:numId="26">
    <w:abstractNumId w:val="15"/>
  </w:num>
  <w:num w:numId="27">
    <w:abstractNumId w:val="34"/>
  </w:num>
  <w:num w:numId="28">
    <w:abstractNumId w:val="21"/>
  </w:num>
  <w:num w:numId="29">
    <w:abstractNumId w:val="40"/>
  </w:num>
  <w:num w:numId="30">
    <w:abstractNumId w:val="23"/>
  </w:num>
  <w:num w:numId="31">
    <w:abstractNumId w:val="37"/>
  </w:num>
  <w:num w:numId="32">
    <w:abstractNumId w:val="6"/>
  </w:num>
  <w:num w:numId="33">
    <w:abstractNumId w:val="19"/>
  </w:num>
  <w:num w:numId="34">
    <w:abstractNumId w:val="14"/>
  </w:num>
  <w:num w:numId="35">
    <w:abstractNumId w:val="22"/>
  </w:num>
  <w:num w:numId="36">
    <w:abstractNumId w:val="8"/>
  </w:num>
  <w:num w:numId="37">
    <w:abstractNumId w:val="10"/>
  </w:num>
  <w:num w:numId="38">
    <w:abstractNumId w:val="0"/>
  </w:num>
  <w:num w:numId="39">
    <w:abstractNumId w:val="35"/>
  </w:num>
  <w:num w:numId="40">
    <w:abstractNumId w:val="26"/>
  </w:num>
  <w:num w:numId="41">
    <w:abstractNumId w:val="26"/>
  </w:num>
  <w:num w:numId="42">
    <w:abstractNumId w:val="26"/>
  </w:num>
  <w:num w:numId="43">
    <w:abstractNumId w:val="26"/>
  </w:num>
  <w:num w:numId="44">
    <w:abstractNumId w:val="28"/>
  </w:num>
  <w:num w:numId="45">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6625">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02D71"/>
    <w:rsid w:val="0000408D"/>
    <w:rsid w:val="00004835"/>
    <w:rsid w:val="00004A78"/>
    <w:rsid w:val="00010681"/>
    <w:rsid w:val="00011A88"/>
    <w:rsid w:val="000129B5"/>
    <w:rsid w:val="0001329D"/>
    <w:rsid w:val="00013A6E"/>
    <w:rsid w:val="00015E28"/>
    <w:rsid w:val="00016466"/>
    <w:rsid w:val="00016A97"/>
    <w:rsid w:val="00020ECB"/>
    <w:rsid w:val="00021BD3"/>
    <w:rsid w:val="0002203B"/>
    <w:rsid w:val="00022098"/>
    <w:rsid w:val="00022B18"/>
    <w:rsid w:val="00022C0A"/>
    <w:rsid w:val="00023913"/>
    <w:rsid w:val="000253C7"/>
    <w:rsid w:val="000255B1"/>
    <w:rsid w:val="000259B8"/>
    <w:rsid w:val="00026BA3"/>
    <w:rsid w:val="00027E3E"/>
    <w:rsid w:val="00030ABD"/>
    <w:rsid w:val="00030D7B"/>
    <w:rsid w:val="00031F36"/>
    <w:rsid w:val="000325A1"/>
    <w:rsid w:val="0003300D"/>
    <w:rsid w:val="00033AA6"/>
    <w:rsid w:val="0003405D"/>
    <w:rsid w:val="000412EA"/>
    <w:rsid w:val="00042E58"/>
    <w:rsid w:val="000441CC"/>
    <w:rsid w:val="0004425C"/>
    <w:rsid w:val="000442BD"/>
    <w:rsid w:val="00044F5A"/>
    <w:rsid w:val="0004571B"/>
    <w:rsid w:val="00050467"/>
    <w:rsid w:val="000504FD"/>
    <w:rsid w:val="00050C1F"/>
    <w:rsid w:val="00050D8E"/>
    <w:rsid w:val="000515EA"/>
    <w:rsid w:val="0005221D"/>
    <w:rsid w:val="0005409E"/>
    <w:rsid w:val="00057100"/>
    <w:rsid w:val="00060D8F"/>
    <w:rsid w:val="00061372"/>
    <w:rsid w:val="0006667C"/>
    <w:rsid w:val="000669A6"/>
    <w:rsid w:val="00066B1C"/>
    <w:rsid w:val="000676BD"/>
    <w:rsid w:val="00070817"/>
    <w:rsid w:val="0007460E"/>
    <w:rsid w:val="00074617"/>
    <w:rsid w:val="00074FA4"/>
    <w:rsid w:val="00075341"/>
    <w:rsid w:val="00075FA0"/>
    <w:rsid w:val="00076E84"/>
    <w:rsid w:val="000775D9"/>
    <w:rsid w:val="00077E42"/>
    <w:rsid w:val="00077FF8"/>
    <w:rsid w:val="00080098"/>
    <w:rsid w:val="000803E3"/>
    <w:rsid w:val="00080750"/>
    <w:rsid w:val="0008083E"/>
    <w:rsid w:val="00081FD9"/>
    <w:rsid w:val="0008229A"/>
    <w:rsid w:val="00082ABA"/>
    <w:rsid w:val="00083A73"/>
    <w:rsid w:val="00085551"/>
    <w:rsid w:val="00086057"/>
    <w:rsid w:val="00086FF7"/>
    <w:rsid w:val="000906B1"/>
    <w:rsid w:val="00092435"/>
    <w:rsid w:val="00093D18"/>
    <w:rsid w:val="00096CAE"/>
    <w:rsid w:val="000974CC"/>
    <w:rsid w:val="000A10F4"/>
    <w:rsid w:val="000A12EB"/>
    <w:rsid w:val="000A24D3"/>
    <w:rsid w:val="000A2FC6"/>
    <w:rsid w:val="000A46C6"/>
    <w:rsid w:val="000A6C45"/>
    <w:rsid w:val="000A750C"/>
    <w:rsid w:val="000A7F4A"/>
    <w:rsid w:val="000B0E1E"/>
    <w:rsid w:val="000B1722"/>
    <w:rsid w:val="000B1F2A"/>
    <w:rsid w:val="000B2094"/>
    <w:rsid w:val="000B3DE0"/>
    <w:rsid w:val="000B448C"/>
    <w:rsid w:val="000B710E"/>
    <w:rsid w:val="000C152B"/>
    <w:rsid w:val="000C3603"/>
    <w:rsid w:val="000C3D73"/>
    <w:rsid w:val="000C517A"/>
    <w:rsid w:val="000C6A1C"/>
    <w:rsid w:val="000C752A"/>
    <w:rsid w:val="000C7595"/>
    <w:rsid w:val="000C7718"/>
    <w:rsid w:val="000C7A69"/>
    <w:rsid w:val="000D1B92"/>
    <w:rsid w:val="000D1D30"/>
    <w:rsid w:val="000D1ED8"/>
    <w:rsid w:val="000D2E8F"/>
    <w:rsid w:val="000D4287"/>
    <w:rsid w:val="000D4433"/>
    <w:rsid w:val="000D5697"/>
    <w:rsid w:val="000D6AC0"/>
    <w:rsid w:val="000D6E44"/>
    <w:rsid w:val="000E0C53"/>
    <w:rsid w:val="000E29CA"/>
    <w:rsid w:val="000E31EE"/>
    <w:rsid w:val="000E3350"/>
    <w:rsid w:val="000E68D5"/>
    <w:rsid w:val="000E71F8"/>
    <w:rsid w:val="000E7E22"/>
    <w:rsid w:val="000F116A"/>
    <w:rsid w:val="000F18F5"/>
    <w:rsid w:val="000F1A98"/>
    <w:rsid w:val="000F1E61"/>
    <w:rsid w:val="000F22D0"/>
    <w:rsid w:val="000F257B"/>
    <w:rsid w:val="000F2BA5"/>
    <w:rsid w:val="000F52D3"/>
    <w:rsid w:val="000F5B5D"/>
    <w:rsid w:val="000F6288"/>
    <w:rsid w:val="000F73F3"/>
    <w:rsid w:val="000F750B"/>
    <w:rsid w:val="00101641"/>
    <w:rsid w:val="00103E77"/>
    <w:rsid w:val="0010563D"/>
    <w:rsid w:val="00110341"/>
    <w:rsid w:val="00111135"/>
    <w:rsid w:val="00113188"/>
    <w:rsid w:val="00113922"/>
    <w:rsid w:val="00113AFB"/>
    <w:rsid w:val="00113EDC"/>
    <w:rsid w:val="0011465F"/>
    <w:rsid w:val="0011494F"/>
    <w:rsid w:val="00115703"/>
    <w:rsid w:val="00115E2F"/>
    <w:rsid w:val="0011656A"/>
    <w:rsid w:val="001176A1"/>
    <w:rsid w:val="00120077"/>
    <w:rsid w:val="00121C6C"/>
    <w:rsid w:val="00121D49"/>
    <w:rsid w:val="00122920"/>
    <w:rsid w:val="00123601"/>
    <w:rsid w:val="00124F7B"/>
    <w:rsid w:val="001256C6"/>
    <w:rsid w:val="00125C20"/>
    <w:rsid w:val="001263BF"/>
    <w:rsid w:val="00127300"/>
    <w:rsid w:val="00127D26"/>
    <w:rsid w:val="00131B57"/>
    <w:rsid w:val="0013269B"/>
    <w:rsid w:val="00133075"/>
    <w:rsid w:val="0013495C"/>
    <w:rsid w:val="0013545E"/>
    <w:rsid w:val="00137B60"/>
    <w:rsid w:val="00141993"/>
    <w:rsid w:val="00142DB7"/>
    <w:rsid w:val="00143738"/>
    <w:rsid w:val="00144B59"/>
    <w:rsid w:val="00146259"/>
    <w:rsid w:val="001466BC"/>
    <w:rsid w:val="00146AE4"/>
    <w:rsid w:val="00147214"/>
    <w:rsid w:val="00147442"/>
    <w:rsid w:val="001478A2"/>
    <w:rsid w:val="00147EB0"/>
    <w:rsid w:val="00150994"/>
    <w:rsid w:val="00152A3A"/>
    <w:rsid w:val="001540AB"/>
    <w:rsid w:val="00155BA0"/>
    <w:rsid w:val="00155ECC"/>
    <w:rsid w:val="001615DF"/>
    <w:rsid w:val="00161A13"/>
    <w:rsid w:val="00162DAF"/>
    <w:rsid w:val="00164D62"/>
    <w:rsid w:val="00165A8F"/>
    <w:rsid w:val="00165CD8"/>
    <w:rsid w:val="00166B63"/>
    <w:rsid w:val="00166FE9"/>
    <w:rsid w:val="00167597"/>
    <w:rsid w:val="00171F6B"/>
    <w:rsid w:val="00172919"/>
    <w:rsid w:val="00174104"/>
    <w:rsid w:val="001747E2"/>
    <w:rsid w:val="0017649B"/>
    <w:rsid w:val="00176EB9"/>
    <w:rsid w:val="00177188"/>
    <w:rsid w:val="00177E73"/>
    <w:rsid w:val="001805C4"/>
    <w:rsid w:val="0018145C"/>
    <w:rsid w:val="00186F7C"/>
    <w:rsid w:val="0019054F"/>
    <w:rsid w:val="00190C3A"/>
    <w:rsid w:val="001913DA"/>
    <w:rsid w:val="001922A0"/>
    <w:rsid w:val="001924FA"/>
    <w:rsid w:val="00192709"/>
    <w:rsid w:val="00192AE1"/>
    <w:rsid w:val="00194E21"/>
    <w:rsid w:val="00196306"/>
    <w:rsid w:val="00196C15"/>
    <w:rsid w:val="0019740B"/>
    <w:rsid w:val="001A0DC0"/>
    <w:rsid w:val="001A1481"/>
    <w:rsid w:val="001A3A04"/>
    <w:rsid w:val="001A5E5D"/>
    <w:rsid w:val="001A6223"/>
    <w:rsid w:val="001A62A6"/>
    <w:rsid w:val="001A754D"/>
    <w:rsid w:val="001A7EB0"/>
    <w:rsid w:val="001B06FC"/>
    <w:rsid w:val="001B0A05"/>
    <w:rsid w:val="001B2385"/>
    <w:rsid w:val="001B2AE2"/>
    <w:rsid w:val="001B2AFA"/>
    <w:rsid w:val="001B3AB8"/>
    <w:rsid w:val="001B4247"/>
    <w:rsid w:val="001B4452"/>
    <w:rsid w:val="001B5130"/>
    <w:rsid w:val="001B5807"/>
    <w:rsid w:val="001B5C15"/>
    <w:rsid w:val="001B796F"/>
    <w:rsid w:val="001B7E89"/>
    <w:rsid w:val="001C02C1"/>
    <w:rsid w:val="001C4DBF"/>
    <w:rsid w:val="001C5A63"/>
    <w:rsid w:val="001C5EB6"/>
    <w:rsid w:val="001C64A1"/>
    <w:rsid w:val="001C6565"/>
    <w:rsid w:val="001C73E5"/>
    <w:rsid w:val="001D09EC"/>
    <w:rsid w:val="001D0F3E"/>
    <w:rsid w:val="001D12A7"/>
    <w:rsid w:val="001D3E6B"/>
    <w:rsid w:val="001D545A"/>
    <w:rsid w:val="001D5770"/>
    <w:rsid w:val="001D6438"/>
    <w:rsid w:val="001E188E"/>
    <w:rsid w:val="001E2AC7"/>
    <w:rsid w:val="001E3102"/>
    <w:rsid w:val="001E33EF"/>
    <w:rsid w:val="001E5962"/>
    <w:rsid w:val="001F26AE"/>
    <w:rsid w:val="001F4619"/>
    <w:rsid w:val="001F4892"/>
    <w:rsid w:val="001F4A1B"/>
    <w:rsid w:val="001F56D5"/>
    <w:rsid w:val="0020050E"/>
    <w:rsid w:val="00200709"/>
    <w:rsid w:val="00201805"/>
    <w:rsid w:val="00201917"/>
    <w:rsid w:val="00203EC9"/>
    <w:rsid w:val="00204570"/>
    <w:rsid w:val="00210E6D"/>
    <w:rsid w:val="002113CF"/>
    <w:rsid w:val="002129A5"/>
    <w:rsid w:val="00212F1A"/>
    <w:rsid w:val="00213872"/>
    <w:rsid w:val="00214713"/>
    <w:rsid w:val="002169A9"/>
    <w:rsid w:val="00220C83"/>
    <w:rsid w:val="0022255C"/>
    <w:rsid w:val="0022489D"/>
    <w:rsid w:val="002262F3"/>
    <w:rsid w:val="00226776"/>
    <w:rsid w:val="0023022D"/>
    <w:rsid w:val="00230559"/>
    <w:rsid w:val="00230E69"/>
    <w:rsid w:val="00231461"/>
    <w:rsid w:val="00231927"/>
    <w:rsid w:val="00232FA9"/>
    <w:rsid w:val="002332F8"/>
    <w:rsid w:val="0023344F"/>
    <w:rsid w:val="00234F75"/>
    <w:rsid w:val="0023537D"/>
    <w:rsid w:val="00235656"/>
    <w:rsid w:val="00235A8C"/>
    <w:rsid w:val="002401A1"/>
    <w:rsid w:val="00240BF0"/>
    <w:rsid w:val="00240F4B"/>
    <w:rsid w:val="002423A7"/>
    <w:rsid w:val="00243D93"/>
    <w:rsid w:val="002466AC"/>
    <w:rsid w:val="00246A5A"/>
    <w:rsid w:val="00247222"/>
    <w:rsid w:val="002530D8"/>
    <w:rsid w:val="0025495F"/>
    <w:rsid w:val="00255A09"/>
    <w:rsid w:val="002565CB"/>
    <w:rsid w:val="002575C5"/>
    <w:rsid w:val="00257F65"/>
    <w:rsid w:val="002615FE"/>
    <w:rsid w:val="002619CF"/>
    <w:rsid w:val="00261E33"/>
    <w:rsid w:val="00270FF6"/>
    <w:rsid w:val="002717F3"/>
    <w:rsid w:val="0027252F"/>
    <w:rsid w:val="002746AA"/>
    <w:rsid w:val="002751FD"/>
    <w:rsid w:val="00275786"/>
    <w:rsid w:val="00276198"/>
    <w:rsid w:val="002773CF"/>
    <w:rsid w:val="0027755D"/>
    <w:rsid w:val="002776E4"/>
    <w:rsid w:val="00280725"/>
    <w:rsid w:val="0028077E"/>
    <w:rsid w:val="00281CCF"/>
    <w:rsid w:val="002839B5"/>
    <w:rsid w:val="00284287"/>
    <w:rsid w:val="00284B2B"/>
    <w:rsid w:val="00284CD5"/>
    <w:rsid w:val="002863DC"/>
    <w:rsid w:val="00287788"/>
    <w:rsid w:val="002906CD"/>
    <w:rsid w:val="0029174E"/>
    <w:rsid w:val="00292A62"/>
    <w:rsid w:val="00292DED"/>
    <w:rsid w:val="00296650"/>
    <w:rsid w:val="002A1078"/>
    <w:rsid w:val="002A1CD5"/>
    <w:rsid w:val="002A28F7"/>
    <w:rsid w:val="002A3153"/>
    <w:rsid w:val="002A4686"/>
    <w:rsid w:val="002A4EBC"/>
    <w:rsid w:val="002A50C6"/>
    <w:rsid w:val="002A6DF2"/>
    <w:rsid w:val="002A6F74"/>
    <w:rsid w:val="002A7F19"/>
    <w:rsid w:val="002B1EE1"/>
    <w:rsid w:val="002B1FD8"/>
    <w:rsid w:val="002B3292"/>
    <w:rsid w:val="002B39F3"/>
    <w:rsid w:val="002B69D1"/>
    <w:rsid w:val="002B7393"/>
    <w:rsid w:val="002B7F21"/>
    <w:rsid w:val="002C0089"/>
    <w:rsid w:val="002C06DD"/>
    <w:rsid w:val="002C16B6"/>
    <w:rsid w:val="002C3AA4"/>
    <w:rsid w:val="002C3AAE"/>
    <w:rsid w:val="002C3D03"/>
    <w:rsid w:val="002C4FFB"/>
    <w:rsid w:val="002C6038"/>
    <w:rsid w:val="002C65C3"/>
    <w:rsid w:val="002C6DE3"/>
    <w:rsid w:val="002C79DA"/>
    <w:rsid w:val="002D0114"/>
    <w:rsid w:val="002D1469"/>
    <w:rsid w:val="002D32A8"/>
    <w:rsid w:val="002D3E7D"/>
    <w:rsid w:val="002D4DD9"/>
    <w:rsid w:val="002D6116"/>
    <w:rsid w:val="002D715C"/>
    <w:rsid w:val="002E09CF"/>
    <w:rsid w:val="002E421F"/>
    <w:rsid w:val="002E4262"/>
    <w:rsid w:val="002E463F"/>
    <w:rsid w:val="002E4E9A"/>
    <w:rsid w:val="002E508B"/>
    <w:rsid w:val="002E5F9F"/>
    <w:rsid w:val="002E71BE"/>
    <w:rsid w:val="002E7849"/>
    <w:rsid w:val="002F0CF4"/>
    <w:rsid w:val="002F15EE"/>
    <w:rsid w:val="002F35D1"/>
    <w:rsid w:val="002F55EF"/>
    <w:rsid w:val="002F6AE9"/>
    <w:rsid w:val="002F7128"/>
    <w:rsid w:val="00300447"/>
    <w:rsid w:val="0030071B"/>
    <w:rsid w:val="00300F99"/>
    <w:rsid w:val="0030131A"/>
    <w:rsid w:val="0030300C"/>
    <w:rsid w:val="00305441"/>
    <w:rsid w:val="00305827"/>
    <w:rsid w:val="00310336"/>
    <w:rsid w:val="00310D5B"/>
    <w:rsid w:val="003123A1"/>
    <w:rsid w:val="00312AC4"/>
    <w:rsid w:val="00313F35"/>
    <w:rsid w:val="00314E0B"/>
    <w:rsid w:val="00315504"/>
    <w:rsid w:val="00316755"/>
    <w:rsid w:val="00316DD9"/>
    <w:rsid w:val="00317318"/>
    <w:rsid w:val="00320484"/>
    <w:rsid w:val="00321459"/>
    <w:rsid w:val="00325D84"/>
    <w:rsid w:val="00326D97"/>
    <w:rsid w:val="00332551"/>
    <w:rsid w:val="00333F12"/>
    <w:rsid w:val="00334744"/>
    <w:rsid w:val="00337A7D"/>
    <w:rsid w:val="00343AC7"/>
    <w:rsid w:val="00343F1A"/>
    <w:rsid w:val="00344393"/>
    <w:rsid w:val="00344535"/>
    <w:rsid w:val="0034597D"/>
    <w:rsid w:val="00345A2B"/>
    <w:rsid w:val="0034601C"/>
    <w:rsid w:val="00346FF0"/>
    <w:rsid w:val="00351859"/>
    <w:rsid w:val="00351B28"/>
    <w:rsid w:val="00352143"/>
    <w:rsid w:val="003528D2"/>
    <w:rsid w:val="00353E4B"/>
    <w:rsid w:val="0035438E"/>
    <w:rsid w:val="0035611E"/>
    <w:rsid w:val="00357B28"/>
    <w:rsid w:val="00360F1E"/>
    <w:rsid w:val="00361752"/>
    <w:rsid w:val="00361FE6"/>
    <w:rsid w:val="00363237"/>
    <w:rsid w:val="003670EF"/>
    <w:rsid w:val="00371682"/>
    <w:rsid w:val="00371C4E"/>
    <w:rsid w:val="00373874"/>
    <w:rsid w:val="00373BA4"/>
    <w:rsid w:val="00374981"/>
    <w:rsid w:val="003761F8"/>
    <w:rsid w:val="00380A27"/>
    <w:rsid w:val="00380D7A"/>
    <w:rsid w:val="00380E63"/>
    <w:rsid w:val="003810D8"/>
    <w:rsid w:val="00381152"/>
    <w:rsid w:val="00383C91"/>
    <w:rsid w:val="00383D4B"/>
    <w:rsid w:val="00384F8C"/>
    <w:rsid w:val="003853A4"/>
    <w:rsid w:val="00386B4D"/>
    <w:rsid w:val="00390238"/>
    <w:rsid w:val="00391744"/>
    <w:rsid w:val="00392D86"/>
    <w:rsid w:val="00392DD1"/>
    <w:rsid w:val="00394FF2"/>
    <w:rsid w:val="0039600B"/>
    <w:rsid w:val="003970FB"/>
    <w:rsid w:val="003977EC"/>
    <w:rsid w:val="00397D85"/>
    <w:rsid w:val="003A01C4"/>
    <w:rsid w:val="003A100B"/>
    <w:rsid w:val="003A15DD"/>
    <w:rsid w:val="003A1CC2"/>
    <w:rsid w:val="003A244A"/>
    <w:rsid w:val="003A60B7"/>
    <w:rsid w:val="003A63F7"/>
    <w:rsid w:val="003B0082"/>
    <w:rsid w:val="003B1F59"/>
    <w:rsid w:val="003B29A4"/>
    <w:rsid w:val="003B3EC0"/>
    <w:rsid w:val="003B4423"/>
    <w:rsid w:val="003B4891"/>
    <w:rsid w:val="003B5D22"/>
    <w:rsid w:val="003C125F"/>
    <w:rsid w:val="003C1D25"/>
    <w:rsid w:val="003C3EAD"/>
    <w:rsid w:val="003C5720"/>
    <w:rsid w:val="003C60B5"/>
    <w:rsid w:val="003C6E63"/>
    <w:rsid w:val="003C763C"/>
    <w:rsid w:val="003D0146"/>
    <w:rsid w:val="003D0D54"/>
    <w:rsid w:val="003D195B"/>
    <w:rsid w:val="003D1EFE"/>
    <w:rsid w:val="003D3C22"/>
    <w:rsid w:val="003D3FDC"/>
    <w:rsid w:val="003D45D9"/>
    <w:rsid w:val="003D55E6"/>
    <w:rsid w:val="003D5E18"/>
    <w:rsid w:val="003D6204"/>
    <w:rsid w:val="003D7142"/>
    <w:rsid w:val="003E1329"/>
    <w:rsid w:val="003E17AF"/>
    <w:rsid w:val="003E1D7B"/>
    <w:rsid w:val="003E45F7"/>
    <w:rsid w:val="003E59E0"/>
    <w:rsid w:val="003E6330"/>
    <w:rsid w:val="003E7249"/>
    <w:rsid w:val="003E76D5"/>
    <w:rsid w:val="003F0386"/>
    <w:rsid w:val="003F0A80"/>
    <w:rsid w:val="003F13C9"/>
    <w:rsid w:val="003F2C4B"/>
    <w:rsid w:val="003F358B"/>
    <w:rsid w:val="003F63E0"/>
    <w:rsid w:val="003F64F5"/>
    <w:rsid w:val="003F751E"/>
    <w:rsid w:val="003F7918"/>
    <w:rsid w:val="00400A70"/>
    <w:rsid w:val="00400CC4"/>
    <w:rsid w:val="00405782"/>
    <w:rsid w:val="00406C12"/>
    <w:rsid w:val="0040762D"/>
    <w:rsid w:val="004108CE"/>
    <w:rsid w:val="00412604"/>
    <w:rsid w:val="00416267"/>
    <w:rsid w:val="004211C0"/>
    <w:rsid w:val="00421F3D"/>
    <w:rsid w:val="00423C63"/>
    <w:rsid w:val="004242C5"/>
    <w:rsid w:val="00425227"/>
    <w:rsid w:val="00430D1D"/>
    <w:rsid w:val="00432A57"/>
    <w:rsid w:val="0043343B"/>
    <w:rsid w:val="00433602"/>
    <w:rsid w:val="004339FB"/>
    <w:rsid w:val="0043410B"/>
    <w:rsid w:val="00434900"/>
    <w:rsid w:val="00435B62"/>
    <w:rsid w:val="00436984"/>
    <w:rsid w:val="00436CC3"/>
    <w:rsid w:val="00442BDB"/>
    <w:rsid w:val="00443BC1"/>
    <w:rsid w:val="00443F12"/>
    <w:rsid w:val="004443C1"/>
    <w:rsid w:val="0044594F"/>
    <w:rsid w:val="004509BE"/>
    <w:rsid w:val="00451677"/>
    <w:rsid w:val="0045180A"/>
    <w:rsid w:val="00452219"/>
    <w:rsid w:val="004532C8"/>
    <w:rsid w:val="0045539A"/>
    <w:rsid w:val="0045720E"/>
    <w:rsid w:val="00457F84"/>
    <w:rsid w:val="00461855"/>
    <w:rsid w:val="00463B5B"/>
    <w:rsid w:val="00464BE9"/>
    <w:rsid w:val="00464F6A"/>
    <w:rsid w:val="00465BA9"/>
    <w:rsid w:val="00467B2F"/>
    <w:rsid w:val="00470223"/>
    <w:rsid w:val="00471595"/>
    <w:rsid w:val="004726CF"/>
    <w:rsid w:val="00472D6F"/>
    <w:rsid w:val="00473927"/>
    <w:rsid w:val="00473956"/>
    <w:rsid w:val="00475AA0"/>
    <w:rsid w:val="0047650D"/>
    <w:rsid w:val="00476A74"/>
    <w:rsid w:val="00476E89"/>
    <w:rsid w:val="00476FF3"/>
    <w:rsid w:val="00477983"/>
    <w:rsid w:val="0048363B"/>
    <w:rsid w:val="0048569E"/>
    <w:rsid w:val="00485D63"/>
    <w:rsid w:val="004866AD"/>
    <w:rsid w:val="00487646"/>
    <w:rsid w:val="00487A0E"/>
    <w:rsid w:val="004912B8"/>
    <w:rsid w:val="00491ABC"/>
    <w:rsid w:val="00491CC4"/>
    <w:rsid w:val="00492146"/>
    <w:rsid w:val="00495270"/>
    <w:rsid w:val="004A0C0D"/>
    <w:rsid w:val="004A16AB"/>
    <w:rsid w:val="004A16B4"/>
    <w:rsid w:val="004A1E63"/>
    <w:rsid w:val="004A1E6F"/>
    <w:rsid w:val="004A2C13"/>
    <w:rsid w:val="004A4152"/>
    <w:rsid w:val="004A53A2"/>
    <w:rsid w:val="004A5445"/>
    <w:rsid w:val="004A6749"/>
    <w:rsid w:val="004A6AB1"/>
    <w:rsid w:val="004A709D"/>
    <w:rsid w:val="004B1674"/>
    <w:rsid w:val="004B19E5"/>
    <w:rsid w:val="004B4394"/>
    <w:rsid w:val="004B4DC0"/>
    <w:rsid w:val="004B5536"/>
    <w:rsid w:val="004B57B1"/>
    <w:rsid w:val="004B60CB"/>
    <w:rsid w:val="004B6D35"/>
    <w:rsid w:val="004B766F"/>
    <w:rsid w:val="004C0F10"/>
    <w:rsid w:val="004C25E3"/>
    <w:rsid w:val="004C5968"/>
    <w:rsid w:val="004C7B7D"/>
    <w:rsid w:val="004D13A3"/>
    <w:rsid w:val="004D2D73"/>
    <w:rsid w:val="004D3015"/>
    <w:rsid w:val="004D32E2"/>
    <w:rsid w:val="004D4552"/>
    <w:rsid w:val="004D4AEC"/>
    <w:rsid w:val="004E1792"/>
    <w:rsid w:val="004E64F5"/>
    <w:rsid w:val="004E6CD9"/>
    <w:rsid w:val="004E77CE"/>
    <w:rsid w:val="004E7950"/>
    <w:rsid w:val="004F18AD"/>
    <w:rsid w:val="004F2039"/>
    <w:rsid w:val="004F20E3"/>
    <w:rsid w:val="004F211A"/>
    <w:rsid w:val="004F3159"/>
    <w:rsid w:val="004F39E1"/>
    <w:rsid w:val="004F4AEF"/>
    <w:rsid w:val="004F4D6B"/>
    <w:rsid w:val="004F56E9"/>
    <w:rsid w:val="004F6438"/>
    <w:rsid w:val="004F7AE5"/>
    <w:rsid w:val="0050049B"/>
    <w:rsid w:val="00500918"/>
    <w:rsid w:val="005016C5"/>
    <w:rsid w:val="00502235"/>
    <w:rsid w:val="00504ACA"/>
    <w:rsid w:val="00505BB1"/>
    <w:rsid w:val="00506970"/>
    <w:rsid w:val="00506B93"/>
    <w:rsid w:val="0050792B"/>
    <w:rsid w:val="00510DC1"/>
    <w:rsid w:val="005115F2"/>
    <w:rsid w:val="00511DF4"/>
    <w:rsid w:val="0051623E"/>
    <w:rsid w:val="00522AC0"/>
    <w:rsid w:val="00523256"/>
    <w:rsid w:val="005235F0"/>
    <w:rsid w:val="00523F61"/>
    <w:rsid w:val="00525205"/>
    <w:rsid w:val="005258FB"/>
    <w:rsid w:val="00527669"/>
    <w:rsid w:val="0053107B"/>
    <w:rsid w:val="00535444"/>
    <w:rsid w:val="005360FA"/>
    <w:rsid w:val="00536E0B"/>
    <w:rsid w:val="00540140"/>
    <w:rsid w:val="00540D90"/>
    <w:rsid w:val="00541B12"/>
    <w:rsid w:val="00542445"/>
    <w:rsid w:val="0054276E"/>
    <w:rsid w:val="00542FAE"/>
    <w:rsid w:val="005460A4"/>
    <w:rsid w:val="005460D1"/>
    <w:rsid w:val="00546E63"/>
    <w:rsid w:val="0055049D"/>
    <w:rsid w:val="00553546"/>
    <w:rsid w:val="005535E5"/>
    <w:rsid w:val="00553E9B"/>
    <w:rsid w:val="00554617"/>
    <w:rsid w:val="00555AD6"/>
    <w:rsid w:val="005577BC"/>
    <w:rsid w:val="00560451"/>
    <w:rsid w:val="00561120"/>
    <w:rsid w:val="0056283E"/>
    <w:rsid w:val="00563F3A"/>
    <w:rsid w:val="00566A23"/>
    <w:rsid w:val="00566C31"/>
    <w:rsid w:val="005715CB"/>
    <w:rsid w:val="00571B53"/>
    <w:rsid w:val="0057250B"/>
    <w:rsid w:val="00574294"/>
    <w:rsid w:val="005749C5"/>
    <w:rsid w:val="0057587B"/>
    <w:rsid w:val="0057670A"/>
    <w:rsid w:val="00581D79"/>
    <w:rsid w:val="005830BE"/>
    <w:rsid w:val="00583772"/>
    <w:rsid w:val="00585087"/>
    <w:rsid w:val="005854D4"/>
    <w:rsid w:val="00585630"/>
    <w:rsid w:val="00590121"/>
    <w:rsid w:val="005905B1"/>
    <w:rsid w:val="005914F1"/>
    <w:rsid w:val="00593383"/>
    <w:rsid w:val="0059494A"/>
    <w:rsid w:val="005A07FF"/>
    <w:rsid w:val="005A6636"/>
    <w:rsid w:val="005A6B9B"/>
    <w:rsid w:val="005A7D36"/>
    <w:rsid w:val="005A7D3C"/>
    <w:rsid w:val="005A7D82"/>
    <w:rsid w:val="005B05C3"/>
    <w:rsid w:val="005B09C0"/>
    <w:rsid w:val="005B149F"/>
    <w:rsid w:val="005B1536"/>
    <w:rsid w:val="005B1CE1"/>
    <w:rsid w:val="005B1EC3"/>
    <w:rsid w:val="005B2884"/>
    <w:rsid w:val="005B2B1E"/>
    <w:rsid w:val="005B2FD4"/>
    <w:rsid w:val="005B52CE"/>
    <w:rsid w:val="005B6CF3"/>
    <w:rsid w:val="005B7777"/>
    <w:rsid w:val="005B77A9"/>
    <w:rsid w:val="005B7ADB"/>
    <w:rsid w:val="005C0B41"/>
    <w:rsid w:val="005C1770"/>
    <w:rsid w:val="005C2F5F"/>
    <w:rsid w:val="005C6416"/>
    <w:rsid w:val="005C657D"/>
    <w:rsid w:val="005C7277"/>
    <w:rsid w:val="005C72C0"/>
    <w:rsid w:val="005D05CE"/>
    <w:rsid w:val="005D09CE"/>
    <w:rsid w:val="005D108F"/>
    <w:rsid w:val="005D1965"/>
    <w:rsid w:val="005D252F"/>
    <w:rsid w:val="005D2652"/>
    <w:rsid w:val="005D5101"/>
    <w:rsid w:val="005D6EF8"/>
    <w:rsid w:val="005D7A33"/>
    <w:rsid w:val="005E0BE9"/>
    <w:rsid w:val="005E23ED"/>
    <w:rsid w:val="005E29B5"/>
    <w:rsid w:val="005E3379"/>
    <w:rsid w:val="005E37D2"/>
    <w:rsid w:val="005E449B"/>
    <w:rsid w:val="005E48F4"/>
    <w:rsid w:val="005E75CA"/>
    <w:rsid w:val="005F107C"/>
    <w:rsid w:val="005F36AF"/>
    <w:rsid w:val="005F4CF7"/>
    <w:rsid w:val="005F57E4"/>
    <w:rsid w:val="005F7960"/>
    <w:rsid w:val="006028E9"/>
    <w:rsid w:val="00602998"/>
    <w:rsid w:val="006033D1"/>
    <w:rsid w:val="006033F7"/>
    <w:rsid w:val="006048CF"/>
    <w:rsid w:val="006049DC"/>
    <w:rsid w:val="006050AE"/>
    <w:rsid w:val="00605610"/>
    <w:rsid w:val="00606ABB"/>
    <w:rsid w:val="0060702F"/>
    <w:rsid w:val="00607E83"/>
    <w:rsid w:val="006108B3"/>
    <w:rsid w:val="00610BFC"/>
    <w:rsid w:val="0061178B"/>
    <w:rsid w:val="00612FE2"/>
    <w:rsid w:val="006134EF"/>
    <w:rsid w:val="006150FE"/>
    <w:rsid w:val="00615284"/>
    <w:rsid w:val="006164CA"/>
    <w:rsid w:val="00620075"/>
    <w:rsid w:val="0062034A"/>
    <w:rsid w:val="006237FB"/>
    <w:rsid w:val="00623E0A"/>
    <w:rsid w:val="006246C3"/>
    <w:rsid w:val="00625423"/>
    <w:rsid w:val="00626DD2"/>
    <w:rsid w:val="0062738F"/>
    <w:rsid w:val="006311D2"/>
    <w:rsid w:val="00631561"/>
    <w:rsid w:val="00633802"/>
    <w:rsid w:val="00633E4E"/>
    <w:rsid w:val="006340EF"/>
    <w:rsid w:val="00635D57"/>
    <w:rsid w:val="00636414"/>
    <w:rsid w:val="0063708E"/>
    <w:rsid w:val="006414FB"/>
    <w:rsid w:val="006418B2"/>
    <w:rsid w:val="00641C8C"/>
    <w:rsid w:val="0064210D"/>
    <w:rsid w:val="00642404"/>
    <w:rsid w:val="006427B9"/>
    <w:rsid w:val="00642D2A"/>
    <w:rsid w:val="00643BA6"/>
    <w:rsid w:val="006470B2"/>
    <w:rsid w:val="00647EFA"/>
    <w:rsid w:val="006500CD"/>
    <w:rsid w:val="006503CD"/>
    <w:rsid w:val="00651CD1"/>
    <w:rsid w:val="00651EA4"/>
    <w:rsid w:val="00652973"/>
    <w:rsid w:val="006558CA"/>
    <w:rsid w:val="006560BE"/>
    <w:rsid w:val="0065696E"/>
    <w:rsid w:val="00657E79"/>
    <w:rsid w:val="006606F5"/>
    <w:rsid w:val="0066194B"/>
    <w:rsid w:val="0066590A"/>
    <w:rsid w:val="00666CDB"/>
    <w:rsid w:val="00667D0C"/>
    <w:rsid w:val="0067185E"/>
    <w:rsid w:val="00671D5B"/>
    <w:rsid w:val="00673F35"/>
    <w:rsid w:val="006758FA"/>
    <w:rsid w:val="00676535"/>
    <w:rsid w:val="006775D3"/>
    <w:rsid w:val="006775FA"/>
    <w:rsid w:val="00680397"/>
    <w:rsid w:val="00681FBA"/>
    <w:rsid w:val="00683A29"/>
    <w:rsid w:val="00683E0F"/>
    <w:rsid w:val="0068523D"/>
    <w:rsid w:val="0068544D"/>
    <w:rsid w:val="006863A0"/>
    <w:rsid w:val="00686590"/>
    <w:rsid w:val="006905E7"/>
    <w:rsid w:val="00691479"/>
    <w:rsid w:val="00692450"/>
    <w:rsid w:val="00694DFE"/>
    <w:rsid w:val="00695932"/>
    <w:rsid w:val="00695C59"/>
    <w:rsid w:val="00695D08"/>
    <w:rsid w:val="00696828"/>
    <w:rsid w:val="006A1AD9"/>
    <w:rsid w:val="006A23E4"/>
    <w:rsid w:val="006A27AA"/>
    <w:rsid w:val="006A3602"/>
    <w:rsid w:val="006A40AE"/>
    <w:rsid w:val="006A4EA7"/>
    <w:rsid w:val="006A5BEC"/>
    <w:rsid w:val="006A5DD5"/>
    <w:rsid w:val="006A69D0"/>
    <w:rsid w:val="006A77B1"/>
    <w:rsid w:val="006B1F9F"/>
    <w:rsid w:val="006B335A"/>
    <w:rsid w:val="006B3EC1"/>
    <w:rsid w:val="006B4B25"/>
    <w:rsid w:val="006B6555"/>
    <w:rsid w:val="006C0C94"/>
    <w:rsid w:val="006C2351"/>
    <w:rsid w:val="006C382D"/>
    <w:rsid w:val="006C49E6"/>
    <w:rsid w:val="006C4D5A"/>
    <w:rsid w:val="006C6A1F"/>
    <w:rsid w:val="006C6EF9"/>
    <w:rsid w:val="006D108C"/>
    <w:rsid w:val="006D1162"/>
    <w:rsid w:val="006D147D"/>
    <w:rsid w:val="006D3EE6"/>
    <w:rsid w:val="006D53DA"/>
    <w:rsid w:val="006D6616"/>
    <w:rsid w:val="006D740B"/>
    <w:rsid w:val="006D77B1"/>
    <w:rsid w:val="006E28F6"/>
    <w:rsid w:val="006E3BAE"/>
    <w:rsid w:val="006E3F8A"/>
    <w:rsid w:val="006E4DAF"/>
    <w:rsid w:val="006E6B6A"/>
    <w:rsid w:val="006E7F39"/>
    <w:rsid w:val="006F1F96"/>
    <w:rsid w:val="006F2032"/>
    <w:rsid w:val="006F2FE9"/>
    <w:rsid w:val="006F370C"/>
    <w:rsid w:val="006F4829"/>
    <w:rsid w:val="006F77C8"/>
    <w:rsid w:val="00700337"/>
    <w:rsid w:val="00700B01"/>
    <w:rsid w:val="00700FDF"/>
    <w:rsid w:val="00702669"/>
    <w:rsid w:val="007027F0"/>
    <w:rsid w:val="00702EBF"/>
    <w:rsid w:val="00703BD1"/>
    <w:rsid w:val="0070723B"/>
    <w:rsid w:val="007075A0"/>
    <w:rsid w:val="00710125"/>
    <w:rsid w:val="00710A23"/>
    <w:rsid w:val="007121BD"/>
    <w:rsid w:val="00713414"/>
    <w:rsid w:val="00713CE6"/>
    <w:rsid w:val="00713D22"/>
    <w:rsid w:val="00713E9C"/>
    <w:rsid w:val="00714962"/>
    <w:rsid w:val="0071531D"/>
    <w:rsid w:val="00715D8C"/>
    <w:rsid w:val="007168EC"/>
    <w:rsid w:val="007210D0"/>
    <w:rsid w:val="00721166"/>
    <w:rsid w:val="00722E44"/>
    <w:rsid w:val="00723F66"/>
    <w:rsid w:val="007241B4"/>
    <w:rsid w:val="00724AA4"/>
    <w:rsid w:val="00725029"/>
    <w:rsid w:val="00725EF7"/>
    <w:rsid w:val="00730350"/>
    <w:rsid w:val="00730451"/>
    <w:rsid w:val="00730EF3"/>
    <w:rsid w:val="0073267B"/>
    <w:rsid w:val="007346C7"/>
    <w:rsid w:val="0073516C"/>
    <w:rsid w:val="00735428"/>
    <w:rsid w:val="00737426"/>
    <w:rsid w:val="007378C5"/>
    <w:rsid w:val="007403F5"/>
    <w:rsid w:val="00740F6F"/>
    <w:rsid w:val="007426B3"/>
    <w:rsid w:val="00742D12"/>
    <w:rsid w:val="00743353"/>
    <w:rsid w:val="0074574A"/>
    <w:rsid w:val="0074574F"/>
    <w:rsid w:val="00745C9F"/>
    <w:rsid w:val="00747CD7"/>
    <w:rsid w:val="007505B0"/>
    <w:rsid w:val="007506A9"/>
    <w:rsid w:val="0075096B"/>
    <w:rsid w:val="00751648"/>
    <w:rsid w:val="00753BB4"/>
    <w:rsid w:val="00754AB8"/>
    <w:rsid w:val="00755F2F"/>
    <w:rsid w:val="00760615"/>
    <w:rsid w:val="00761D21"/>
    <w:rsid w:val="0076209B"/>
    <w:rsid w:val="0076231A"/>
    <w:rsid w:val="00764D03"/>
    <w:rsid w:val="00764EC8"/>
    <w:rsid w:val="00765E09"/>
    <w:rsid w:val="00766951"/>
    <w:rsid w:val="0077049D"/>
    <w:rsid w:val="007709F9"/>
    <w:rsid w:val="007721E8"/>
    <w:rsid w:val="007729FA"/>
    <w:rsid w:val="00772A4F"/>
    <w:rsid w:val="00773625"/>
    <w:rsid w:val="00773A36"/>
    <w:rsid w:val="00774F55"/>
    <w:rsid w:val="00775AF9"/>
    <w:rsid w:val="00775D8A"/>
    <w:rsid w:val="00775F5D"/>
    <w:rsid w:val="0077659E"/>
    <w:rsid w:val="0077768E"/>
    <w:rsid w:val="00777AD4"/>
    <w:rsid w:val="00780950"/>
    <w:rsid w:val="007809EF"/>
    <w:rsid w:val="00780F10"/>
    <w:rsid w:val="0078117C"/>
    <w:rsid w:val="00781965"/>
    <w:rsid w:val="007828C9"/>
    <w:rsid w:val="00783D2C"/>
    <w:rsid w:val="0078480D"/>
    <w:rsid w:val="00786335"/>
    <w:rsid w:val="00786B35"/>
    <w:rsid w:val="0079009E"/>
    <w:rsid w:val="00790748"/>
    <w:rsid w:val="007908FA"/>
    <w:rsid w:val="00790A77"/>
    <w:rsid w:val="00790C35"/>
    <w:rsid w:val="00790CE6"/>
    <w:rsid w:val="0079117E"/>
    <w:rsid w:val="00791DDB"/>
    <w:rsid w:val="007923C2"/>
    <w:rsid w:val="00793099"/>
    <w:rsid w:val="007939B6"/>
    <w:rsid w:val="00793EDF"/>
    <w:rsid w:val="00794C9B"/>
    <w:rsid w:val="00794F29"/>
    <w:rsid w:val="00795958"/>
    <w:rsid w:val="0079720A"/>
    <w:rsid w:val="00797CEA"/>
    <w:rsid w:val="007A0750"/>
    <w:rsid w:val="007A14A2"/>
    <w:rsid w:val="007A2250"/>
    <w:rsid w:val="007A2AD5"/>
    <w:rsid w:val="007A3191"/>
    <w:rsid w:val="007A3C30"/>
    <w:rsid w:val="007A40FE"/>
    <w:rsid w:val="007A54B1"/>
    <w:rsid w:val="007A5759"/>
    <w:rsid w:val="007A5835"/>
    <w:rsid w:val="007A6F5D"/>
    <w:rsid w:val="007A7B4F"/>
    <w:rsid w:val="007B123D"/>
    <w:rsid w:val="007B12B8"/>
    <w:rsid w:val="007B22C5"/>
    <w:rsid w:val="007B3CFE"/>
    <w:rsid w:val="007B4CB7"/>
    <w:rsid w:val="007B5103"/>
    <w:rsid w:val="007B574A"/>
    <w:rsid w:val="007B6342"/>
    <w:rsid w:val="007C01E5"/>
    <w:rsid w:val="007C1833"/>
    <w:rsid w:val="007C321D"/>
    <w:rsid w:val="007C3CE9"/>
    <w:rsid w:val="007C41A5"/>
    <w:rsid w:val="007C507E"/>
    <w:rsid w:val="007C58BE"/>
    <w:rsid w:val="007C6D63"/>
    <w:rsid w:val="007D080B"/>
    <w:rsid w:val="007D0CCC"/>
    <w:rsid w:val="007D43D3"/>
    <w:rsid w:val="007D63F8"/>
    <w:rsid w:val="007D6FAB"/>
    <w:rsid w:val="007D76F1"/>
    <w:rsid w:val="007E06DD"/>
    <w:rsid w:val="007E0F81"/>
    <w:rsid w:val="007E4384"/>
    <w:rsid w:val="007E4709"/>
    <w:rsid w:val="007E745C"/>
    <w:rsid w:val="007F066D"/>
    <w:rsid w:val="007F1ACB"/>
    <w:rsid w:val="007F3E92"/>
    <w:rsid w:val="007F47D3"/>
    <w:rsid w:val="007F50F0"/>
    <w:rsid w:val="007F601A"/>
    <w:rsid w:val="007F670A"/>
    <w:rsid w:val="007F7235"/>
    <w:rsid w:val="00801ACF"/>
    <w:rsid w:val="00801B15"/>
    <w:rsid w:val="00801D57"/>
    <w:rsid w:val="00802DC4"/>
    <w:rsid w:val="0080447A"/>
    <w:rsid w:val="0080588E"/>
    <w:rsid w:val="00805EF1"/>
    <w:rsid w:val="00807B79"/>
    <w:rsid w:val="00812E0A"/>
    <w:rsid w:val="00813BD8"/>
    <w:rsid w:val="00814C55"/>
    <w:rsid w:val="008166FB"/>
    <w:rsid w:val="008168A2"/>
    <w:rsid w:val="00816E77"/>
    <w:rsid w:val="00817CEB"/>
    <w:rsid w:val="00817F55"/>
    <w:rsid w:val="008208EB"/>
    <w:rsid w:val="00821528"/>
    <w:rsid w:val="00821CD3"/>
    <w:rsid w:val="00822FD8"/>
    <w:rsid w:val="00825179"/>
    <w:rsid w:val="008268AD"/>
    <w:rsid w:val="0082761C"/>
    <w:rsid w:val="00827DDE"/>
    <w:rsid w:val="00827FF1"/>
    <w:rsid w:val="008300EE"/>
    <w:rsid w:val="008305AF"/>
    <w:rsid w:val="00831124"/>
    <w:rsid w:val="00831263"/>
    <w:rsid w:val="00831DB7"/>
    <w:rsid w:val="008322B7"/>
    <w:rsid w:val="00832EBF"/>
    <w:rsid w:val="00833093"/>
    <w:rsid w:val="008348E0"/>
    <w:rsid w:val="00834D03"/>
    <w:rsid w:val="00835BB9"/>
    <w:rsid w:val="00835EC7"/>
    <w:rsid w:val="008366CB"/>
    <w:rsid w:val="00836929"/>
    <w:rsid w:val="0083742E"/>
    <w:rsid w:val="00837F3A"/>
    <w:rsid w:val="00841159"/>
    <w:rsid w:val="008419B8"/>
    <w:rsid w:val="00841E6E"/>
    <w:rsid w:val="00843536"/>
    <w:rsid w:val="00843773"/>
    <w:rsid w:val="008439B5"/>
    <w:rsid w:val="00843C5C"/>
    <w:rsid w:val="00843D7F"/>
    <w:rsid w:val="00846A9E"/>
    <w:rsid w:val="008515CE"/>
    <w:rsid w:val="00851CDD"/>
    <w:rsid w:val="008553E6"/>
    <w:rsid w:val="00855426"/>
    <w:rsid w:val="008571B3"/>
    <w:rsid w:val="008606BD"/>
    <w:rsid w:val="00861575"/>
    <w:rsid w:val="008620F3"/>
    <w:rsid w:val="00862A79"/>
    <w:rsid w:val="00863986"/>
    <w:rsid w:val="0086468B"/>
    <w:rsid w:val="00865177"/>
    <w:rsid w:val="00865376"/>
    <w:rsid w:val="00866257"/>
    <w:rsid w:val="00870553"/>
    <w:rsid w:val="00873549"/>
    <w:rsid w:val="008747F9"/>
    <w:rsid w:val="00874F24"/>
    <w:rsid w:val="00875108"/>
    <w:rsid w:val="00875ECB"/>
    <w:rsid w:val="00876230"/>
    <w:rsid w:val="008771A0"/>
    <w:rsid w:val="00877D5B"/>
    <w:rsid w:val="00877ECD"/>
    <w:rsid w:val="00880855"/>
    <w:rsid w:val="0088220C"/>
    <w:rsid w:val="00882604"/>
    <w:rsid w:val="00882B14"/>
    <w:rsid w:val="00883F74"/>
    <w:rsid w:val="008867DC"/>
    <w:rsid w:val="00886B1E"/>
    <w:rsid w:val="008907EF"/>
    <w:rsid w:val="00890839"/>
    <w:rsid w:val="00893E87"/>
    <w:rsid w:val="00896D8C"/>
    <w:rsid w:val="00897A54"/>
    <w:rsid w:val="008A13EE"/>
    <w:rsid w:val="008A282A"/>
    <w:rsid w:val="008A460D"/>
    <w:rsid w:val="008A4CD5"/>
    <w:rsid w:val="008A4E64"/>
    <w:rsid w:val="008A588F"/>
    <w:rsid w:val="008A644A"/>
    <w:rsid w:val="008A7FEF"/>
    <w:rsid w:val="008B05BD"/>
    <w:rsid w:val="008B0C03"/>
    <w:rsid w:val="008B0DD1"/>
    <w:rsid w:val="008B11F6"/>
    <w:rsid w:val="008B2C43"/>
    <w:rsid w:val="008B2FC8"/>
    <w:rsid w:val="008B427B"/>
    <w:rsid w:val="008B4E98"/>
    <w:rsid w:val="008B6009"/>
    <w:rsid w:val="008B61A8"/>
    <w:rsid w:val="008C2818"/>
    <w:rsid w:val="008C2BFE"/>
    <w:rsid w:val="008C3BE2"/>
    <w:rsid w:val="008C46DC"/>
    <w:rsid w:val="008D021E"/>
    <w:rsid w:val="008D0236"/>
    <w:rsid w:val="008D09B9"/>
    <w:rsid w:val="008D15AA"/>
    <w:rsid w:val="008D1AFE"/>
    <w:rsid w:val="008D4D1B"/>
    <w:rsid w:val="008D55E7"/>
    <w:rsid w:val="008D6968"/>
    <w:rsid w:val="008D7401"/>
    <w:rsid w:val="008D7750"/>
    <w:rsid w:val="008D7CD5"/>
    <w:rsid w:val="008E0A8C"/>
    <w:rsid w:val="008E2678"/>
    <w:rsid w:val="008E3131"/>
    <w:rsid w:val="008E3F07"/>
    <w:rsid w:val="008E4B40"/>
    <w:rsid w:val="008E5818"/>
    <w:rsid w:val="008E5DF9"/>
    <w:rsid w:val="008E5F36"/>
    <w:rsid w:val="008F2757"/>
    <w:rsid w:val="008F28CB"/>
    <w:rsid w:val="008F2E4F"/>
    <w:rsid w:val="008F439E"/>
    <w:rsid w:val="008F5498"/>
    <w:rsid w:val="008F6A44"/>
    <w:rsid w:val="008F7436"/>
    <w:rsid w:val="009022BD"/>
    <w:rsid w:val="009055E4"/>
    <w:rsid w:val="00905F9A"/>
    <w:rsid w:val="009062AD"/>
    <w:rsid w:val="00906F13"/>
    <w:rsid w:val="00906FBB"/>
    <w:rsid w:val="00907435"/>
    <w:rsid w:val="00910995"/>
    <w:rsid w:val="00910E43"/>
    <w:rsid w:val="00911C2E"/>
    <w:rsid w:val="00911FCA"/>
    <w:rsid w:val="00913642"/>
    <w:rsid w:val="009139C7"/>
    <w:rsid w:val="00913DE3"/>
    <w:rsid w:val="00914DA3"/>
    <w:rsid w:val="0091573B"/>
    <w:rsid w:val="00917E9C"/>
    <w:rsid w:val="009210AD"/>
    <w:rsid w:val="00921786"/>
    <w:rsid w:val="0092379D"/>
    <w:rsid w:val="00924733"/>
    <w:rsid w:val="00924D5F"/>
    <w:rsid w:val="00924F30"/>
    <w:rsid w:val="00925160"/>
    <w:rsid w:val="00926F02"/>
    <w:rsid w:val="00930351"/>
    <w:rsid w:val="009323A8"/>
    <w:rsid w:val="00932F2B"/>
    <w:rsid w:val="009336AE"/>
    <w:rsid w:val="009336FA"/>
    <w:rsid w:val="00934FFA"/>
    <w:rsid w:val="009352A3"/>
    <w:rsid w:val="00940A6A"/>
    <w:rsid w:val="00941B04"/>
    <w:rsid w:val="00941D86"/>
    <w:rsid w:val="00944C77"/>
    <w:rsid w:val="00951C56"/>
    <w:rsid w:val="00951F92"/>
    <w:rsid w:val="00953A8E"/>
    <w:rsid w:val="00953B51"/>
    <w:rsid w:val="00953C51"/>
    <w:rsid w:val="00954A8C"/>
    <w:rsid w:val="00955907"/>
    <w:rsid w:val="0095599F"/>
    <w:rsid w:val="00956747"/>
    <w:rsid w:val="00956CF7"/>
    <w:rsid w:val="00956D63"/>
    <w:rsid w:val="00957879"/>
    <w:rsid w:val="0096424B"/>
    <w:rsid w:val="00964584"/>
    <w:rsid w:val="00965BFE"/>
    <w:rsid w:val="00967DAA"/>
    <w:rsid w:val="00970C9D"/>
    <w:rsid w:val="0097107A"/>
    <w:rsid w:val="009716FA"/>
    <w:rsid w:val="0097239D"/>
    <w:rsid w:val="0097247D"/>
    <w:rsid w:val="00972C01"/>
    <w:rsid w:val="009733E4"/>
    <w:rsid w:val="00973E21"/>
    <w:rsid w:val="00974608"/>
    <w:rsid w:val="00976650"/>
    <w:rsid w:val="009801DA"/>
    <w:rsid w:val="00982C74"/>
    <w:rsid w:val="00985088"/>
    <w:rsid w:val="009855A6"/>
    <w:rsid w:val="0098648B"/>
    <w:rsid w:val="009918E9"/>
    <w:rsid w:val="00992111"/>
    <w:rsid w:val="0099387E"/>
    <w:rsid w:val="00993F98"/>
    <w:rsid w:val="0099455C"/>
    <w:rsid w:val="00995BF6"/>
    <w:rsid w:val="0099784D"/>
    <w:rsid w:val="009A0C05"/>
    <w:rsid w:val="009A2A61"/>
    <w:rsid w:val="009A3448"/>
    <w:rsid w:val="009A3901"/>
    <w:rsid w:val="009A3DC1"/>
    <w:rsid w:val="009A5C1A"/>
    <w:rsid w:val="009A7947"/>
    <w:rsid w:val="009B0235"/>
    <w:rsid w:val="009B05D2"/>
    <w:rsid w:val="009B0DAA"/>
    <w:rsid w:val="009B12AD"/>
    <w:rsid w:val="009B23EB"/>
    <w:rsid w:val="009B32FA"/>
    <w:rsid w:val="009C04D4"/>
    <w:rsid w:val="009C0CA6"/>
    <w:rsid w:val="009C0EE3"/>
    <w:rsid w:val="009C0F46"/>
    <w:rsid w:val="009C216A"/>
    <w:rsid w:val="009C4039"/>
    <w:rsid w:val="009C4A81"/>
    <w:rsid w:val="009C5372"/>
    <w:rsid w:val="009C5EBA"/>
    <w:rsid w:val="009C73CF"/>
    <w:rsid w:val="009D2D1F"/>
    <w:rsid w:val="009D4D5A"/>
    <w:rsid w:val="009D6E51"/>
    <w:rsid w:val="009D7F68"/>
    <w:rsid w:val="009E00AE"/>
    <w:rsid w:val="009E09D3"/>
    <w:rsid w:val="009E32E4"/>
    <w:rsid w:val="009E383D"/>
    <w:rsid w:val="009E3F7B"/>
    <w:rsid w:val="009E404D"/>
    <w:rsid w:val="009E4107"/>
    <w:rsid w:val="009E52BF"/>
    <w:rsid w:val="009E6273"/>
    <w:rsid w:val="009E6E74"/>
    <w:rsid w:val="009E6FE3"/>
    <w:rsid w:val="009F3583"/>
    <w:rsid w:val="009F4EB5"/>
    <w:rsid w:val="009F4EF0"/>
    <w:rsid w:val="009F5B74"/>
    <w:rsid w:val="00A0254D"/>
    <w:rsid w:val="00A02816"/>
    <w:rsid w:val="00A0665A"/>
    <w:rsid w:val="00A101ED"/>
    <w:rsid w:val="00A11B40"/>
    <w:rsid w:val="00A12127"/>
    <w:rsid w:val="00A12411"/>
    <w:rsid w:val="00A13156"/>
    <w:rsid w:val="00A17FF6"/>
    <w:rsid w:val="00A2551C"/>
    <w:rsid w:val="00A25A6D"/>
    <w:rsid w:val="00A3014B"/>
    <w:rsid w:val="00A304A5"/>
    <w:rsid w:val="00A30BA1"/>
    <w:rsid w:val="00A3204D"/>
    <w:rsid w:val="00A322CB"/>
    <w:rsid w:val="00A33789"/>
    <w:rsid w:val="00A33C97"/>
    <w:rsid w:val="00A36C3E"/>
    <w:rsid w:val="00A37C54"/>
    <w:rsid w:val="00A37DEE"/>
    <w:rsid w:val="00A40564"/>
    <w:rsid w:val="00A426D7"/>
    <w:rsid w:val="00A43020"/>
    <w:rsid w:val="00A433C3"/>
    <w:rsid w:val="00A43BE6"/>
    <w:rsid w:val="00A44225"/>
    <w:rsid w:val="00A45B6E"/>
    <w:rsid w:val="00A46606"/>
    <w:rsid w:val="00A468A7"/>
    <w:rsid w:val="00A46934"/>
    <w:rsid w:val="00A50806"/>
    <w:rsid w:val="00A51346"/>
    <w:rsid w:val="00A51CC2"/>
    <w:rsid w:val="00A52095"/>
    <w:rsid w:val="00A52726"/>
    <w:rsid w:val="00A53442"/>
    <w:rsid w:val="00A54BB7"/>
    <w:rsid w:val="00A5643A"/>
    <w:rsid w:val="00A5723C"/>
    <w:rsid w:val="00A576AF"/>
    <w:rsid w:val="00A57837"/>
    <w:rsid w:val="00A60266"/>
    <w:rsid w:val="00A609F5"/>
    <w:rsid w:val="00A60D43"/>
    <w:rsid w:val="00A6152F"/>
    <w:rsid w:val="00A61F70"/>
    <w:rsid w:val="00A62D7B"/>
    <w:rsid w:val="00A62F38"/>
    <w:rsid w:val="00A630B1"/>
    <w:rsid w:val="00A63509"/>
    <w:rsid w:val="00A65244"/>
    <w:rsid w:val="00A65E38"/>
    <w:rsid w:val="00A707A4"/>
    <w:rsid w:val="00A71E61"/>
    <w:rsid w:val="00A71FA9"/>
    <w:rsid w:val="00A7274B"/>
    <w:rsid w:val="00A73FB8"/>
    <w:rsid w:val="00A75356"/>
    <w:rsid w:val="00A763CB"/>
    <w:rsid w:val="00A770BB"/>
    <w:rsid w:val="00A772FF"/>
    <w:rsid w:val="00A801D1"/>
    <w:rsid w:val="00A80CF4"/>
    <w:rsid w:val="00A80FB9"/>
    <w:rsid w:val="00A81026"/>
    <w:rsid w:val="00A81F69"/>
    <w:rsid w:val="00A826A2"/>
    <w:rsid w:val="00A83D6E"/>
    <w:rsid w:val="00A85C49"/>
    <w:rsid w:val="00A85EBA"/>
    <w:rsid w:val="00A93FC0"/>
    <w:rsid w:val="00A94CB1"/>
    <w:rsid w:val="00A95946"/>
    <w:rsid w:val="00A9662F"/>
    <w:rsid w:val="00A974DE"/>
    <w:rsid w:val="00A97BD3"/>
    <w:rsid w:val="00AA000B"/>
    <w:rsid w:val="00AA0474"/>
    <w:rsid w:val="00AA1341"/>
    <w:rsid w:val="00AA1F13"/>
    <w:rsid w:val="00AA251E"/>
    <w:rsid w:val="00AA3484"/>
    <w:rsid w:val="00AA36DF"/>
    <w:rsid w:val="00AA393B"/>
    <w:rsid w:val="00AA4A71"/>
    <w:rsid w:val="00AA4C9B"/>
    <w:rsid w:val="00AA64B1"/>
    <w:rsid w:val="00AA6D86"/>
    <w:rsid w:val="00AA7E7B"/>
    <w:rsid w:val="00AB1077"/>
    <w:rsid w:val="00AB19F2"/>
    <w:rsid w:val="00AB2AEC"/>
    <w:rsid w:val="00AB2BFD"/>
    <w:rsid w:val="00AB2C1C"/>
    <w:rsid w:val="00AB304F"/>
    <w:rsid w:val="00AB3225"/>
    <w:rsid w:val="00AB60D2"/>
    <w:rsid w:val="00AB6D0F"/>
    <w:rsid w:val="00AB7858"/>
    <w:rsid w:val="00AC61A6"/>
    <w:rsid w:val="00AC6999"/>
    <w:rsid w:val="00AD1D74"/>
    <w:rsid w:val="00AD1DD2"/>
    <w:rsid w:val="00AD2062"/>
    <w:rsid w:val="00AD298B"/>
    <w:rsid w:val="00AD2ABF"/>
    <w:rsid w:val="00AD2E6F"/>
    <w:rsid w:val="00AD2F1D"/>
    <w:rsid w:val="00AD3444"/>
    <w:rsid w:val="00AD55A7"/>
    <w:rsid w:val="00AD577D"/>
    <w:rsid w:val="00AD6CF9"/>
    <w:rsid w:val="00AD7DB4"/>
    <w:rsid w:val="00AD7FDA"/>
    <w:rsid w:val="00AE1405"/>
    <w:rsid w:val="00AE1BEF"/>
    <w:rsid w:val="00AE1E46"/>
    <w:rsid w:val="00AE2D96"/>
    <w:rsid w:val="00AE3F97"/>
    <w:rsid w:val="00AE58A7"/>
    <w:rsid w:val="00AF0989"/>
    <w:rsid w:val="00AF15C3"/>
    <w:rsid w:val="00AF4315"/>
    <w:rsid w:val="00AF6915"/>
    <w:rsid w:val="00AF785C"/>
    <w:rsid w:val="00AF7B39"/>
    <w:rsid w:val="00B0284E"/>
    <w:rsid w:val="00B0298A"/>
    <w:rsid w:val="00B03795"/>
    <w:rsid w:val="00B04567"/>
    <w:rsid w:val="00B04CD0"/>
    <w:rsid w:val="00B05DDC"/>
    <w:rsid w:val="00B06887"/>
    <w:rsid w:val="00B1029F"/>
    <w:rsid w:val="00B12B0C"/>
    <w:rsid w:val="00B12ECA"/>
    <w:rsid w:val="00B13D1C"/>
    <w:rsid w:val="00B14771"/>
    <w:rsid w:val="00B148D2"/>
    <w:rsid w:val="00B171E9"/>
    <w:rsid w:val="00B213CB"/>
    <w:rsid w:val="00B2189A"/>
    <w:rsid w:val="00B21FA1"/>
    <w:rsid w:val="00B23AC9"/>
    <w:rsid w:val="00B24CAC"/>
    <w:rsid w:val="00B327C0"/>
    <w:rsid w:val="00B32AB0"/>
    <w:rsid w:val="00B342FD"/>
    <w:rsid w:val="00B3498C"/>
    <w:rsid w:val="00B35497"/>
    <w:rsid w:val="00B35691"/>
    <w:rsid w:val="00B35EEF"/>
    <w:rsid w:val="00B4330C"/>
    <w:rsid w:val="00B43CAD"/>
    <w:rsid w:val="00B45045"/>
    <w:rsid w:val="00B45C56"/>
    <w:rsid w:val="00B504C7"/>
    <w:rsid w:val="00B5053E"/>
    <w:rsid w:val="00B53AC0"/>
    <w:rsid w:val="00B54044"/>
    <w:rsid w:val="00B54A37"/>
    <w:rsid w:val="00B55A49"/>
    <w:rsid w:val="00B57592"/>
    <w:rsid w:val="00B57ED9"/>
    <w:rsid w:val="00B64265"/>
    <w:rsid w:val="00B67F76"/>
    <w:rsid w:val="00B70EFF"/>
    <w:rsid w:val="00B7442F"/>
    <w:rsid w:val="00B746E4"/>
    <w:rsid w:val="00B7558C"/>
    <w:rsid w:val="00B755E5"/>
    <w:rsid w:val="00B77380"/>
    <w:rsid w:val="00B806DB"/>
    <w:rsid w:val="00B80A7E"/>
    <w:rsid w:val="00B823D3"/>
    <w:rsid w:val="00B82B50"/>
    <w:rsid w:val="00B8345D"/>
    <w:rsid w:val="00B84873"/>
    <w:rsid w:val="00B85794"/>
    <w:rsid w:val="00B869C7"/>
    <w:rsid w:val="00B90128"/>
    <w:rsid w:val="00B90570"/>
    <w:rsid w:val="00B90D2A"/>
    <w:rsid w:val="00B913FC"/>
    <w:rsid w:val="00B9194F"/>
    <w:rsid w:val="00B91984"/>
    <w:rsid w:val="00B928C9"/>
    <w:rsid w:val="00B93AAF"/>
    <w:rsid w:val="00B948F4"/>
    <w:rsid w:val="00B96EEB"/>
    <w:rsid w:val="00BA003B"/>
    <w:rsid w:val="00BA17A1"/>
    <w:rsid w:val="00BA2E22"/>
    <w:rsid w:val="00BA4BA4"/>
    <w:rsid w:val="00BA6948"/>
    <w:rsid w:val="00BB05E2"/>
    <w:rsid w:val="00BB0C0E"/>
    <w:rsid w:val="00BB1646"/>
    <w:rsid w:val="00BB203C"/>
    <w:rsid w:val="00BB4CD2"/>
    <w:rsid w:val="00BB672F"/>
    <w:rsid w:val="00BB7C04"/>
    <w:rsid w:val="00BB7EAE"/>
    <w:rsid w:val="00BC10D8"/>
    <w:rsid w:val="00BC18D8"/>
    <w:rsid w:val="00BC1AAA"/>
    <w:rsid w:val="00BC36B6"/>
    <w:rsid w:val="00BC3E74"/>
    <w:rsid w:val="00BC4132"/>
    <w:rsid w:val="00BD0CE4"/>
    <w:rsid w:val="00BD1111"/>
    <w:rsid w:val="00BD26B6"/>
    <w:rsid w:val="00BD2A92"/>
    <w:rsid w:val="00BD4CB1"/>
    <w:rsid w:val="00BD6A47"/>
    <w:rsid w:val="00BD709C"/>
    <w:rsid w:val="00BD7DF4"/>
    <w:rsid w:val="00BE01C6"/>
    <w:rsid w:val="00BE3DC5"/>
    <w:rsid w:val="00BE4DAC"/>
    <w:rsid w:val="00BF059B"/>
    <w:rsid w:val="00BF13F8"/>
    <w:rsid w:val="00BF1A37"/>
    <w:rsid w:val="00BF2C2A"/>
    <w:rsid w:val="00BF2CBF"/>
    <w:rsid w:val="00BF30EB"/>
    <w:rsid w:val="00BF3BB9"/>
    <w:rsid w:val="00BF3F64"/>
    <w:rsid w:val="00BF68F1"/>
    <w:rsid w:val="00C00B3F"/>
    <w:rsid w:val="00C01CFF"/>
    <w:rsid w:val="00C01E2E"/>
    <w:rsid w:val="00C02942"/>
    <w:rsid w:val="00C037FE"/>
    <w:rsid w:val="00C05349"/>
    <w:rsid w:val="00C05920"/>
    <w:rsid w:val="00C06C69"/>
    <w:rsid w:val="00C07C8D"/>
    <w:rsid w:val="00C10862"/>
    <w:rsid w:val="00C10AD4"/>
    <w:rsid w:val="00C110A1"/>
    <w:rsid w:val="00C145EF"/>
    <w:rsid w:val="00C14FA7"/>
    <w:rsid w:val="00C15B78"/>
    <w:rsid w:val="00C20F16"/>
    <w:rsid w:val="00C2125D"/>
    <w:rsid w:val="00C2207B"/>
    <w:rsid w:val="00C221AD"/>
    <w:rsid w:val="00C2315D"/>
    <w:rsid w:val="00C2482A"/>
    <w:rsid w:val="00C2659B"/>
    <w:rsid w:val="00C27A47"/>
    <w:rsid w:val="00C300F6"/>
    <w:rsid w:val="00C34FC8"/>
    <w:rsid w:val="00C356EE"/>
    <w:rsid w:val="00C35ED0"/>
    <w:rsid w:val="00C40161"/>
    <w:rsid w:val="00C427B2"/>
    <w:rsid w:val="00C42B0A"/>
    <w:rsid w:val="00C43D56"/>
    <w:rsid w:val="00C44E8E"/>
    <w:rsid w:val="00C45242"/>
    <w:rsid w:val="00C453EE"/>
    <w:rsid w:val="00C46129"/>
    <w:rsid w:val="00C46C08"/>
    <w:rsid w:val="00C47314"/>
    <w:rsid w:val="00C50456"/>
    <w:rsid w:val="00C50A35"/>
    <w:rsid w:val="00C513BD"/>
    <w:rsid w:val="00C513E7"/>
    <w:rsid w:val="00C524CD"/>
    <w:rsid w:val="00C529E8"/>
    <w:rsid w:val="00C545F9"/>
    <w:rsid w:val="00C5476F"/>
    <w:rsid w:val="00C6013F"/>
    <w:rsid w:val="00C60B60"/>
    <w:rsid w:val="00C61F51"/>
    <w:rsid w:val="00C62421"/>
    <w:rsid w:val="00C631F5"/>
    <w:rsid w:val="00C63537"/>
    <w:rsid w:val="00C66273"/>
    <w:rsid w:val="00C6636B"/>
    <w:rsid w:val="00C67276"/>
    <w:rsid w:val="00C707D7"/>
    <w:rsid w:val="00C71561"/>
    <w:rsid w:val="00C71B06"/>
    <w:rsid w:val="00C71DA1"/>
    <w:rsid w:val="00C71DF6"/>
    <w:rsid w:val="00C7397A"/>
    <w:rsid w:val="00C743F8"/>
    <w:rsid w:val="00C75A77"/>
    <w:rsid w:val="00C7758D"/>
    <w:rsid w:val="00C8124F"/>
    <w:rsid w:val="00C81513"/>
    <w:rsid w:val="00C829BB"/>
    <w:rsid w:val="00C84637"/>
    <w:rsid w:val="00C84EBF"/>
    <w:rsid w:val="00C86FF7"/>
    <w:rsid w:val="00C9157E"/>
    <w:rsid w:val="00C92AD3"/>
    <w:rsid w:val="00C92CC4"/>
    <w:rsid w:val="00C93999"/>
    <w:rsid w:val="00C94CEA"/>
    <w:rsid w:val="00C96B77"/>
    <w:rsid w:val="00C96FBA"/>
    <w:rsid w:val="00C96FF2"/>
    <w:rsid w:val="00C9704E"/>
    <w:rsid w:val="00C97C29"/>
    <w:rsid w:val="00CA0837"/>
    <w:rsid w:val="00CA0EF2"/>
    <w:rsid w:val="00CA1009"/>
    <w:rsid w:val="00CA211D"/>
    <w:rsid w:val="00CA28A0"/>
    <w:rsid w:val="00CA30B4"/>
    <w:rsid w:val="00CA6589"/>
    <w:rsid w:val="00CA72FC"/>
    <w:rsid w:val="00CB031A"/>
    <w:rsid w:val="00CB0D79"/>
    <w:rsid w:val="00CB11A8"/>
    <w:rsid w:val="00CB1E9C"/>
    <w:rsid w:val="00CB25DE"/>
    <w:rsid w:val="00CB3AA4"/>
    <w:rsid w:val="00CB3ABD"/>
    <w:rsid w:val="00CB4C4B"/>
    <w:rsid w:val="00CB56F5"/>
    <w:rsid w:val="00CB5FBD"/>
    <w:rsid w:val="00CB611B"/>
    <w:rsid w:val="00CB6E04"/>
    <w:rsid w:val="00CC1225"/>
    <w:rsid w:val="00CC1EBF"/>
    <w:rsid w:val="00CC2512"/>
    <w:rsid w:val="00CC3BBD"/>
    <w:rsid w:val="00CC3FAA"/>
    <w:rsid w:val="00CC4128"/>
    <w:rsid w:val="00CC547F"/>
    <w:rsid w:val="00CC5A82"/>
    <w:rsid w:val="00CC746F"/>
    <w:rsid w:val="00CD0CA4"/>
    <w:rsid w:val="00CD44A4"/>
    <w:rsid w:val="00CD5D21"/>
    <w:rsid w:val="00CD6060"/>
    <w:rsid w:val="00CD6F25"/>
    <w:rsid w:val="00CE1AC4"/>
    <w:rsid w:val="00CE1D2C"/>
    <w:rsid w:val="00CE2329"/>
    <w:rsid w:val="00CE2408"/>
    <w:rsid w:val="00CE254D"/>
    <w:rsid w:val="00CE2FB9"/>
    <w:rsid w:val="00CE31F8"/>
    <w:rsid w:val="00CE40D7"/>
    <w:rsid w:val="00CE4134"/>
    <w:rsid w:val="00CE59B3"/>
    <w:rsid w:val="00CE5F52"/>
    <w:rsid w:val="00CE62BF"/>
    <w:rsid w:val="00CE6AA2"/>
    <w:rsid w:val="00CE77FB"/>
    <w:rsid w:val="00CE7906"/>
    <w:rsid w:val="00CE7921"/>
    <w:rsid w:val="00CE799B"/>
    <w:rsid w:val="00CE7A13"/>
    <w:rsid w:val="00CF0E19"/>
    <w:rsid w:val="00CF48CB"/>
    <w:rsid w:val="00CF5FEC"/>
    <w:rsid w:val="00CF678E"/>
    <w:rsid w:val="00CF6B7A"/>
    <w:rsid w:val="00CF72BF"/>
    <w:rsid w:val="00D008E9"/>
    <w:rsid w:val="00D03A17"/>
    <w:rsid w:val="00D05342"/>
    <w:rsid w:val="00D059B0"/>
    <w:rsid w:val="00D05ACA"/>
    <w:rsid w:val="00D06E21"/>
    <w:rsid w:val="00D1178B"/>
    <w:rsid w:val="00D12F5F"/>
    <w:rsid w:val="00D132B5"/>
    <w:rsid w:val="00D14688"/>
    <w:rsid w:val="00D1519B"/>
    <w:rsid w:val="00D16C10"/>
    <w:rsid w:val="00D17081"/>
    <w:rsid w:val="00D2087E"/>
    <w:rsid w:val="00D21AE8"/>
    <w:rsid w:val="00D21B4A"/>
    <w:rsid w:val="00D221FB"/>
    <w:rsid w:val="00D22EE5"/>
    <w:rsid w:val="00D23D1C"/>
    <w:rsid w:val="00D24254"/>
    <w:rsid w:val="00D24F57"/>
    <w:rsid w:val="00D27D9B"/>
    <w:rsid w:val="00D31001"/>
    <w:rsid w:val="00D31333"/>
    <w:rsid w:val="00D317CE"/>
    <w:rsid w:val="00D32706"/>
    <w:rsid w:val="00D344D5"/>
    <w:rsid w:val="00D358D3"/>
    <w:rsid w:val="00D376DB"/>
    <w:rsid w:val="00D3783E"/>
    <w:rsid w:val="00D40DE9"/>
    <w:rsid w:val="00D41120"/>
    <w:rsid w:val="00D41212"/>
    <w:rsid w:val="00D41B49"/>
    <w:rsid w:val="00D41CC5"/>
    <w:rsid w:val="00D42B45"/>
    <w:rsid w:val="00D455DA"/>
    <w:rsid w:val="00D46F86"/>
    <w:rsid w:val="00D4734D"/>
    <w:rsid w:val="00D4737A"/>
    <w:rsid w:val="00D47438"/>
    <w:rsid w:val="00D50FB0"/>
    <w:rsid w:val="00D53D83"/>
    <w:rsid w:val="00D55A9A"/>
    <w:rsid w:val="00D60CCF"/>
    <w:rsid w:val="00D61720"/>
    <w:rsid w:val="00D61EA4"/>
    <w:rsid w:val="00D6210C"/>
    <w:rsid w:val="00D62879"/>
    <w:rsid w:val="00D64A19"/>
    <w:rsid w:val="00D64A92"/>
    <w:rsid w:val="00D65028"/>
    <w:rsid w:val="00D650DA"/>
    <w:rsid w:val="00D660A1"/>
    <w:rsid w:val="00D663AB"/>
    <w:rsid w:val="00D66FFC"/>
    <w:rsid w:val="00D70650"/>
    <w:rsid w:val="00D71F30"/>
    <w:rsid w:val="00D736C0"/>
    <w:rsid w:val="00D74E86"/>
    <w:rsid w:val="00D754FB"/>
    <w:rsid w:val="00D7575F"/>
    <w:rsid w:val="00D760C9"/>
    <w:rsid w:val="00D76178"/>
    <w:rsid w:val="00D77BC2"/>
    <w:rsid w:val="00D8056C"/>
    <w:rsid w:val="00D80D72"/>
    <w:rsid w:val="00D817EE"/>
    <w:rsid w:val="00D81917"/>
    <w:rsid w:val="00D85942"/>
    <w:rsid w:val="00D879FF"/>
    <w:rsid w:val="00D90862"/>
    <w:rsid w:val="00D90C96"/>
    <w:rsid w:val="00D92274"/>
    <w:rsid w:val="00D93F7E"/>
    <w:rsid w:val="00D942AA"/>
    <w:rsid w:val="00D94339"/>
    <w:rsid w:val="00D947F8"/>
    <w:rsid w:val="00D959D8"/>
    <w:rsid w:val="00D9675C"/>
    <w:rsid w:val="00D967C9"/>
    <w:rsid w:val="00D9707F"/>
    <w:rsid w:val="00DA1F8E"/>
    <w:rsid w:val="00DA2652"/>
    <w:rsid w:val="00DA3016"/>
    <w:rsid w:val="00DA3973"/>
    <w:rsid w:val="00DA4B0C"/>
    <w:rsid w:val="00DA57A4"/>
    <w:rsid w:val="00DB0D07"/>
    <w:rsid w:val="00DB1756"/>
    <w:rsid w:val="00DB3A0A"/>
    <w:rsid w:val="00DB3B83"/>
    <w:rsid w:val="00DB3CC0"/>
    <w:rsid w:val="00DC39E8"/>
    <w:rsid w:val="00DC405D"/>
    <w:rsid w:val="00DC4329"/>
    <w:rsid w:val="00DC4922"/>
    <w:rsid w:val="00DC4950"/>
    <w:rsid w:val="00DC5365"/>
    <w:rsid w:val="00DC585C"/>
    <w:rsid w:val="00DC5FC4"/>
    <w:rsid w:val="00DD1C15"/>
    <w:rsid w:val="00DD25D8"/>
    <w:rsid w:val="00DD3A4E"/>
    <w:rsid w:val="00DD3A5B"/>
    <w:rsid w:val="00DD51B7"/>
    <w:rsid w:val="00DD66E4"/>
    <w:rsid w:val="00DD699B"/>
    <w:rsid w:val="00DD788A"/>
    <w:rsid w:val="00DE0573"/>
    <w:rsid w:val="00DE1CF3"/>
    <w:rsid w:val="00DE203B"/>
    <w:rsid w:val="00DE2205"/>
    <w:rsid w:val="00DE294C"/>
    <w:rsid w:val="00DE3343"/>
    <w:rsid w:val="00DE366E"/>
    <w:rsid w:val="00DE5567"/>
    <w:rsid w:val="00DE5DB2"/>
    <w:rsid w:val="00DE6998"/>
    <w:rsid w:val="00DF0054"/>
    <w:rsid w:val="00DF00C0"/>
    <w:rsid w:val="00DF03DF"/>
    <w:rsid w:val="00DF24CA"/>
    <w:rsid w:val="00DF29CA"/>
    <w:rsid w:val="00DF3309"/>
    <w:rsid w:val="00DF3622"/>
    <w:rsid w:val="00DF5124"/>
    <w:rsid w:val="00DF6C80"/>
    <w:rsid w:val="00DF724A"/>
    <w:rsid w:val="00DF7E56"/>
    <w:rsid w:val="00DF7F39"/>
    <w:rsid w:val="00E00AAC"/>
    <w:rsid w:val="00E00FC7"/>
    <w:rsid w:val="00E0180A"/>
    <w:rsid w:val="00E01F88"/>
    <w:rsid w:val="00E01FD5"/>
    <w:rsid w:val="00E03111"/>
    <w:rsid w:val="00E05678"/>
    <w:rsid w:val="00E10892"/>
    <w:rsid w:val="00E13C25"/>
    <w:rsid w:val="00E16FE0"/>
    <w:rsid w:val="00E1702C"/>
    <w:rsid w:val="00E1721D"/>
    <w:rsid w:val="00E17240"/>
    <w:rsid w:val="00E17FF3"/>
    <w:rsid w:val="00E2043D"/>
    <w:rsid w:val="00E222F4"/>
    <w:rsid w:val="00E22EE8"/>
    <w:rsid w:val="00E23ABB"/>
    <w:rsid w:val="00E23E99"/>
    <w:rsid w:val="00E26B85"/>
    <w:rsid w:val="00E26C88"/>
    <w:rsid w:val="00E3093A"/>
    <w:rsid w:val="00E32C1E"/>
    <w:rsid w:val="00E33078"/>
    <w:rsid w:val="00E335AB"/>
    <w:rsid w:val="00E33935"/>
    <w:rsid w:val="00E33AB6"/>
    <w:rsid w:val="00E34046"/>
    <w:rsid w:val="00E34609"/>
    <w:rsid w:val="00E36B73"/>
    <w:rsid w:val="00E37DF3"/>
    <w:rsid w:val="00E4012C"/>
    <w:rsid w:val="00E403D8"/>
    <w:rsid w:val="00E40476"/>
    <w:rsid w:val="00E42A8F"/>
    <w:rsid w:val="00E43335"/>
    <w:rsid w:val="00E43CE9"/>
    <w:rsid w:val="00E44F44"/>
    <w:rsid w:val="00E44F5B"/>
    <w:rsid w:val="00E469A4"/>
    <w:rsid w:val="00E5029D"/>
    <w:rsid w:val="00E50426"/>
    <w:rsid w:val="00E507CA"/>
    <w:rsid w:val="00E5086C"/>
    <w:rsid w:val="00E5223F"/>
    <w:rsid w:val="00E5263B"/>
    <w:rsid w:val="00E52C65"/>
    <w:rsid w:val="00E53BB1"/>
    <w:rsid w:val="00E547F0"/>
    <w:rsid w:val="00E555CE"/>
    <w:rsid w:val="00E57362"/>
    <w:rsid w:val="00E604B0"/>
    <w:rsid w:val="00E611D1"/>
    <w:rsid w:val="00E63373"/>
    <w:rsid w:val="00E6486B"/>
    <w:rsid w:val="00E66B4F"/>
    <w:rsid w:val="00E66D83"/>
    <w:rsid w:val="00E66FAE"/>
    <w:rsid w:val="00E67088"/>
    <w:rsid w:val="00E72E58"/>
    <w:rsid w:val="00E737FE"/>
    <w:rsid w:val="00E741D5"/>
    <w:rsid w:val="00E74474"/>
    <w:rsid w:val="00E74FD4"/>
    <w:rsid w:val="00E76083"/>
    <w:rsid w:val="00E774D1"/>
    <w:rsid w:val="00E80E55"/>
    <w:rsid w:val="00E82C85"/>
    <w:rsid w:val="00E8408C"/>
    <w:rsid w:val="00E853DC"/>
    <w:rsid w:val="00E85EC9"/>
    <w:rsid w:val="00E87517"/>
    <w:rsid w:val="00E87925"/>
    <w:rsid w:val="00E87A6A"/>
    <w:rsid w:val="00E87F4D"/>
    <w:rsid w:val="00E906B7"/>
    <w:rsid w:val="00E9232A"/>
    <w:rsid w:val="00E93FBE"/>
    <w:rsid w:val="00E9467E"/>
    <w:rsid w:val="00E95AD5"/>
    <w:rsid w:val="00E962B9"/>
    <w:rsid w:val="00E975A7"/>
    <w:rsid w:val="00E97E02"/>
    <w:rsid w:val="00EA1A73"/>
    <w:rsid w:val="00EA1C18"/>
    <w:rsid w:val="00EA25F7"/>
    <w:rsid w:val="00EA4D1B"/>
    <w:rsid w:val="00EA5153"/>
    <w:rsid w:val="00EA55F4"/>
    <w:rsid w:val="00EA6A23"/>
    <w:rsid w:val="00EA74AD"/>
    <w:rsid w:val="00EA7E44"/>
    <w:rsid w:val="00EB1057"/>
    <w:rsid w:val="00EB1D11"/>
    <w:rsid w:val="00EB22B7"/>
    <w:rsid w:val="00EB281B"/>
    <w:rsid w:val="00EB33C1"/>
    <w:rsid w:val="00EB343C"/>
    <w:rsid w:val="00EB3CEA"/>
    <w:rsid w:val="00EB3FFD"/>
    <w:rsid w:val="00EB7F49"/>
    <w:rsid w:val="00EC009E"/>
    <w:rsid w:val="00EC046B"/>
    <w:rsid w:val="00EC06C5"/>
    <w:rsid w:val="00EC1C50"/>
    <w:rsid w:val="00EC3027"/>
    <w:rsid w:val="00EC3DF3"/>
    <w:rsid w:val="00EC3EE0"/>
    <w:rsid w:val="00EC48F9"/>
    <w:rsid w:val="00EC5343"/>
    <w:rsid w:val="00EC6060"/>
    <w:rsid w:val="00EC6173"/>
    <w:rsid w:val="00EC7659"/>
    <w:rsid w:val="00EC7A1B"/>
    <w:rsid w:val="00ED0B7D"/>
    <w:rsid w:val="00ED3D05"/>
    <w:rsid w:val="00ED613C"/>
    <w:rsid w:val="00ED712E"/>
    <w:rsid w:val="00ED7318"/>
    <w:rsid w:val="00ED7BE2"/>
    <w:rsid w:val="00EE12A5"/>
    <w:rsid w:val="00EE351D"/>
    <w:rsid w:val="00EE5713"/>
    <w:rsid w:val="00EE619F"/>
    <w:rsid w:val="00EE6285"/>
    <w:rsid w:val="00EE64AE"/>
    <w:rsid w:val="00EE715F"/>
    <w:rsid w:val="00EF04BF"/>
    <w:rsid w:val="00EF08D4"/>
    <w:rsid w:val="00EF2217"/>
    <w:rsid w:val="00EF35AF"/>
    <w:rsid w:val="00EF5EC8"/>
    <w:rsid w:val="00EF6EC6"/>
    <w:rsid w:val="00EF7685"/>
    <w:rsid w:val="00F01EDC"/>
    <w:rsid w:val="00F02C96"/>
    <w:rsid w:val="00F02F02"/>
    <w:rsid w:val="00F06445"/>
    <w:rsid w:val="00F07114"/>
    <w:rsid w:val="00F101A9"/>
    <w:rsid w:val="00F10D5A"/>
    <w:rsid w:val="00F10F3E"/>
    <w:rsid w:val="00F1128C"/>
    <w:rsid w:val="00F128EA"/>
    <w:rsid w:val="00F1388E"/>
    <w:rsid w:val="00F14430"/>
    <w:rsid w:val="00F16372"/>
    <w:rsid w:val="00F16AE0"/>
    <w:rsid w:val="00F16F96"/>
    <w:rsid w:val="00F17105"/>
    <w:rsid w:val="00F206A7"/>
    <w:rsid w:val="00F213A9"/>
    <w:rsid w:val="00F21C22"/>
    <w:rsid w:val="00F2332B"/>
    <w:rsid w:val="00F262B2"/>
    <w:rsid w:val="00F26B68"/>
    <w:rsid w:val="00F27F92"/>
    <w:rsid w:val="00F30BC9"/>
    <w:rsid w:val="00F3105E"/>
    <w:rsid w:val="00F31647"/>
    <w:rsid w:val="00F31AAB"/>
    <w:rsid w:val="00F32746"/>
    <w:rsid w:val="00F32EF7"/>
    <w:rsid w:val="00F33012"/>
    <w:rsid w:val="00F34164"/>
    <w:rsid w:val="00F358BF"/>
    <w:rsid w:val="00F35F6D"/>
    <w:rsid w:val="00F36897"/>
    <w:rsid w:val="00F369F6"/>
    <w:rsid w:val="00F41591"/>
    <w:rsid w:val="00F41A63"/>
    <w:rsid w:val="00F4326C"/>
    <w:rsid w:val="00F43A3F"/>
    <w:rsid w:val="00F43B30"/>
    <w:rsid w:val="00F44767"/>
    <w:rsid w:val="00F4496D"/>
    <w:rsid w:val="00F45BEB"/>
    <w:rsid w:val="00F46C69"/>
    <w:rsid w:val="00F47688"/>
    <w:rsid w:val="00F5103E"/>
    <w:rsid w:val="00F51110"/>
    <w:rsid w:val="00F51A60"/>
    <w:rsid w:val="00F51ED9"/>
    <w:rsid w:val="00F5213F"/>
    <w:rsid w:val="00F52C42"/>
    <w:rsid w:val="00F52E7D"/>
    <w:rsid w:val="00F54523"/>
    <w:rsid w:val="00F54683"/>
    <w:rsid w:val="00F54B90"/>
    <w:rsid w:val="00F6023D"/>
    <w:rsid w:val="00F61626"/>
    <w:rsid w:val="00F61B9D"/>
    <w:rsid w:val="00F6232C"/>
    <w:rsid w:val="00F651FE"/>
    <w:rsid w:val="00F656AA"/>
    <w:rsid w:val="00F671E0"/>
    <w:rsid w:val="00F70753"/>
    <w:rsid w:val="00F73380"/>
    <w:rsid w:val="00F74C7F"/>
    <w:rsid w:val="00F75D49"/>
    <w:rsid w:val="00F75F0D"/>
    <w:rsid w:val="00F776F2"/>
    <w:rsid w:val="00F80A7A"/>
    <w:rsid w:val="00F812D2"/>
    <w:rsid w:val="00F823FC"/>
    <w:rsid w:val="00F827E4"/>
    <w:rsid w:val="00F82987"/>
    <w:rsid w:val="00F82AB0"/>
    <w:rsid w:val="00F843E5"/>
    <w:rsid w:val="00F84544"/>
    <w:rsid w:val="00F84B9A"/>
    <w:rsid w:val="00F85418"/>
    <w:rsid w:val="00F90552"/>
    <w:rsid w:val="00F954FA"/>
    <w:rsid w:val="00F95B1F"/>
    <w:rsid w:val="00F9662B"/>
    <w:rsid w:val="00F96926"/>
    <w:rsid w:val="00FA058C"/>
    <w:rsid w:val="00FA05B2"/>
    <w:rsid w:val="00FA0889"/>
    <w:rsid w:val="00FA4065"/>
    <w:rsid w:val="00FA5C45"/>
    <w:rsid w:val="00FA6119"/>
    <w:rsid w:val="00FA68A7"/>
    <w:rsid w:val="00FB59B6"/>
    <w:rsid w:val="00FC0C51"/>
    <w:rsid w:val="00FC138F"/>
    <w:rsid w:val="00FC1625"/>
    <w:rsid w:val="00FC1C41"/>
    <w:rsid w:val="00FC26A5"/>
    <w:rsid w:val="00FC3903"/>
    <w:rsid w:val="00FC486C"/>
    <w:rsid w:val="00FC5069"/>
    <w:rsid w:val="00FC675D"/>
    <w:rsid w:val="00FC67FF"/>
    <w:rsid w:val="00FC6848"/>
    <w:rsid w:val="00FC6E02"/>
    <w:rsid w:val="00FC7F66"/>
    <w:rsid w:val="00FD09AB"/>
    <w:rsid w:val="00FD161A"/>
    <w:rsid w:val="00FD279B"/>
    <w:rsid w:val="00FD2895"/>
    <w:rsid w:val="00FD3E68"/>
    <w:rsid w:val="00FD5D2E"/>
    <w:rsid w:val="00FD707A"/>
    <w:rsid w:val="00FD7380"/>
    <w:rsid w:val="00FE0A72"/>
    <w:rsid w:val="00FE1B88"/>
    <w:rsid w:val="00FE1D0D"/>
    <w:rsid w:val="00FE3045"/>
    <w:rsid w:val="00FE3163"/>
    <w:rsid w:val="00FE3312"/>
    <w:rsid w:val="00FE428D"/>
    <w:rsid w:val="00FE474B"/>
    <w:rsid w:val="00FE49C3"/>
    <w:rsid w:val="00FE62EB"/>
    <w:rsid w:val="00FF0B3E"/>
    <w:rsid w:val="00FF3C4C"/>
    <w:rsid w:val="00FF4EEA"/>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104f75,#260859,#004712,#8a2529,#c2a204,#e87d1e"/>
    </o:shapedefaults>
    <o:shapelayout v:ext="edit">
      <o:idmap v:ext="edit" data="1"/>
    </o:shapelayout>
  </w:shapeDefaults>
  <w:decimalSymbol w:val="."/>
  <w:listSeparator w:val=","/>
  <w14:docId w14:val="13B519D5"/>
  <w15:docId w15:val="{1A5D4667-0C21-4689-91D2-22CDE979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6905E7"/>
    <w:pPr>
      <w:spacing w:after="240" w:line="288" w:lineRule="auto"/>
    </w:pPr>
    <w:rPr>
      <w:sz w:val="24"/>
      <w:szCs w:val="24"/>
    </w:rPr>
  </w:style>
  <w:style w:type="paragraph" w:styleId="Heading1">
    <w:name w:val="heading 1"/>
    <w:basedOn w:val="Normal"/>
    <w:next w:val="Normal"/>
    <w:link w:val="Heading1Char"/>
    <w:qFormat/>
    <w:rsid w:val="00DF5124"/>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7F1ACB"/>
    <w:pPr>
      <w:spacing w:before="360"/>
      <w:outlineLvl w:val="2"/>
    </w:pPr>
    <w:rPr>
      <w:bCs/>
      <w:sz w:val="28"/>
      <w:szCs w:val="28"/>
    </w:rPr>
  </w:style>
  <w:style w:type="paragraph" w:styleId="Heading4">
    <w:name w:val="heading 4"/>
    <w:basedOn w:val="Heading2"/>
    <w:next w:val="Normal"/>
    <w:link w:val="Heading4Char"/>
    <w:qFormat/>
    <w:rsid w:val="008C46DC"/>
    <w:pPr>
      <w:spacing w:before="240" w:after="120"/>
      <w:outlineLvl w:val="3"/>
    </w:pPr>
    <w:rPr>
      <w:bCs/>
      <w:color w:val="000000"/>
      <w:sz w:val="24"/>
      <w:szCs w:val="28"/>
    </w:rPr>
  </w:style>
  <w:style w:type="paragraph" w:styleId="Heading5">
    <w:name w:val="heading 5"/>
    <w:basedOn w:val="Normal"/>
    <w:next w:val="Normal"/>
    <w:link w:val="Heading5Char"/>
    <w:semiHidden/>
    <w:unhideWhenUsed/>
    <w:qFormat/>
    <w:rsid w:val="008B427B"/>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B427B"/>
    <w:pPr>
      <w:numPr>
        <w:ilvl w:val="6"/>
        <w:numId w:val="3"/>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3"/>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E1B88"/>
    <w:rPr>
      <w:rFonts w:ascii="Arial" w:hAnsi="Arial" w:cs="Arial"/>
      <w:b/>
      <w:color w:val="104F75"/>
      <w:sz w:val="36"/>
      <w:szCs w:val="24"/>
      <w:lang w:eastAsia="en-US"/>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59494A"/>
    <w:pPr>
      <w:spacing w:before="2640" w:line="240" w:lineRule="auto"/>
    </w:pPr>
    <w:rPr>
      <w:rFonts w:cs="Arial"/>
      <w:b/>
      <w:color w:val="104F75"/>
      <w:sz w:val="92"/>
      <w:szCs w:val="92"/>
    </w:rPr>
  </w:style>
  <w:style w:type="character" w:customStyle="1" w:styleId="TitleTextChar">
    <w:name w:val="TitleText Char"/>
    <w:link w:val="TitleText"/>
    <w:rsid w:val="0059494A"/>
    <w:rPr>
      <w:rFonts w:cs="Arial"/>
      <w:b/>
      <w:color w:val="104F75"/>
      <w:sz w:val="92"/>
      <w:szCs w:val="92"/>
    </w:rPr>
  </w:style>
  <w:style w:type="paragraph" w:customStyle="1" w:styleId="SubtitleText">
    <w:name w:val="SubtitleText"/>
    <w:basedOn w:val="Normal"/>
    <w:link w:val="SubtitleTextChar"/>
    <w:uiPriority w:val="99"/>
    <w:unhideWhenUsed/>
    <w:qFormat/>
    <w:rsid w:val="00EE715F"/>
    <w:pPr>
      <w:spacing w:after="1520"/>
    </w:pPr>
    <w:rPr>
      <w:rFonts w:cs="Arial"/>
      <w:b/>
      <w:color w:val="104F75"/>
      <w:sz w:val="44"/>
      <w:szCs w:val="44"/>
    </w:rPr>
  </w:style>
  <w:style w:type="character" w:customStyle="1" w:styleId="SubtitleTextChar">
    <w:name w:val="SubtitleText Char"/>
    <w:link w:val="SubtitleText"/>
    <w:uiPriority w:val="99"/>
    <w:rsid w:val="00EE715F"/>
    <w:rPr>
      <w:rFonts w:cs="Arial"/>
      <w:b/>
      <w:color w:val="104F75"/>
      <w:sz w:val="44"/>
      <w:szCs w:val="44"/>
    </w:rPr>
  </w:style>
  <w:style w:type="paragraph" w:customStyle="1" w:styleId="NumberedList">
    <w:name w:val="NumberedList"/>
    <w:basedOn w:val="DfESOutNumbered1"/>
    <w:link w:val="NumberedListChar"/>
    <w:qFormat/>
    <w:rsid w:val="007A0750"/>
    <w:pPr>
      <w:numPr>
        <w:ilvl w:val="1"/>
        <w:numId w:val="5"/>
      </w:numPr>
      <w:tabs>
        <w:tab w:val="clear" w:pos="1440"/>
      </w:tabs>
      <w:ind w:left="0" w:firstLine="0"/>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13188"/>
    <w:pPr>
      <w:numPr>
        <w:numId w:val="13"/>
      </w:numPr>
      <w:tabs>
        <w:tab w:val="right" w:pos="9498"/>
      </w:tabs>
      <w:ind w:left="851" w:hanging="567"/>
    </w:pPr>
    <w:rPr>
      <w:noProof/>
    </w:rPr>
  </w:style>
  <w:style w:type="paragraph" w:customStyle="1" w:styleId="CopyrightBox">
    <w:name w:val="CopyrightBox"/>
    <w:basedOn w:val="Normal"/>
    <w:link w:val="CopyrightBoxChar"/>
    <w:uiPriority w:val="99"/>
    <w:unhideWhenUsed/>
    <w:qFormat/>
    <w:rsid w:val="00F3105E"/>
  </w:style>
  <w:style w:type="character" w:customStyle="1" w:styleId="CopyrightBoxChar">
    <w:name w:val="CopyrightBox Char"/>
    <w:link w:val="CopyrightBox"/>
    <w:uiPriority w:val="99"/>
    <w:rsid w:val="00F3105E"/>
    <w:rPr>
      <w:sz w:val="24"/>
      <w:szCs w:val="24"/>
    </w:rPr>
  </w:style>
  <w:style w:type="paragraph" w:customStyle="1" w:styleId="CopyrightSpacing">
    <w:name w:val="CopyrightSpacing"/>
    <w:basedOn w:val="Normal"/>
    <w:link w:val="CopyrightSpacingChar"/>
    <w:unhideWhenUsed/>
    <w:rsid w:val="00371C4E"/>
    <w:pPr>
      <w:spacing w:before="6000" w:after="120"/>
    </w:pPr>
    <w:rPr>
      <w:rFonts w:cs="Arial"/>
    </w:rPr>
  </w:style>
  <w:style w:type="character" w:customStyle="1" w:styleId="CopyrightSpacingChar">
    <w:name w:val="CopyrightSpacing Char"/>
    <w:link w:val="CopyrightSpacing"/>
    <w:rsid w:val="00371C4E"/>
    <w:rPr>
      <w:rFonts w:cs="Arial"/>
      <w:sz w:val="24"/>
      <w:szCs w:val="24"/>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character" w:customStyle="1" w:styleId="NumberedListChar">
    <w:name w:val="NumberedList Char"/>
    <w:basedOn w:val="DfESOutNumbered1Char"/>
    <w:link w:val="NumberedList"/>
    <w:rsid w:val="007A0750"/>
    <w:rPr>
      <w:sz w:val="24"/>
      <w:szCs w:val="24"/>
    </w:rPr>
  </w:style>
  <w:style w:type="paragraph" w:styleId="ListParagraph">
    <w:name w:val="List Paragraph"/>
    <w:basedOn w:val="Normal"/>
    <w:link w:val="ListParagraphChar"/>
    <w:uiPriority w:val="34"/>
    <w:qFormat/>
    <w:rsid w:val="007A0750"/>
    <w:pPr>
      <w:numPr>
        <w:numId w:val="6"/>
      </w:numPr>
    </w:pPr>
  </w:style>
  <w:style w:type="paragraph" w:styleId="Caption">
    <w:name w:val="caption"/>
    <w:basedOn w:val="Normal"/>
    <w:next w:val="Normal"/>
    <w:qFormat/>
    <w:rsid w:val="00D21B4A"/>
    <w:pPr>
      <w:spacing w:before="120" w:after="120"/>
      <w:jc w:val="center"/>
    </w:pPr>
    <w:rPr>
      <w:b/>
      <w:bCs/>
      <w:color w:val="000000"/>
      <w:sz w:val="20"/>
      <w:szCs w:val="20"/>
    </w:rPr>
  </w:style>
  <w:style w:type="character" w:customStyle="1" w:styleId="Heading4Char">
    <w:name w:val="Heading 4 Char"/>
    <w:link w:val="Heading4"/>
    <w:rsid w:val="008C46DC"/>
    <w:rPr>
      <w:b/>
      <w:bCs/>
      <w:color w:val="000000"/>
      <w:sz w:val="24"/>
      <w:szCs w:val="28"/>
    </w:rPr>
  </w:style>
  <w:style w:type="paragraph" w:styleId="ListBullet">
    <w:name w:val="List Bullet"/>
    <w:basedOn w:val="Normal"/>
    <w:unhideWhenUsed/>
    <w:rsid w:val="00876230"/>
    <w:pPr>
      <w:numPr>
        <w:numId w:val="2"/>
      </w:numPr>
      <w:contextualSpacing/>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Italics">
    <w:name w:val="Italics"/>
    <w:link w:val="ItalicsChar"/>
    <w:rsid w:val="00774F55"/>
    <w:rPr>
      <w:i/>
      <w:sz w:val="24"/>
      <w:szCs w:val="24"/>
    </w:rPr>
  </w:style>
  <w:style w:type="table" w:styleId="TableGrid">
    <w:name w:val="Table Grid"/>
    <w:basedOn w:val="TableNormal"/>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uiPriority w:val="99"/>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iPriority w:val="99"/>
    <w:unhideWhenUsed/>
    <w:rsid w:val="005C657D"/>
    <w:pPr>
      <w:tabs>
        <w:tab w:val="center" w:pos="4513"/>
        <w:tab w:val="right" w:pos="9026"/>
      </w:tabs>
      <w:spacing w:after="0" w:line="240" w:lineRule="auto"/>
    </w:pPr>
  </w:style>
  <w:style w:type="character" w:customStyle="1" w:styleId="HeaderChar">
    <w:name w:val="Header Char"/>
    <w:link w:val="Header"/>
    <w:uiPriority w:val="99"/>
    <w:rsid w:val="005C657D"/>
    <w:rPr>
      <w:sz w:val="24"/>
      <w:szCs w:val="24"/>
    </w:rPr>
  </w:style>
  <w:style w:type="paragraph" w:styleId="Footer">
    <w:name w:val="footer"/>
    <w:basedOn w:val="Normal"/>
    <w:link w:val="FooterChar"/>
    <w:unhideWhenUsed/>
    <w:rsid w:val="005C657D"/>
    <w:pPr>
      <w:tabs>
        <w:tab w:val="center" w:pos="4513"/>
        <w:tab w:val="right" w:pos="9026"/>
      </w:tabs>
      <w:spacing w:after="0" w:line="240" w:lineRule="auto"/>
    </w:pPr>
  </w:style>
  <w:style w:type="character" w:customStyle="1" w:styleId="FooterChar">
    <w:name w:val="Footer Char"/>
    <w:link w:val="Footer"/>
    <w:uiPriority w:val="99"/>
    <w:rsid w:val="005C657D"/>
    <w:rPr>
      <w:sz w:val="24"/>
      <w:szCs w:val="24"/>
    </w:rPr>
  </w:style>
  <w:style w:type="character" w:styleId="FollowedHyperlink">
    <w:name w:val="FollowedHyperlink"/>
    <w:uiPriority w:val="99"/>
    <w:semiHidden/>
    <w:unhideWhenUsed/>
    <w:rsid w:val="00B64265"/>
    <w:rPr>
      <w:color w:val="800080"/>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uiPriority w:val="99"/>
    <w:unhideWhenUsed/>
    <w:rsid w:val="007E06DD"/>
    <w:rPr>
      <w:vertAlign w:val="superscript"/>
    </w:rPr>
  </w:style>
  <w:style w:type="character" w:customStyle="1" w:styleId="RGB">
    <w:name w:val="RGB"/>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rsid w:val="00956CF7"/>
    <w:rPr>
      <w:sz w:val="20"/>
    </w:rPr>
  </w:style>
  <w:style w:type="paragraph" w:customStyle="1" w:styleId="DfESOutNumbered">
    <w:name w:val="DfESOutNumbered"/>
    <w:basedOn w:val="Normal"/>
    <w:link w:val="DfESOutNumberedChar"/>
    <w:rsid w:val="00C63537"/>
    <w:pPr>
      <w:widowControl w:val="0"/>
      <w:numPr>
        <w:numId w:val="4"/>
      </w:numPr>
      <w:overflowPunct w:val="0"/>
      <w:autoSpaceDE w:val="0"/>
      <w:autoSpaceDN w:val="0"/>
      <w:adjustRightInd w:val="0"/>
      <w:textAlignment w:val="baseline"/>
    </w:pPr>
    <w:rPr>
      <w:rFonts w:cs="Arial"/>
      <w:szCs w:val="20"/>
      <w:lang w:eastAsia="en-US"/>
    </w:rPr>
  </w:style>
  <w:style w:type="character" w:customStyle="1" w:styleId="DfESOutNumberedChar">
    <w:name w:val="DfESOutNumbered Char"/>
    <w:link w:val="DfESOutNumbered"/>
    <w:rsid w:val="00C63537"/>
    <w:rPr>
      <w:rFonts w:cs="Arial"/>
      <w:sz w:val="24"/>
      <w:lang w:eastAsia="en-US"/>
    </w:rPr>
  </w:style>
  <w:style w:type="character" w:styleId="CommentReference">
    <w:name w:val="annotation reference"/>
    <w:unhideWhenUsed/>
    <w:rsid w:val="00FC6848"/>
    <w:rPr>
      <w:sz w:val="16"/>
      <w:szCs w:val="16"/>
    </w:rPr>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uiPriority w:val="99"/>
    <w:semiHidden/>
    <w:unhideWhenUsed/>
    <w:rsid w:val="00FC6848"/>
    <w:rPr>
      <w:b/>
      <w:bCs/>
    </w:rPr>
  </w:style>
  <w:style w:type="character" w:customStyle="1" w:styleId="CommentSubjectChar">
    <w:name w:val="Comment Subject Char"/>
    <w:link w:val="CommentSubject"/>
    <w:uiPriority w:val="99"/>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3A01C4"/>
    <w:rPr>
      <w:rFonts w:cs="Arial"/>
      <w:b/>
      <w:bCs/>
      <w:color w:val="104F75"/>
      <w:sz w:val="48"/>
      <w:szCs w:val="48"/>
    </w:rPr>
  </w:style>
  <w:style w:type="character" w:customStyle="1" w:styleId="DateChar">
    <w:name w:val="Date Char"/>
    <w:link w:val="Date"/>
    <w:rsid w:val="003A01C4"/>
    <w:rPr>
      <w:rFonts w:cs="Arial"/>
      <w:b/>
      <w:bCs/>
      <w:color w:val="104F75"/>
      <w:sz w:val="48"/>
      <w:szCs w:val="48"/>
    </w:rPr>
  </w:style>
  <w:style w:type="character" w:customStyle="1" w:styleId="SourceChar">
    <w:name w:val="Source Char"/>
    <w:basedOn w:val="DefaultParagraphFont"/>
    <w:link w:val="Source"/>
    <w:locked/>
    <w:rsid w:val="00985088"/>
  </w:style>
  <w:style w:type="paragraph" w:customStyle="1" w:styleId="Source">
    <w:name w:val="Source"/>
    <w:basedOn w:val="Normal"/>
    <w:link w:val="SourceChar"/>
    <w:qFormat/>
    <w:rsid w:val="00985088"/>
    <w:pPr>
      <w:jc w:val="right"/>
    </w:pPr>
    <w:rPr>
      <w:sz w:val="20"/>
      <w:szCs w:val="20"/>
    </w:rPr>
  </w:style>
  <w:style w:type="paragraph" w:customStyle="1" w:styleId="DfESOutNumbered1">
    <w:name w:val="DfESOutNumbered1"/>
    <w:basedOn w:val="Normal"/>
    <w:link w:val="DfESOutNumbered1Char"/>
    <w:qFormat/>
    <w:rsid w:val="007A0750"/>
  </w:style>
  <w:style w:type="character" w:customStyle="1" w:styleId="DfESOutNumbered1Char">
    <w:name w:val="DfESOutNumbered1 Char"/>
    <w:link w:val="DfESOutNumbered1"/>
    <w:rsid w:val="007A0750"/>
    <w:rPr>
      <w:sz w:val="24"/>
      <w:szCs w:val="24"/>
    </w:rPr>
  </w:style>
  <w:style w:type="paragraph" w:styleId="NormalWeb">
    <w:name w:val="Normal (Web)"/>
    <w:basedOn w:val="Normal"/>
    <w:uiPriority w:val="99"/>
    <w:unhideWhenUsed/>
    <w:rsid w:val="00AA1F13"/>
    <w:pPr>
      <w:spacing w:before="100" w:beforeAutospacing="1" w:after="100" w:afterAutospacing="1" w:line="240" w:lineRule="auto"/>
    </w:pPr>
    <w:rPr>
      <w:rFonts w:ascii="Times New Roman" w:hAnsi="Times New Roman"/>
    </w:rPr>
  </w:style>
  <w:style w:type="paragraph" w:customStyle="1" w:styleId="ListBullet1">
    <w:name w:val="List Bullet 1"/>
    <w:basedOn w:val="ListBullet"/>
    <w:qFormat/>
    <w:rsid w:val="00144B59"/>
    <w:pPr>
      <w:numPr>
        <w:numId w:val="0"/>
      </w:numPr>
      <w:tabs>
        <w:tab w:val="left" w:pos="709"/>
      </w:tabs>
      <w:spacing w:after="60"/>
      <w:ind w:left="709" w:hanging="360"/>
    </w:pPr>
  </w:style>
  <w:style w:type="paragraph" w:styleId="ListBullet2">
    <w:name w:val="List Bullet 2"/>
    <w:basedOn w:val="Normal"/>
    <w:qFormat/>
    <w:rsid w:val="00144B59"/>
    <w:pPr>
      <w:numPr>
        <w:numId w:val="8"/>
      </w:numPr>
      <w:tabs>
        <w:tab w:val="left" w:pos="1134"/>
      </w:tabs>
      <w:spacing w:after="60"/>
      <w:contextualSpacing/>
    </w:pPr>
  </w:style>
  <w:style w:type="paragraph" w:styleId="ListBullet3">
    <w:name w:val="List Bullet 3"/>
    <w:basedOn w:val="ListBullet"/>
    <w:link w:val="ListBullet3Char"/>
    <w:qFormat/>
    <w:rsid w:val="00144B59"/>
    <w:pPr>
      <w:numPr>
        <w:numId w:val="9"/>
      </w:numPr>
      <w:tabs>
        <w:tab w:val="left" w:pos="1560"/>
      </w:tabs>
      <w:spacing w:after="60"/>
      <w:ind w:left="1560" w:hanging="426"/>
    </w:pPr>
  </w:style>
  <w:style w:type="paragraph" w:styleId="ListBullet4">
    <w:name w:val="List Bullet 4"/>
    <w:basedOn w:val="ListBullet"/>
    <w:link w:val="ListBullet4Char"/>
    <w:qFormat/>
    <w:rsid w:val="00144B59"/>
    <w:pPr>
      <w:numPr>
        <w:numId w:val="10"/>
      </w:numPr>
      <w:tabs>
        <w:tab w:val="left" w:pos="1985"/>
      </w:tabs>
      <w:spacing w:after="120"/>
      <w:ind w:left="1985" w:hanging="425"/>
    </w:pPr>
  </w:style>
  <w:style w:type="paragraph" w:customStyle="1" w:styleId="Lvl1bullet">
    <w:name w:val="Lvl 1 bullet"/>
    <w:autoRedefine/>
    <w:qFormat/>
    <w:rsid w:val="00144B59"/>
    <w:pPr>
      <w:numPr>
        <w:numId w:val="7"/>
      </w:numPr>
      <w:tabs>
        <w:tab w:val="left" w:pos="709"/>
      </w:tabs>
      <w:spacing w:after="120" w:line="288" w:lineRule="auto"/>
      <w:contextualSpacing/>
    </w:pPr>
    <w:rPr>
      <w:rFonts w:cs="Arial"/>
      <w:sz w:val="24"/>
      <w:szCs w:val="24"/>
      <w:lang w:eastAsia="en-US"/>
    </w:rPr>
  </w:style>
  <w:style w:type="character" w:customStyle="1" w:styleId="ListBullet3Char">
    <w:name w:val="List Bullet 3 Char"/>
    <w:link w:val="ListBullet3"/>
    <w:rsid w:val="00144B59"/>
    <w:rPr>
      <w:sz w:val="24"/>
      <w:szCs w:val="24"/>
    </w:rPr>
  </w:style>
  <w:style w:type="paragraph" w:customStyle="1" w:styleId="Lvl2bullet">
    <w:name w:val="Lvl 2 bullet"/>
    <w:autoRedefine/>
    <w:qFormat/>
    <w:rsid w:val="00144B59"/>
    <w:pPr>
      <w:numPr>
        <w:ilvl w:val="1"/>
        <w:numId w:val="11"/>
      </w:numPr>
      <w:spacing w:after="120" w:line="288" w:lineRule="auto"/>
    </w:pPr>
    <w:rPr>
      <w:rFonts w:cs="Arial"/>
      <w:sz w:val="24"/>
      <w:szCs w:val="24"/>
      <w:lang w:eastAsia="en-US"/>
    </w:rPr>
  </w:style>
  <w:style w:type="paragraph" w:customStyle="1" w:styleId="Lvl4bullet">
    <w:name w:val="Lvl 4 bullet"/>
    <w:basedOn w:val="Normal"/>
    <w:autoRedefine/>
    <w:qFormat/>
    <w:rsid w:val="00144B59"/>
    <w:pPr>
      <w:numPr>
        <w:ilvl w:val="3"/>
        <w:numId w:val="11"/>
      </w:numPr>
      <w:tabs>
        <w:tab w:val="clear" w:pos="3240"/>
        <w:tab w:val="num" w:pos="2977"/>
      </w:tabs>
      <w:spacing w:after="120"/>
      <w:ind w:left="2977" w:hanging="851"/>
    </w:pPr>
  </w:style>
  <w:style w:type="character" w:customStyle="1" w:styleId="ListBullet4Char">
    <w:name w:val="List Bullet 4 Char"/>
    <w:link w:val="ListBullet4"/>
    <w:rsid w:val="00144B59"/>
    <w:rPr>
      <w:sz w:val="24"/>
      <w:szCs w:val="24"/>
    </w:rPr>
  </w:style>
  <w:style w:type="paragraph" w:customStyle="1" w:styleId="Lvl3bullet">
    <w:name w:val="Lvl 3 bullet"/>
    <w:basedOn w:val="Normal"/>
    <w:link w:val="Lvl3bulletChar"/>
    <w:autoRedefine/>
    <w:qFormat/>
    <w:rsid w:val="00144B59"/>
    <w:pPr>
      <w:numPr>
        <w:ilvl w:val="2"/>
        <w:numId w:val="12"/>
      </w:numPr>
      <w:spacing w:after="120"/>
      <w:contextualSpacing/>
    </w:pPr>
  </w:style>
  <w:style w:type="character" w:customStyle="1" w:styleId="Lvl3bulletChar">
    <w:name w:val="Lvl 3 bullet Char"/>
    <w:link w:val="Lvl3bullet"/>
    <w:rsid w:val="00144B59"/>
    <w:rPr>
      <w:sz w:val="24"/>
      <w:szCs w:val="24"/>
    </w:rPr>
  </w:style>
  <w:style w:type="paragraph" w:customStyle="1" w:styleId="Bold">
    <w:name w:val="Bold"/>
    <w:basedOn w:val="Normal"/>
    <w:link w:val="BoldChar"/>
    <w:rsid w:val="00371C4E"/>
    <w:pPr>
      <w:autoSpaceDE w:val="0"/>
      <w:autoSpaceDN w:val="0"/>
    </w:pPr>
    <w:rPr>
      <w:rFonts w:cs="Arial"/>
      <w:b/>
      <w:color w:val="000000"/>
    </w:rPr>
  </w:style>
  <w:style w:type="character" w:customStyle="1" w:styleId="BoldChar">
    <w:name w:val="Bold Char"/>
    <w:link w:val="Bold"/>
    <w:rsid w:val="00144B59"/>
    <w:rPr>
      <w:rFonts w:cs="Arial"/>
      <w:b/>
      <w:color w:val="000000"/>
      <w:sz w:val="24"/>
      <w:szCs w:val="24"/>
    </w:rPr>
  </w:style>
  <w:style w:type="paragraph" w:customStyle="1" w:styleId="Default">
    <w:name w:val="Default"/>
    <w:rsid w:val="00371C4E"/>
    <w:pPr>
      <w:autoSpaceDE w:val="0"/>
      <w:autoSpaceDN w:val="0"/>
      <w:adjustRightInd w:val="0"/>
      <w:spacing w:after="240" w:line="288" w:lineRule="auto"/>
    </w:pPr>
    <w:rPr>
      <w:rFonts w:eastAsia="Calibri"/>
      <w:color w:val="000000"/>
      <w:sz w:val="24"/>
      <w:szCs w:val="24"/>
      <w:lang w:eastAsia="en-US"/>
    </w:rPr>
  </w:style>
  <w:style w:type="table" w:styleId="TableClassic2">
    <w:name w:val="Table Classic 2"/>
    <w:basedOn w:val="TableNormal"/>
    <w:rsid w:val="00144B59"/>
    <w:pPr>
      <w:spacing w:after="240" w:line="288"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44B59"/>
    <w:pPr>
      <w:spacing w:after="240" w:line="288"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3">
    <w:name w:val="Table Grid 3"/>
    <w:basedOn w:val="TableNormal"/>
    <w:rsid w:val="00144B59"/>
    <w:pPr>
      <w:spacing w:after="240" w:line="288"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Columns3">
    <w:name w:val="Table Columns 3"/>
    <w:basedOn w:val="TableNormal"/>
    <w:rsid w:val="00144B59"/>
    <w:pPr>
      <w:spacing w:after="240" w:line="288"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font5">
    <w:name w:val="font5"/>
    <w:basedOn w:val="Normal"/>
    <w:rsid w:val="00144B59"/>
    <w:pPr>
      <w:spacing w:before="100" w:beforeAutospacing="1" w:after="100" w:afterAutospacing="1" w:line="240" w:lineRule="auto"/>
    </w:pPr>
    <w:rPr>
      <w:rFonts w:ascii="Calibri" w:hAnsi="Calibri" w:cs="Calibri"/>
      <w:b/>
      <w:bCs/>
      <w:color w:val="16365C"/>
      <w:sz w:val="28"/>
      <w:szCs w:val="28"/>
    </w:rPr>
  </w:style>
  <w:style w:type="paragraph" w:customStyle="1" w:styleId="font6">
    <w:name w:val="font6"/>
    <w:basedOn w:val="Normal"/>
    <w:rsid w:val="00144B59"/>
    <w:pPr>
      <w:spacing w:before="100" w:beforeAutospacing="1" w:after="100" w:afterAutospacing="1" w:line="240" w:lineRule="auto"/>
    </w:pPr>
    <w:rPr>
      <w:rFonts w:ascii="Calibri" w:hAnsi="Calibri" w:cs="Calibri"/>
      <w:b/>
      <w:bCs/>
      <w:color w:val="16365C"/>
      <w:sz w:val="28"/>
      <w:szCs w:val="28"/>
      <w:u w:val="single"/>
    </w:rPr>
  </w:style>
  <w:style w:type="paragraph" w:customStyle="1" w:styleId="font7">
    <w:name w:val="font7"/>
    <w:basedOn w:val="Normal"/>
    <w:rsid w:val="00144B59"/>
    <w:pPr>
      <w:spacing w:before="100" w:beforeAutospacing="1" w:after="100" w:afterAutospacing="1" w:line="240" w:lineRule="auto"/>
    </w:pPr>
    <w:rPr>
      <w:rFonts w:ascii="Calibri" w:hAnsi="Calibri" w:cs="Calibri"/>
      <w:b/>
      <w:bCs/>
      <w:i/>
      <w:iCs/>
      <w:color w:val="16365C"/>
      <w:sz w:val="28"/>
      <w:szCs w:val="28"/>
      <w:u w:val="single"/>
    </w:rPr>
  </w:style>
  <w:style w:type="paragraph" w:customStyle="1" w:styleId="xl63">
    <w:name w:val="xl63"/>
    <w:basedOn w:val="Normal"/>
    <w:rsid w:val="00144B59"/>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color w:val="16365C"/>
      <w:sz w:val="16"/>
      <w:szCs w:val="16"/>
    </w:rPr>
  </w:style>
  <w:style w:type="paragraph" w:customStyle="1" w:styleId="xl64">
    <w:name w:val="xl64"/>
    <w:basedOn w:val="Normal"/>
    <w:rsid w:val="00144B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b/>
      <w:bCs/>
      <w:color w:val="16365C"/>
      <w:sz w:val="20"/>
      <w:szCs w:val="20"/>
    </w:rPr>
  </w:style>
  <w:style w:type="paragraph" w:customStyle="1" w:styleId="xl65">
    <w:name w:val="xl65"/>
    <w:basedOn w:val="Normal"/>
    <w:rsid w:val="00144B59"/>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cs="Arial"/>
      <w:b/>
      <w:bCs/>
      <w:color w:val="16365C"/>
      <w:sz w:val="20"/>
      <w:szCs w:val="20"/>
    </w:rPr>
  </w:style>
  <w:style w:type="paragraph" w:customStyle="1" w:styleId="xl66">
    <w:name w:val="xl66"/>
    <w:basedOn w:val="Normal"/>
    <w:rsid w:val="00144B59"/>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cs="Arial"/>
      <w:b/>
      <w:bCs/>
      <w:color w:val="16365C"/>
      <w:sz w:val="20"/>
      <w:szCs w:val="20"/>
    </w:rPr>
  </w:style>
  <w:style w:type="paragraph" w:customStyle="1" w:styleId="xl67">
    <w:name w:val="xl67"/>
    <w:basedOn w:val="Normal"/>
    <w:rsid w:val="00144B59"/>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cs="Arial"/>
      <w:b/>
      <w:bCs/>
      <w:color w:val="16365C"/>
      <w:sz w:val="20"/>
      <w:szCs w:val="20"/>
    </w:rPr>
  </w:style>
  <w:style w:type="paragraph" w:customStyle="1" w:styleId="xl68">
    <w:name w:val="xl68"/>
    <w:basedOn w:val="Normal"/>
    <w:rsid w:val="00144B59"/>
    <w:pPr>
      <w:pBdr>
        <w:left w:val="single" w:sz="8" w:space="0" w:color="auto"/>
        <w:bottom w:val="single" w:sz="8" w:space="0" w:color="auto"/>
      </w:pBdr>
      <w:spacing w:before="100" w:beforeAutospacing="1" w:after="100" w:afterAutospacing="1" w:line="240" w:lineRule="auto"/>
    </w:pPr>
    <w:rPr>
      <w:rFonts w:cs="Arial"/>
      <w:b/>
      <w:bCs/>
      <w:color w:val="16365C"/>
      <w:sz w:val="20"/>
      <w:szCs w:val="20"/>
    </w:rPr>
  </w:style>
  <w:style w:type="paragraph" w:customStyle="1" w:styleId="xl69">
    <w:name w:val="xl69"/>
    <w:basedOn w:val="Normal"/>
    <w:rsid w:val="00144B59"/>
    <w:pPr>
      <w:pBdr>
        <w:top w:val="single" w:sz="8" w:space="0" w:color="auto"/>
      </w:pBdr>
      <w:shd w:val="clear" w:color="000000" w:fill="FFFFFF"/>
      <w:spacing w:before="100" w:beforeAutospacing="1" w:after="100" w:afterAutospacing="1" w:line="240" w:lineRule="auto"/>
      <w:textAlignment w:val="center"/>
    </w:pPr>
    <w:rPr>
      <w:rFonts w:cs="Arial"/>
      <w:color w:val="16365C"/>
      <w:sz w:val="20"/>
      <w:szCs w:val="20"/>
    </w:rPr>
  </w:style>
  <w:style w:type="paragraph" w:customStyle="1" w:styleId="xl70">
    <w:name w:val="xl70"/>
    <w:basedOn w:val="Normal"/>
    <w:rsid w:val="00144B59"/>
    <w:pPr>
      <w:shd w:val="clear" w:color="000000" w:fill="FFFFFF"/>
      <w:spacing w:before="100" w:beforeAutospacing="1" w:after="100" w:afterAutospacing="1" w:line="240" w:lineRule="auto"/>
      <w:textAlignment w:val="center"/>
    </w:pPr>
    <w:rPr>
      <w:rFonts w:cs="Arial"/>
      <w:color w:val="16365C"/>
      <w:sz w:val="20"/>
      <w:szCs w:val="20"/>
    </w:rPr>
  </w:style>
  <w:style w:type="paragraph" w:customStyle="1" w:styleId="xl71">
    <w:name w:val="xl71"/>
    <w:basedOn w:val="Normal"/>
    <w:rsid w:val="00144B59"/>
    <w:pPr>
      <w:pBdr>
        <w:top w:val="single" w:sz="8" w:space="0" w:color="auto"/>
        <w:left w:val="single" w:sz="8" w:space="0" w:color="auto"/>
      </w:pBdr>
      <w:shd w:val="clear" w:color="000000" w:fill="FFFFFF"/>
      <w:spacing w:before="100" w:beforeAutospacing="1" w:after="100" w:afterAutospacing="1" w:line="240" w:lineRule="auto"/>
      <w:textAlignment w:val="center"/>
    </w:pPr>
    <w:rPr>
      <w:rFonts w:cs="Arial"/>
      <w:b/>
      <w:bCs/>
      <w:color w:val="16365C"/>
      <w:sz w:val="20"/>
      <w:szCs w:val="20"/>
    </w:rPr>
  </w:style>
  <w:style w:type="paragraph" w:customStyle="1" w:styleId="xl72">
    <w:name w:val="xl72"/>
    <w:basedOn w:val="Normal"/>
    <w:rsid w:val="00144B59"/>
    <w:pPr>
      <w:pBdr>
        <w:top w:val="single" w:sz="8" w:space="0" w:color="auto"/>
      </w:pBdr>
      <w:shd w:val="clear" w:color="000000" w:fill="FFFFFF"/>
      <w:spacing w:before="100" w:beforeAutospacing="1" w:after="100" w:afterAutospacing="1" w:line="240" w:lineRule="auto"/>
      <w:jc w:val="right"/>
      <w:textAlignment w:val="center"/>
    </w:pPr>
    <w:rPr>
      <w:rFonts w:cs="Arial"/>
      <w:b/>
      <w:bCs/>
      <w:color w:val="16365C"/>
      <w:sz w:val="20"/>
      <w:szCs w:val="20"/>
    </w:rPr>
  </w:style>
  <w:style w:type="paragraph" w:customStyle="1" w:styleId="xl73">
    <w:name w:val="xl73"/>
    <w:basedOn w:val="Normal"/>
    <w:rsid w:val="00144B59"/>
    <w:pPr>
      <w:pBdr>
        <w:top w:val="single" w:sz="8" w:space="0" w:color="auto"/>
        <w:right w:val="single" w:sz="8" w:space="0" w:color="auto"/>
      </w:pBdr>
      <w:shd w:val="clear" w:color="000000" w:fill="FFFFFF"/>
      <w:spacing w:before="100" w:beforeAutospacing="1" w:after="100" w:afterAutospacing="1" w:line="240" w:lineRule="auto"/>
      <w:textAlignment w:val="center"/>
    </w:pPr>
    <w:rPr>
      <w:rFonts w:cs="Arial"/>
      <w:b/>
      <w:bCs/>
      <w:color w:val="16365C"/>
      <w:sz w:val="20"/>
      <w:szCs w:val="20"/>
    </w:rPr>
  </w:style>
  <w:style w:type="paragraph" w:customStyle="1" w:styleId="xl74">
    <w:name w:val="xl74"/>
    <w:basedOn w:val="Normal"/>
    <w:rsid w:val="00144B59"/>
    <w:pPr>
      <w:spacing w:before="100" w:beforeAutospacing="1" w:after="100" w:afterAutospacing="1" w:line="240" w:lineRule="auto"/>
      <w:textAlignment w:val="center"/>
    </w:pPr>
    <w:rPr>
      <w:rFonts w:cs="Arial"/>
      <w:color w:val="16365C"/>
      <w:sz w:val="20"/>
      <w:szCs w:val="20"/>
    </w:rPr>
  </w:style>
  <w:style w:type="paragraph" w:customStyle="1" w:styleId="xl75">
    <w:name w:val="xl75"/>
    <w:basedOn w:val="Normal"/>
    <w:rsid w:val="00144B59"/>
    <w:pPr>
      <w:spacing w:before="100" w:beforeAutospacing="1" w:after="100" w:afterAutospacing="1" w:line="240" w:lineRule="auto"/>
      <w:textAlignment w:val="center"/>
    </w:pPr>
    <w:rPr>
      <w:rFonts w:cs="Arial"/>
      <w:color w:val="16365C"/>
      <w:sz w:val="20"/>
      <w:szCs w:val="20"/>
    </w:rPr>
  </w:style>
  <w:style w:type="paragraph" w:customStyle="1" w:styleId="xl76">
    <w:name w:val="xl76"/>
    <w:basedOn w:val="Normal"/>
    <w:rsid w:val="00144B59"/>
    <w:pPr>
      <w:pBdr>
        <w:left w:val="single" w:sz="8" w:space="0" w:color="auto"/>
      </w:pBdr>
      <w:spacing w:before="100" w:beforeAutospacing="1" w:after="100" w:afterAutospacing="1" w:line="240" w:lineRule="auto"/>
      <w:textAlignment w:val="center"/>
    </w:pPr>
    <w:rPr>
      <w:rFonts w:cs="Arial"/>
      <w:b/>
      <w:bCs/>
      <w:color w:val="16365C"/>
      <w:sz w:val="20"/>
      <w:szCs w:val="20"/>
    </w:rPr>
  </w:style>
  <w:style w:type="paragraph" w:customStyle="1" w:styleId="xl77">
    <w:name w:val="xl77"/>
    <w:basedOn w:val="Normal"/>
    <w:rsid w:val="00144B59"/>
    <w:pPr>
      <w:spacing w:before="100" w:beforeAutospacing="1" w:after="100" w:afterAutospacing="1" w:line="240" w:lineRule="auto"/>
      <w:jc w:val="right"/>
      <w:textAlignment w:val="center"/>
    </w:pPr>
    <w:rPr>
      <w:rFonts w:cs="Arial"/>
      <w:b/>
      <w:bCs/>
      <w:color w:val="16365C"/>
      <w:sz w:val="20"/>
      <w:szCs w:val="20"/>
    </w:rPr>
  </w:style>
  <w:style w:type="paragraph" w:customStyle="1" w:styleId="xl78">
    <w:name w:val="xl78"/>
    <w:basedOn w:val="Normal"/>
    <w:rsid w:val="00144B59"/>
    <w:pPr>
      <w:pBdr>
        <w:right w:val="single" w:sz="8" w:space="0" w:color="auto"/>
      </w:pBdr>
      <w:shd w:val="clear" w:color="000000" w:fill="FFFFFF"/>
      <w:spacing w:before="100" w:beforeAutospacing="1" w:after="100" w:afterAutospacing="1" w:line="240" w:lineRule="auto"/>
      <w:textAlignment w:val="center"/>
    </w:pPr>
    <w:rPr>
      <w:rFonts w:cs="Arial"/>
      <w:b/>
      <w:bCs/>
      <w:color w:val="16365C"/>
      <w:sz w:val="20"/>
      <w:szCs w:val="20"/>
    </w:rPr>
  </w:style>
  <w:style w:type="paragraph" w:customStyle="1" w:styleId="xl79">
    <w:name w:val="xl79"/>
    <w:basedOn w:val="Normal"/>
    <w:rsid w:val="00144B59"/>
    <w:pPr>
      <w:shd w:val="clear" w:color="DCE6F1" w:fill="FFFFFF"/>
      <w:spacing w:before="100" w:beforeAutospacing="1" w:after="100" w:afterAutospacing="1" w:line="240" w:lineRule="auto"/>
      <w:textAlignment w:val="center"/>
    </w:pPr>
    <w:rPr>
      <w:rFonts w:cs="Arial"/>
      <w:color w:val="16365C"/>
      <w:sz w:val="20"/>
      <w:szCs w:val="20"/>
    </w:rPr>
  </w:style>
  <w:style w:type="paragraph" w:customStyle="1" w:styleId="xl80">
    <w:name w:val="xl80"/>
    <w:basedOn w:val="Normal"/>
    <w:rsid w:val="00144B59"/>
    <w:pPr>
      <w:shd w:val="clear" w:color="DCE6F1" w:fill="FFFFFF"/>
      <w:spacing w:before="100" w:beforeAutospacing="1" w:after="100" w:afterAutospacing="1" w:line="240" w:lineRule="auto"/>
      <w:textAlignment w:val="center"/>
    </w:pPr>
    <w:rPr>
      <w:rFonts w:cs="Arial"/>
      <w:color w:val="16365C"/>
      <w:sz w:val="20"/>
      <w:szCs w:val="20"/>
    </w:rPr>
  </w:style>
  <w:style w:type="paragraph" w:customStyle="1" w:styleId="xl81">
    <w:name w:val="xl81"/>
    <w:basedOn w:val="Normal"/>
    <w:rsid w:val="00144B59"/>
    <w:pPr>
      <w:pBdr>
        <w:left w:val="single" w:sz="8" w:space="0" w:color="auto"/>
      </w:pBdr>
      <w:shd w:val="clear" w:color="DCE6F1" w:fill="FFFFFF"/>
      <w:spacing w:before="100" w:beforeAutospacing="1" w:after="100" w:afterAutospacing="1" w:line="240" w:lineRule="auto"/>
      <w:textAlignment w:val="center"/>
    </w:pPr>
    <w:rPr>
      <w:rFonts w:cs="Arial"/>
      <w:b/>
      <w:bCs/>
      <w:color w:val="16365C"/>
      <w:sz w:val="20"/>
      <w:szCs w:val="20"/>
    </w:rPr>
  </w:style>
  <w:style w:type="paragraph" w:customStyle="1" w:styleId="xl82">
    <w:name w:val="xl82"/>
    <w:basedOn w:val="Normal"/>
    <w:rsid w:val="00144B59"/>
    <w:pPr>
      <w:shd w:val="clear" w:color="DCE6F1" w:fill="FFFFFF"/>
      <w:spacing w:before="100" w:beforeAutospacing="1" w:after="100" w:afterAutospacing="1" w:line="240" w:lineRule="auto"/>
      <w:jc w:val="right"/>
      <w:textAlignment w:val="center"/>
    </w:pPr>
    <w:rPr>
      <w:rFonts w:cs="Arial"/>
      <w:b/>
      <w:bCs/>
      <w:color w:val="16365C"/>
      <w:sz w:val="20"/>
      <w:szCs w:val="20"/>
    </w:rPr>
  </w:style>
  <w:style w:type="paragraph" w:customStyle="1" w:styleId="xl83">
    <w:name w:val="xl83"/>
    <w:basedOn w:val="Normal"/>
    <w:rsid w:val="00144B59"/>
    <w:pPr>
      <w:pBdr>
        <w:right w:val="single" w:sz="8" w:space="0" w:color="auto"/>
      </w:pBdr>
      <w:shd w:val="clear" w:color="DCE6F1" w:fill="FFFFFF"/>
      <w:spacing w:before="100" w:beforeAutospacing="1" w:after="100" w:afterAutospacing="1" w:line="240" w:lineRule="auto"/>
      <w:textAlignment w:val="center"/>
    </w:pPr>
    <w:rPr>
      <w:rFonts w:cs="Arial"/>
      <w:b/>
      <w:bCs/>
      <w:color w:val="16365C"/>
      <w:sz w:val="20"/>
      <w:szCs w:val="20"/>
    </w:rPr>
  </w:style>
  <w:style w:type="paragraph" w:customStyle="1" w:styleId="xl84">
    <w:name w:val="xl84"/>
    <w:basedOn w:val="Normal"/>
    <w:rsid w:val="00144B59"/>
    <w:pPr>
      <w:shd w:val="clear" w:color="000000" w:fill="FFFFFF"/>
      <w:spacing w:before="100" w:beforeAutospacing="1" w:after="100" w:afterAutospacing="1" w:line="240" w:lineRule="auto"/>
      <w:textAlignment w:val="center"/>
    </w:pPr>
    <w:rPr>
      <w:rFonts w:cs="Arial"/>
      <w:color w:val="16365C"/>
      <w:sz w:val="20"/>
      <w:szCs w:val="20"/>
    </w:rPr>
  </w:style>
  <w:style w:type="paragraph" w:customStyle="1" w:styleId="xl85">
    <w:name w:val="xl85"/>
    <w:basedOn w:val="Normal"/>
    <w:rsid w:val="00144B59"/>
    <w:pPr>
      <w:pBdr>
        <w:left w:val="single" w:sz="8" w:space="0" w:color="auto"/>
      </w:pBdr>
      <w:shd w:val="clear" w:color="000000" w:fill="FFFFFF"/>
      <w:spacing w:before="100" w:beforeAutospacing="1" w:after="100" w:afterAutospacing="1" w:line="240" w:lineRule="auto"/>
      <w:textAlignment w:val="center"/>
    </w:pPr>
    <w:rPr>
      <w:rFonts w:cs="Arial"/>
      <w:b/>
      <w:bCs/>
      <w:color w:val="16365C"/>
      <w:sz w:val="20"/>
      <w:szCs w:val="20"/>
    </w:rPr>
  </w:style>
  <w:style w:type="paragraph" w:customStyle="1" w:styleId="xl86">
    <w:name w:val="xl86"/>
    <w:basedOn w:val="Normal"/>
    <w:rsid w:val="00144B59"/>
    <w:pPr>
      <w:shd w:val="clear" w:color="000000" w:fill="FFFFFF"/>
      <w:spacing w:before="100" w:beforeAutospacing="1" w:after="100" w:afterAutospacing="1" w:line="240" w:lineRule="auto"/>
      <w:jc w:val="right"/>
      <w:textAlignment w:val="center"/>
    </w:pPr>
    <w:rPr>
      <w:rFonts w:cs="Arial"/>
      <w:b/>
      <w:bCs/>
      <w:color w:val="16365C"/>
      <w:sz w:val="20"/>
      <w:szCs w:val="20"/>
    </w:rPr>
  </w:style>
  <w:style w:type="paragraph" w:customStyle="1" w:styleId="xl87">
    <w:name w:val="xl87"/>
    <w:basedOn w:val="Normal"/>
    <w:rsid w:val="00144B59"/>
    <w:pPr>
      <w:pBdr>
        <w:left w:val="single" w:sz="8" w:space="0" w:color="auto"/>
        <w:bottom w:val="single" w:sz="8" w:space="0" w:color="auto"/>
      </w:pBdr>
      <w:shd w:val="clear" w:color="DCE6F1" w:fill="FFFFFF"/>
      <w:spacing w:before="100" w:beforeAutospacing="1" w:after="100" w:afterAutospacing="1" w:line="240" w:lineRule="auto"/>
      <w:textAlignment w:val="center"/>
    </w:pPr>
    <w:rPr>
      <w:rFonts w:cs="Arial"/>
      <w:b/>
      <w:bCs/>
      <w:color w:val="16365C"/>
      <w:sz w:val="20"/>
      <w:szCs w:val="20"/>
    </w:rPr>
  </w:style>
  <w:style w:type="paragraph" w:customStyle="1" w:styleId="xl88">
    <w:name w:val="xl88"/>
    <w:basedOn w:val="Normal"/>
    <w:rsid w:val="00144B59"/>
    <w:pPr>
      <w:pBdr>
        <w:bottom w:val="single" w:sz="8" w:space="0" w:color="auto"/>
      </w:pBdr>
      <w:shd w:val="clear" w:color="DCE6F1" w:fill="FFFFFF"/>
      <w:spacing w:before="100" w:beforeAutospacing="1" w:after="100" w:afterAutospacing="1" w:line="240" w:lineRule="auto"/>
      <w:jc w:val="right"/>
      <w:textAlignment w:val="center"/>
    </w:pPr>
    <w:rPr>
      <w:rFonts w:cs="Arial"/>
      <w:b/>
      <w:bCs/>
      <w:color w:val="16365C"/>
      <w:sz w:val="20"/>
      <w:szCs w:val="20"/>
    </w:rPr>
  </w:style>
  <w:style w:type="paragraph" w:customStyle="1" w:styleId="xl92">
    <w:name w:val="xl92"/>
    <w:basedOn w:val="Normal"/>
    <w:rsid w:val="00144B59"/>
    <w:pPr>
      <w:pBdr>
        <w:top w:val="single" w:sz="8" w:space="0" w:color="auto"/>
      </w:pBdr>
      <w:shd w:val="clear" w:color="000000" w:fill="FFFFFF"/>
      <w:spacing w:before="100" w:beforeAutospacing="1" w:after="100" w:afterAutospacing="1" w:line="240" w:lineRule="auto"/>
      <w:textAlignment w:val="center"/>
    </w:pPr>
    <w:rPr>
      <w:rFonts w:cs="Arial"/>
      <w:color w:val="16365C"/>
      <w:sz w:val="20"/>
      <w:szCs w:val="20"/>
    </w:rPr>
  </w:style>
  <w:style w:type="paragraph" w:customStyle="1" w:styleId="xl94">
    <w:name w:val="xl94"/>
    <w:basedOn w:val="Normal"/>
    <w:rsid w:val="00144B5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16365C"/>
      <w:sz w:val="20"/>
      <w:szCs w:val="20"/>
    </w:rPr>
  </w:style>
  <w:style w:type="paragraph" w:customStyle="1" w:styleId="xl95">
    <w:name w:val="xl95"/>
    <w:basedOn w:val="Normal"/>
    <w:rsid w:val="00144B5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16365C"/>
      <w:sz w:val="20"/>
      <w:szCs w:val="20"/>
    </w:rPr>
  </w:style>
  <w:style w:type="paragraph" w:customStyle="1" w:styleId="xl97">
    <w:name w:val="xl97"/>
    <w:basedOn w:val="Normal"/>
    <w:rsid w:val="00144B59"/>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16365C"/>
      <w:sz w:val="28"/>
      <w:szCs w:val="28"/>
    </w:rPr>
  </w:style>
  <w:style w:type="paragraph" w:customStyle="1" w:styleId="xl98">
    <w:name w:val="xl98"/>
    <w:basedOn w:val="Normal"/>
    <w:rsid w:val="00144B5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16365C"/>
      <w:sz w:val="28"/>
      <w:szCs w:val="28"/>
    </w:rPr>
  </w:style>
  <w:style w:type="table" w:styleId="MediumShading1-Accent1">
    <w:name w:val="Medium Shading 1 Accent 1"/>
    <w:basedOn w:val="TableNormal"/>
    <w:uiPriority w:val="63"/>
    <w:rsid w:val="00144B59"/>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Revision">
    <w:name w:val="Revision"/>
    <w:hidden/>
    <w:uiPriority w:val="99"/>
    <w:semiHidden/>
    <w:rsid w:val="0068523D"/>
    <w:rPr>
      <w:sz w:val="24"/>
      <w:szCs w:val="24"/>
    </w:rPr>
  </w:style>
  <w:style w:type="paragraph" w:customStyle="1" w:styleId="DeptOutNumbered">
    <w:name w:val="DeptOutNumbered"/>
    <w:basedOn w:val="Normal"/>
    <w:rsid w:val="000C6A1C"/>
    <w:pPr>
      <w:numPr>
        <w:numId w:val="14"/>
      </w:numPr>
      <w:overflowPunct w:val="0"/>
      <w:autoSpaceDE w:val="0"/>
      <w:autoSpaceDN w:val="0"/>
      <w:spacing w:line="240" w:lineRule="auto"/>
    </w:pPr>
    <w:rPr>
      <w:rFonts w:eastAsiaTheme="minorHAnsi" w:cs="Arial"/>
      <w:lang w:eastAsia="en-US"/>
    </w:rPr>
  </w:style>
  <w:style w:type="paragraph" w:styleId="EndnoteText">
    <w:name w:val="endnote text"/>
    <w:basedOn w:val="Normal"/>
    <w:link w:val="EndnoteTextChar"/>
    <w:semiHidden/>
    <w:unhideWhenUsed/>
    <w:rsid w:val="00475AA0"/>
    <w:pPr>
      <w:spacing w:after="0" w:line="240" w:lineRule="auto"/>
    </w:pPr>
    <w:rPr>
      <w:sz w:val="20"/>
      <w:szCs w:val="20"/>
    </w:rPr>
  </w:style>
  <w:style w:type="character" w:customStyle="1" w:styleId="EndnoteTextChar">
    <w:name w:val="Endnote Text Char"/>
    <w:basedOn w:val="DefaultParagraphFont"/>
    <w:link w:val="EndnoteText"/>
    <w:semiHidden/>
    <w:rsid w:val="00475AA0"/>
  </w:style>
  <w:style w:type="character" w:styleId="EndnoteReference">
    <w:name w:val="endnote reference"/>
    <w:basedOn w:val="DefaultParagraphFont"/>
    <w:semiHidden/>
    <w:unhideWhenUsed/>
    <w:rsid w:val="00475AA0"/>
    <w:rPr>
      <w:vertAlign w:val="superscript"/>
    </w:rPr>
  </w:style>
  <w:style w:type="paragraph" w:styleId="BodyText2">
    <w:name w:val="Body Text 2"/>
    <w:basedOn w:val="Normal"/>
    <w:link w:val="BodyText2Char"/>
    <w:semiHidden/>
    <w:unhideWhenUsed/>
    <w:rsid w:val="00CE77FB"/>
    <w:pPr>
      <w:spacing w:after="120" w:line="480" w:lineRule="auto"/>
    </w:pPr>
  </w:style>
  <w:style w:type="character" w:customStyle="1" w:styleId="BodyText2Char">
    <w:name w:val="Body Text 2 Char"/>
    <w:basedOn w:val="DefaultParagraphFont"/>
    <w:link w:val="BodyText2"/>
    <w:semiHidden/>
    <w:rsid w:val="00CE77FB"/>
    <w:rPr>
      <w:sz w:val="24"/>
      <w:szCs w:val="24"/>
    </w:rPr>
  </w:style>
  <w:style w:type="table" w:customStyle="1" w:styleId="TableGrid1">
    <w:name w:val="Table Grid1"/>
    <w:basedOn w:val="TableNormal"/>
    <w:next w:val="TableGrid"/>
    <w:uiPriority w:val="59"/>
    <w:rsid w:val="00212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75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fESBullets">
    <w:name w:val="DfESBullets"/>
    <w:basedOn w:val="Normal"/>
    <w:rsid w:val="000C3D73"/>
    <w:pPr>
      <w:widowControl w:val="0"/>
      <w:numPr>
        <w:numId w:val="19"/>
      </w:numPr>
      <w:overflowPunct w:val="0"/>
      <w:autoSpaceDE w:val="0"/>
      <w:autoSpaceDN w:val="0"/>
      <w:adjustRightInd w:val="0"/>
      <w:spacing w:line="240" w:lineRule="auto"/>
      <w:textAlignment w:val="baseline"/>
    </w:pPr>
    <w:rPr>
      <w:rFonts w:cs="Arial"/>
      <w:szCs w:val="20"/>
      <w:lang w:eastAsia="en-US"/>
    </w:rPr>
  </w:style>
  <w:style w:type="character" w:customStyle="1" w:styleId="ListParagraphChar">
    <w:name w:val="List Paragraph Char"/>
    <w:basedOn w:val="DefaultParagraphFont"/>
    <w:link w:val="ListParagraph"/>
    <w:uiPriority w:val="34"/>
    <w:locked/>
    <w:rsid w:val="000C3D73"/>
    <w:rPr>
      <w:sz w:val="24"/>
      <w:szCs w:val="24"/>
    </w:rPr>
  </w:style>
  <w:style w:type="paragraph" w:customStyle="1" w:styleId="DeptBullets">
    <w:name w:val="DeptBullets"/>
    <w:basedOn w:val="Normal"/>
    <w:link w:val="DeptBulletsChar"/>
    <w:rsid w:val="0028077E"/>
    <w:pPr>
      <w:widowControl w:val="0"/>
      <w:numPr>
        <w:numId w:val="45"/>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fESOutNumbered1Char"/>
    <w:link w:val="DeptBullets"/>
    <w:rsid w:val="0028077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8725">
      <w:bodyDiv w:val="1"/>
      <w:marLeft w:val="0"/>
      <w:marRight w:val="0"/>
      <w:marTop w:val="0"/>
      <w:marBottom w:val="0"/>
      <w:divBdr>
        <w:top w:val="none" w:sz="0" w:space="0" w:color="auto"/>
        <w:left w:val="none" w:sz="0" w:space="0" w:color="auto"/>
        <w:bottom w:val="none" w:sz="0" w:space="0" w:color="auto"/>
        <w:right w:val="none" w:sz="0" w:space="0" w:color="auto"/>
      </w:divBdr>
    </w:div>
    <w:div w:id="57673273">
      <w:bodyDiv w:val="1"/>
      <w:marLeft w:val="0"/>
      <w:marRight w:val="0"/>
      <w:marTop w:val="0"/>
      <w:marBottom w:val="0"/>
      <w:divBdr>
        <w:top w:val="none" w:sz="0" w:space="0" w:color="auto"/>
        <w:left w:val="none" w:sz="0" w:space="0" w:color="auto"/>
        <w:bottom w:val="none" w:sz="0" w:space="0" w:color="auto"/>
        <w:right w:val="none" w:sz="0" w:space="0" w:color="auto"/>
      </w:divBdr>
    </w:div>
    <w:div w:id="104078205">
      <w:bodyDiv w:val="1"/>
      <w:marLeft w:val="0"/>
      <w:marRight w:val="0"/>
      <w:marTop w:val="0"/>
      <w:marBottom w:val="0"/>
      <w:divBdr>
        <w:top w:val="none" w:sz="0" w:space="0" w:color="auto"/>
        <w:left w:val="none" w:sz="0" w:space="0" w:color="auto"/>
        <w:bottom w:val="none" w:sz="0" w:space="0" w:color="auto"/>
        <w:right w:val="none" w:sz="0" w:space="0" w:color="auto"/>
      </w:divBdr>
    </w:div>
    <w:div w:id="108280983">
      <w:bodyDiv w:val="1"/>
      <w:marLeft w:val="0"/>
      <w:marRight w:val="0"/>
      <w:marTop w:val="0"/>
      <w:marBottom w:val="0"/>
      <w:divBdr>
        <w:top w:val="none" w:sz="0" w:space="0" w:color="auto"/>
        <w:left w:val="none" w:sz="0" w:space="0" w:color="auto"/>
        <w:bottom w:val="none" w:sz="0" w:space="0" w:color="auto"/>
        <w:right w:val="none" w:sz="0" w:space="0" w:color="auto"/>
      </w:divBdr>
    </w:div>
    <w:div w:id="111749368">
      <w:bodyDiv w:val="1"/>
      <w:marLeft w:val="0"/>
      <w:marRight w:val="0"/>
      <w:marTop w:val="0"/>
      <w:marBottom w:val="0"/>
      <w:divBdr>
        <w:top w:val="none" w:sz="0" w:space="0" w:color="auto"/>
        <w:left w:val="none" w:sz="0" w:space="0" w:color="auto"/>
        <w:bottom w:val="none" w:sz="0" w:space="0" w:color="auto"/>
        <w:right w:val="none" w:sz="0" w:space="0" w:color="auto"/>
      </w:divBdr>
    </w:div>
    <w:div w:id="123231896">
      <w:bodyDiv w:val="1"/>
      <w:marLeft w:val="0"/>
      <w:marRight w:val="0"/>
      <w:marTop w:val="0"/>
      <w:marBottom w:val="0"/>
      <w:divBdr>
        <w:top w:val="none" w:sz="0" w:space="0" w:color="auto"/>
        <w:left w:val="none" w:sz="0" w:space="0" w:color="auto"/>
        <w:bottom w:val="none" w:sz="0" w:space="0" w:color="auto"/>
        <w:right w:val="none" w:sz="0" w:space="0" w:color="auto"/>
      </w:divBdr>
    </w:div>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168184549">
      <w:bodyDiv w:val="1"/>
      <w:marLeft w:val="0"/>
      <w:marRight w:val="0"/>
      <w:marTop w:val="0"/>
      <w:marBottom w:val="0"/>
      <w:divBdr>
        <w:top w:val="none" w:sz="0" w:space="0" w:color="auto"/>
        <w:left w:val="none" w:sz="0" w:space="0" w:color="auto"/>
        <w:bottom w:val="none" w:sz="0" w:space="0" w:color="auto"/>
        <w:right w:val="none" w:sz="0" w:space="0" w:color="auto"/>
      </w:divBdr>
    </w:div>
    <w:div w:id="229191074">
      <w:bodyDiv w:val="1"/>
      <w:marLeft w:val="0"/>
      <w:marRight w:val="0"/>
      <w:marTop w:val="0"/>
      <w:marBottom w:val="0"/>
      <w:divBdr>
        <w:top w:val="none" w:sz="0" w:space="0" w:color="auto"/>
        <w:left w:val="none" w:sz="0" w:space="0" w:color="auto"/>
        <w:bottom w:val="none" w:sz="0" w:space="0" w:color="auto"/>
        <w:right w:val="none" w:sz="0" w:space="0" w:color="auto"/>
      </w:divBdr>
    </w:div>
    <w:div w:id="230847643">
      <w:bodyDiv w:val="1"/>
      <w:marLeft w:val="0"/>
      <w:marRight w:val="0"/>
      <w:marTop w:val="0"/>
      <w:marBottom w:val="0"/>
      <w:divBdr>
        <w:top w:val="none" w:sz="0" w:space="0" w:color="auto"/>
        <w:left w:val="none" w:sz="0" w:space="0" w:color="auto"/>
        <w:bottom w:val="none" w:sz="0" w:space="0" w:color="auto"/>
        <w:right w:val="none" w:sz="0" w:space="0" w:color="auto"/>
      </w:divBdr>
    </w:div>
    <w:div w:id="245116566">
      <w:bodyDiv w:val="1"/>
      <w:marLeft w:val="0"/>
      <w:marRight w:val="0"/>
      <w:marTop w:val="0"/>
      <w:marBottom w:val="0"/>
      <w:divBdr>
        <w:top w:val="none" w:sz="0" w:space="0" w:color="auto"/>
        <w:left w:val="none" w:sz="0" w:space="0" w:color="auto"/>
        <w:bottom w:val="none" w:sz="0" w:space="0" w:color="auto"/>
        <w:right w:val="none" w:sz="0" w:space="0" w:color="auto"/>
      </w:divBdr>
    </w:div>
    <w:div w:id="283312742">
      <w:bodyDiv w:val="1"/>
      <w:marLeft w:val="0"/>
      <w:marRight w:val="0"/>
      <w:marTop w:val="0"/>
      <w:marBottom w:val="0"/>
      <w:divBdr>
        <w:top w:val="none" w:sz="0" w:space="0" w:color="auto"/>
        <w:left w:val="none" w:sz="0" w:space="0" w:color="auto"/>
        <w:bottom w:val="none" w:sz="0" w:space="0" w:color="auto"/>
        <w:right w:val="none" w:sz="0" w:space="0" w:color="auto"/>
      </w:divBdr>
    </w:div>
    <w:div w:id="291054806">
      <w:bodyDiv w:val="1"/>
      <w:marLeft w:val="0"/>
      <w:marRight w:val="0"/>
      <w:marTop w:val="0"/>
      <w:marBottom w:val="0"/>
      <w:divBdr>
        <w:top w:val="none" w:sz="0" w:space="0" w:color="auto"/>
        <w:left w:val="none" w:sz="0" w:space="0" w:color="auto"/>
        <w:bottom w:val="none" w:sz="0" w:space="0" w:color="auto"/>
        <w:right w:val="none" w:sz="0" w:space="0" w:color="auto"/>
      </w:divBdr>
    </w:div>
    <w:div w:id="357201383">
      <w:bodyDiv w:val="1"/>
      <w:marLeft w:val="0"/>
      <w:marRight w:val="0"/>
      <w:marTop w:val="0"/>
      <w:marBottom w:val="0"/>
      <w:divBdr>
        <w:top w:val="none" w:sz="0" w:space="0" w:color="auto"/>
        <w:left w:val="none" w:sz="0" w:space="0" w:color="auto"/>
        <w:bottom w:val="none" w:sz="0" w:space="0" w:color="auto"/>
        <w:right w:val="none" w:sz="0" w:space="0" w:color="auto"/>
      </w:divBdr>
    </w:div>
    <w:div w:id="361903797">
      <w:bodyDiv w:val="1"/>
      <w:marLeft w:val="0"/>
      <w:marRight w:val="0"/>
      <w:marTop w:val="0"/>
      <w:marBottom w:val="0"/>
      <w:divBdr>
        <w:top w:val="none" w:sz="0" w:space="0" w:color="auto"/>
        <w:left w:val="none" w:sz="0" w:space="0" w:color="auto"/>
        <w:bottom w:val="none" w:sz="0" w:space="0" w:color="auto"/>
        <w:right w:val="none" w:sz="0" w:space="0" w:color="auto"/>
      </w:divBdr>
    </w:div>
    <w:div w:id="380371419">
      <w:bodyDiv w:val="1"/>
      <w:marLeft w:val="0"/>
      <w:marRight w:val="0"/>
      <w:marTop w:val="0"/>
      <w:marBottom w:val="0"/>
      <w:divBdr>
        <w:top w:val="none" w:sz="0" w:space="0" w:color="auto"/>
        <w:left w:val="none" w:sz="0" w:space="0" w:color="auto"/>
        <w:bottom w:val="none" w:sz="0" w:space="0" w:color="auto"/>
        <w:right w:val="none" w:sz="0" w:space="0" w:color="auto"/>
      </w:divBdr>
    </w:div>
    <w:div w:id="407843420">
      <w:bodyDiv w:val="1"/>
      <w:marLeft w:val="0"/>
      <w:marRight w:val="0"/>
      <w:marTop w:val="0"/>
      <w:marBottom w:val="0"/>
      <w:divBdr>
        <w:top w:val="none" w:sz="0" w:space="0" w:color="auto"/>
        <w:left w:val="none" w:sz="0" w:space="0" w:color="auto"/>
        <w:bottom w:val="none" w:sz="0" w:space="0" w:color="auto"/>
        <w:right w:val="none" w:sz="0" w:space="0" w:color="auto"/>
      </w:divBdr>
    </w:div>
    <w:div w:id="437677753">
      <w:bodyDiv w:val="1"/>
      <w:marLeft w:val="0"/>
      <w:marRight w:val="0"/>
      <w:marTop w:val="0"/>
      <w:marBottom w:val="0"/>
      <w:divBdr>
        <w:top w:val="none" w:sz="0" w:space="0" w:color="auto"/>
        <w:left w:val="none" w:sz="0" w:space="0" w:color="auto"/>
        <w:bottom w:val="none" w:sz="0" w:space="0" w:color="auto"/>
        <w:right w:val="none" w:sz="0" w:space="0" w:color="auto"/>
      </w:divBdr>
    </w:div>
    <w:div w:id="482744716">
      <w:bodyDiv w:val="1"/>
      <w:marLeft w:val="0"/>
      <w:marRight w:val="0"/>
      <w:marTop w:val="0"/>
      <w:marBottom w:val="0"/>
      <w:divBdr>
        <w:top w:val="none" w:sz="0" w:space="0" w:color="auto"/>
        <w:left w:val="none" w:sz="0" w:space="0" w:color="auto"/>
        <w:bottom w:val="none" w:sz="0" w:space="0" w:color="auto"/>
        <w:right w:val="none" w:sz="0" w:space="0" w:color="auto"/>
      </w:divBdr>
    </w:div>
    <w:div w:id="484980290">
      <w:bodyDiv w:val="1"/>
      <w:marLeft w:val="0"/>
      <w:marRight w:val="0"/>
      <w:marTop w:val="0"/>
      <w:marBottom w:val="0"/>
      <w:divBdr>
        <w:top w:val="none" w:sz="0" w:space="0" w:color="auto"/>
        <w:left w:val="none" w:sz="0" w:space="0" w:color="auto"/>
        <w:bottom w:val="none" w:sz="0" w:space="0" w:color="auto"/>
        <w:right w:val="none" w:sz="0" w:space="0" w:color="auto"/>
      </w:divBdr>
    </w:div>
    <w:div w:id="486559758">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37551690">
      <w:bodyDiv w:val="1"/>
      <w:marLeft w:val="0"/>
      <w:marRight w:val="0"/>
      <w:marTop w:val="0"/>
      <w:marBottom w:val="0"/>
      <w:divBdr>
        <w:top w:val="none" w:sz="0" w:space="0" w:color="auto"/>
        <w:left w:val="none" w:sz="0" w:space="0" w:color="auto"/>
        <w:bottom w:val="none" w:sz="0" w:space="0" w:color="auto"/>
        <w:right w:val="none" w:sz="0" w:space="0" w:color="auto"/>
      </w:divBdr>
    </w:div>
    <w:div w:id="546375736">
      <w:bodyDiv w:val="1"/>
      <w:marLeft w:val="0"/>
      <w:marRight w:val="0"/>
      <w:marTop w:val="0"/>
      <w:marBottom w:val="0"/>
      <w:divBdr>
        <w:top w:val="none" w:sz="0" w:space="0" w:color="auto"/>
        <w:left w:val="none" w:sz="0" w:space="0" w:color="auto"/>
        <w:bottom w:val="none" w:sz="0" w:space="0" w:color="auto"/>
        <w:right w:val="none" w:sz="0" w:space="0" w:color="auto"/>
      </w:divBdr>
    </w:div>
    <w:div w:id="550195705">
      <w:bodyDiv w:val="1"/>
      <w:marLeft w:val="0"/>
      <w:marRight w:val="0"/>
      <w:marTop w:val="0"/>
      <w:marBottom w:val="0"/>
      <w:divBdr>
        <w:top w:val="none" w:sz="0" w:space="0" w:color="auto"/>
        <w:left w:val="none" w:sz="0" w:space="0" w:color="auto"/>
        <w:bottom w:val="none" w:sz="0" w:space="0" w:color="auto"/>
        <w:right w:val="none" w:sz="0" w:space="0" w:color="auto"/>
      </w:divBdr>
    </w:div>
    <w:div w:id="565069817">
      <w:bodyDiv w:val="1"/>
      <w:marLeft w:val="0"/>
      <w:marRight w:val="0"/>
      <w:marTop w:val="0"/>
      <w:marBottom w:val="0"/>
      <w:divBdr>
        <w:top w:val="none" w:sz="0" w:space="0" w:color="auto"/>
        <w:left w:val="none" w:sz="0" w:space="0" w:color="auto"/>
        <w:bottom w:val="none" w:sz="0" w:space="0" w:color="auto"/>
        <w:right w:val="none" w:sz="0" w:space="0" w:color="auto"/>
      </w:divBdr>
    </w:div>
    <w:div w:id="619142300">
      <w:bodyDiv w:val="1"/>
      <w:marLeft w:val="0"/>
      <w:marRight w:val="0"/>
      <w:marTop w:val="0"/>
      <w:marBottom w:val="0"/>
      <w:divBdr>
        <w:top w:val="none" w:sz="0" w:space="0" w:color="auto"/>
        <w:left w:val="none" w:sz="0" w:space="0" w:color="auto"/>
        <w:bottom w:val="none" w:sz="0" w:space="0" w:color="auto"/>
        <w:right w:val="none" w:sz="0" w:space="0" w:color="auto"/>
      </w:divBdr>
    </w:div>
    <w:div w:id="629477982">
      <w:bodyDiv w:val="1"/>
      <w:marLeft w:val="0"/>
      <w:marRight w:val="0"/>
      <w:marTop w:val="0"/>
      <w:marBottom w:val="0"/>
      <w:divBdr>
        <w:top w:val="none" w:sz="0" w:space="0" w:color="auto"/>
        <w:left w:val="none" w:sz="0" w:space="0" w:color="auto"/>
        <w:bottom w:val="none" w:sz="0" w:space="0" w:color="auto"/>
        <w:right w:val="none" w:sz="0" w:space="0" w:color="auto"/>
      </w:divBdr>
    </w:div>
    <w:div w:id="667752769">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53093481">
      <w:bodyDiv w:val="1"/>
      <w:marLeft w:val="0"/>
      <w:marRight w:val="0"/>
      <w:marTop w:val="0"/>
      <w:marBottom w:val="0"/>
      <w:divBdr>
        <w:top w:val="none" w:sz="0" w:space="0" w:color="auto"/>
        <w:left w:val="none" w:sz="0" w:space="0" w:color="auto"/>
        <w:bottom w:val="none" w:sz="0" w:space="0" w:color="auto"/>
        <w:right w:val="none" w:sz="0" w:space="0" w:color="auto"/>
      </w:divBdr>
    </w:div>
    <w:div w:id="787505882">
      <w:bodyDiv w:val="1"/>
      <w:marLeft w:val="0"/>
      <w:marRight w:val="0"/>
      <w:marTop w:val="0"/>
      <w:marBottom w:val="0"/>
      <w:divBdr>
        <w:top w:val="none" w:sz="0" w:space="0" w:color="auto"/>
        <w:left w:val="none" w:sz="0" w:space="0" w:color="auto"/>
        <w:bottom w:val="none" w:sz="0" w:space="0" w:color="auto"/>
        <w:right w:val="none" w:sz="0" w:space="0" w:color="auto"/>
      </w:divBdr>
    </w:div>
    <w:div w:id="815533790">
      <w:bodyDiv w:val="1"/>
      <w:marLeft w:val="0"/>
      <w:marRight w:val="0"/>
      <w:marTop w:val="0"/>
      <w:marBottom w:val="0"/>
      <w:divBdr>
        <w:top w:val="none" w:sz="0" w:space="0" w:color="auto"/>
        <w:left w:val="none" w:sz="0" w:space="0" w:color="auto"/>
        <w:bottom w:val="none" w:sz="0" w:space="0" w:color="auto"/>
        <w:right w:val="none" w:sz="0" w:space="0" w:color="auto"/>
      </w:divBdr>
    </w:div>
    <w:div w:id="826214739">
      <w:bodyDiv w:val="1"/>
      <w:marLeft w:val="0"/>
      <w:marRight w:val="0"/>
      <w:marTop w:val="0"/>
      <w:marBottom w:val="0"/>
      <w:divBdr>
        <w:top w:val="none" w:sz="0" w:space="0" w:color="auto"/>
        <w:left w:val="none" w:sz="0" w:space="0" w:color="auto"/>
        <w:bottom w:val="none" w:sz="0" w:space="0" w:color="auto"/>
        <w:right w:val="none" w:sz="0" w:space="0" w:color="auto"/>
      </w:divBdr>
    </w:div>
    <w:div w:id="858588510">
      <w:bodyDiv w:val="1"/>
      <w:marLeft w:val="0"/>
      <w:marRight w:val="0"/>
      <w:marTop w:val="0"/>
      <w:marBottom w:val="0"/>
      <w:divBdr>
        <w:top w:val="none" w:sz="0" w:space="0" w:color="auto"/>
        <w:left w:val="none" w:sz="0" w:space="0" w:color="auto"/>
        <w:bottom w:val="none" w:sz="0" w:space="0" w:color="auto"/>
        <w:right w:val="none" w:sz="0" w:space="0" w:color="auto"/>
      </w:divBdr>
    </w:div>
    <w:div w:id="861742676">
      <w:bodyDiv w:val="1"/>
      <w:marLeft w:val="0"/>
      <w:marRight w:val="0"/>
      <w:marTop w:val="0"/>
      <w:marBottom w:val="0"/>
      <w:divBdr>
        <w:top w:val="none" w:sz="0" w:space="0" w:color="auto"/>
        <w:left w:val="none" w:sz="0" w:space="0" w:color="auto"/>
        <w:bottom w:val="none" w:sz="0" w:space="0" w:color="auto"/>
        <w:right w:val="none" w:sz="0" w:space="0" w:color="auto"/>
      </w:divBdr>
    </w:div>
    <w:div w:id="964045249">
      <w:bodyDiv w:val="1"/>
      <w:marLeft w:val="0"/>
      <w:marRight w:val="0"/>
      <w:marTop w:val="0"/>
      <w:marBottom w:val="0"/>
      <w:divBdr>
        <w:top w:val="none" w:sz="0" w:space="0" w:color="auto"/>
        <w:left w:val="none" w:sz="0" w:space="0" w:color="auto"/>
        <w:bottom w:val="none" w:sz="0" w:space="0" w:color="auto"/>
        <w:right w:val="none" w:sz="0" w:space="0" w:color="auto"/>
      </w:divBdr>
    </w:div>
    <w:div w:id="975111784">
      <w:bodyDiv w:val="1"/>
      <w:marLeft w:val="0"/>
      <w:marRight w:val="0"/>
      <w:marTop w:val="0"/>
      <w:marBottom w:val="0"/>
      <w:divBdr>
        <w:top w:val="none" w:sz="0" w:space="0" w:color="auto"/>
        <w:left w:val="none" w:sz="0" w:space="0" w:color="auto"/>
        <w:bottom w:val="none" w:sz="0" w:space="0" w:color="auto"/>
        <w:right w:val="none" w:sz="0" w:space="0" w:color="auto"/>
      </w:divBdr>
    </w:div>
    <w:div w:id="985936474">
      <w:bodyDiv w:val="1"/>
      <w:marLeft w:val="0"/>
      <w:marRight w:val="0"/>
      <w:marTop w:val="0"/>
      <w:marBottom w:val="0"/>
      <w:divBdr>
        <w:top w:val="none" w:sz="0" w:space="0" w:color="auto"/>
        <w:left w:val="none" w:sz="0" w:space="0" w:color="auto"/>
        <w:bottom w:val="none" w:sz="0" w:space="0" w:color="auto"/>
        <w:right w:val="none" w:sz="0" w:space="0" w:color="auto"/>
      </w:divBdr>
    </w:div>
    <w:div w:id="1029063410">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046025133">
      <w:bodyDiv w:val="1"/>
      <w:marLeft w:val="0"/>
      <w:marRight w:val="0"/>
      <w:marTop w:val="0"/>
      <w:marBottom w:val="0"/>
      <w:divBdr>
        <w:top w:val="none" w:sz="0" w:space="0" w:color="auto"/>
        <w:left w:val="none" w:sz="0" w:space="0" w:color="auto"/>
        <w:bottom w:val="none" w:sz="0" w:space="0" w:color="auto"/>
        <w:right w:val="none" w:sz="0" w:space="0" w:color="auto"/>
      </w:divBdr>
    </w:div>
    <w:div w:id="1101293538">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5976491">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52258905">
      <w:bodyDiv w:val="1"/>
      <w:marLeft w:val="0"/>
      <w:marRight w:val="0"/>
      <w:marTop w:val="0"/>
      <w:marBottom w:val="0"/>
      <w:divBdr>
        <w:top w:val="none" w:sz="0" w:space="0" w:color="auto"/>
        <w:left w:val="none" w:sz="0" w:space="0" w:color="auto"/>
        <w:bottom w:val="none" w:sz="0" w:space="0" w:color="auto"/>
        <w:right w:val="none" w:sz="0" w:space="0" w:color="auto"/>
      </w:divBdr>
    </w:div>
    <w:div w:id="1208446519">
      <w:bodyDiv w:val="1"/>
      <w:marLeft w:val="0"/>
      <w:marRight w:val="0"/>
      <w:marTop w:val="0"/>
      <w:marBottom w:val="0"/>
      <w:divBdr>
        <w:top w:val="none" w:sz="0" w:space="0" w:color="auto"/>
        <w:left w:val="none" w:sz="0" w:space="0" w:color="auto"/>
        <w:bottom w:val="none" w:sz="0" w:space="0" w:color="auto"/>
        <w:right w:val="none" w:sz="0" w:space="0" w:color="auto"/>
      </w:divBdr>
    </w:div>
    <w:div w:id="121766356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256205098">
      <w:bodyDiv w:val="1"/>
      <w:marLeft w:val="0"/>
      <w:marRight w:val="0"/>
      <w:marTop w:val="0"/>
      <w:marBottom w:val="0"/>
      <w:divBdr>
        <w:top w:val="none" w:sz="0" w:space="0" w:color="auto"/>
        <w:left w:val="none" w:sz="0" w:space="0" w:color="auto"/>
        <w:bottom w:val="none" w:sz="0" w:space="0" w:color="auto"/>
        <w:right w:val="none" w:sz="0" w:space="0" w:color="auto"/>
      </w:divBdr>
    </w:div>
    <w:div w:id="1261569181">
      <w:bodyDiv w:val="1"/>
      <w:marLeft w:val="0"/>
      <w:marRight w:val="0"/>
      <w:marTop w:val="0"/>
      <w:marBottom w:val="0"/>
      <w:divBdr>
        <w:top w:val="none" w:sz="0" w:space="0" w:color="auto"/>
        <w:left w:val="none" w:sz="0" w:space="0" w:color="auto"/>
        <w:bottom w:val="none" w:sz="0" w:space="0" w:color="auto"/>
        <w:right w:val="none" w:sz="0" w:space="0" w:color="auto"/>
      </w:divBdr>
    </w:div>
    <w:div w:id="1262254065">
      <w:bodyDiv w:val="1"/>
      <w:marLeft w:val="0"/>
      <w:marRight w:val="0"/>
      <w:marTop w:val="0"/>
      <w:marBottom w:val="0"/>
      <w:divBdr>
        <w:top w:val="none" w:sz="0" w:space="0" w:color="auto"/>
        <w:left w:val="none" w:sz="0" w:space="0" w:color="auto"/>
        <w:bottom w:val="none" w:sz="0" w:space="0" w:color="auto"/>
        <w:right w:val="none" w:sz="0" w:space="0" w:color="auto"/>
      </w:divBdr>
    </w:div>
    <w:div w:id="1269389916">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19729773">
      <w:bodyDiv w:val="1"/>
      <w:marLeft w:val="0"/>
      <w:marRight w:val="0"/>
      <w:marTop w:val="0"/>
      <w:marBottom w:val="0"/>
      <w:divBdr>
        <w:top w:val="none" w:sz="0" w:space="0" w:color="auto"/>
        <w:left w:val="none" w:sz="0" w:space="0" w:color="auto"/>
        <w:bottom w:val="none" w:sz="0" w:space="0" w:color="auto"/>
        <w:right w:val="none" w:sz="0" w:space="0" w:color="auto"/>
      </w:divBdr>
    </w:div>
    <w:div w:id="1327517400">
      <w:bodyDiv w:val="1"/>
      <w:marLeft w:val="0"/>
      <w:marRight w:val="0"/>
      <w:marTop w:val="0"/>
      <w:marBottom w:val="0"/>
      <w:divBdr>
        <w:top w:val="none" w:sz="0" w:space="0" w:color="auto"/>
        <w:left w:val="none" w:sz="0" w:space="0" w:color="auto"/>
        <w:bottom w:val="none" w:sz="0" w:space="0" w:color="auto"/>
        <w:right w:val="none" w:sz="0" w:space="0" w:color="auto"/>
      </w:divBdr>
    </w:div>
    <w:div w:id="1348557706">
      <w:bodyDiv w:val="1"/>
      <w:marLeft w:val="0"/>
      <w:marRight w:val="0"/>
      <w:marTop w:val="0"/>
      <w:marBottom w:val="0"/>
      <w:divBdr>
        <w:top w:val="none" w:sz="0" w:space="0" w:color="auto"/>
        <w:left w:val="none" w:sz="0" w:space="0" w:color="auto"/>
        <w:bottom w:val="none" w:sz="0" w:space="0" w:color="auto"/>
        <w:right w:val="none" w:sz="0" w:space="0" w:color="auto"/>
      </w:divBdr>
    </w:div>
    <w:div w:id="1364554680">
      <w:bodyDiv w:val="1"/>
      <w:marLeft w:val="0"/>
      <w:marRight w:val="0"/>
      <w:marTop w:val="0"/>
      <w:marBottom w:val="0"/>
      <w:divBdr>
        <w:top w:val="none" w:sz="0" w:space="0" w:color="auto"/>
        <w:left w:val="none" w:sz="0" w:space="0" w:color="auto"/>
        <w:bottom w:val="none" w:sz="0" w:space="0" w:color="auto"/>
        <w:right w:val="none" w:sz="0" w:space="0" w:color="auto"/>
      </w:divBdr>
    </w:div>
    <w:div w:id="1377043027">
      <w:bodyDiv w:val="1"/>
      <w:marLeft w:val="0"/>
      <w:marRight w:val="0"/>
      <w:marTop w:val="0"/>
      <w:marBottom w:val="0"/>
      <w:divBdr>
        <w:top w:val="none" w:sz="0" w:space="0" w:color="auto"/>
        <w:left w:val="none" w:sz="0" w:space="0" w:color="auto"/>
        <w:bottom w:val="none" w:sz="0" w:space="0" w:color="auto"/>
        <w:right w:val="none" w:sz="0" w:space="0" w:color="auto"/>
      </w:divBdr>
    </w:div>
    <w:div w:id="1384214182">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392264868">
      <w:bodyDiv w:val="1"/>
      <w:marLeft w:val="0"/>
      <w:marRight w:val="0"/>
      <w:marTop w:val="0"/>
      <w:marBottom w:val="0"/>
      <w:divBdr>
        <w:top w:val="none" w:sz="0" w:space="0" w:color="auto"/>
        <w:left w:val="none" w:sz="0" w:space="0" w:color="auto"/>
        <w:bottom w:val="none" w:sz="0" w:space="0" w:color="auto"/>
        <w:right w:val="none" w:sz="0" w:space="0" w:color="auto"/>
      </w:divBdr>
    </w:div>
    <w:div w:id="1400909445">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18691056">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564100762">
      <w:bodyDiv w:val="1"/>
      <w:marLeft w:val="0"/>
      <w:marRight w:val="0"/>
      <w:marTop w:val="0"/>
      <w:marBottom w:val="0"/>
      <w:divBdr>
        <w:top w:val="none" w:sz="0" w:space="0" w:color="auto"/>
        <w:left w:val="none" w:sz="0" w:space="0" w:color="auto"/>
        <w:bottom w:val="none" w:sz="0" w:space="0" w:color="auto"/>
        <w:right w:val="none" w:sz="0" w:space="0" w:color="auto"/>
      </w:divBdr>
    </w:div>
    <w:div w:id="1623654501">
      <w:bodyDiv w:val="1"/>
      <w:marLeft w:val="0"/>
      <w:marRight w:val="0"/>
      <w:marTop w:val="0"/>
      <w:marBottom w:val="0"/>
      <w:divBdr>
        <w:top w:val="none" w:sz="0" w:space="0" w:color="auto"/>
        <w:left w:val="none" w:sz="0" w:space="0" w:color="auto"/>
        <w:bottom w:val="none" w:sz="0" w:space="0" w:color="auto"/>
        <w:right w:val="none" w:sz="0" w:space="0" w:color="auto"/>
      </w:divBdr>
    </w:div>
    <w:div w:id="1625692871">
      <w:bodyDiv w:val="1"/>
      <w:marLeft w:val="0"/>
      <w:marRight w:val="0"/>
      <w:marTop w:val="0"/>
      <w:marBottom w:val="0"/>
      <w:divBdr>
        <w:top w:val="none" w:sz="0" w:space="0" w:color="auto"/>
        <w:left w:val="none" w:sz="0" w:space="0" w:color="auto"/>
        <w:bottom w:val="none" w:sz="0" w:space="0" w:color="auto"/>
        <w:right w:val="none" w:sz="0" w:space="0" w:color="auto"/>
      </w:divBdr>
    </w:div>
    <w:div w:id="1669289348">
      <w:bodyDiv w:val="1"/>
      <w:marLeft w:val="0"/>
      <w:marRight w:val="0"/>
      <w:marTop w:val="0"/>
      <w:marBottom w:val="0"/>
      <w:divBdr>
        <w:top w:val="none" w:sz="0" w:space="0" w:color="auto"/>
        <w:left w:val="none" w:sz="0" w:space="0" w:color="auto"/>
        <w:bottom w:val="none" w:sz="0" w:space="0" w:color="auto"/>
        <w:right w:val="none" w:sz="0" w:space="0" w:color="auto"/>
      </w:divBdr>
    </w:div>
    <w:div w:id="1678729685">
      <w:bodyDiv w:val="1"/>
      <w:marLeft w:val="0"/>
      <w:marRight w:val="0"/>
      <w:marTop w:val="0"/>
      <w:marBottom w:val="0"/>
      <w:divBdr>
        <w:top w:val="none" w:sz="0" w:space="0" w:color="auto"/>
        <w:left w:val="none" w:sz="0" w:space="0" w:color="auto"/>
        <w:bottom w:val="none" w:sz="0" w:space="0" w:color="auto"/>
        <w:right w:val="none" w:sz="0" w:space="0" w:color="auto"/>
      </w:divBdr>
    </w:div>
    <w:div w:id="1728259588">
      <w:bodyDiv w:val="1"/>
      <w:marLeft w:val="0"/>
      <w:marRight w:val="0"/>
      <w:marTop w:val="0"/>
      <w:marBottom w:val="0"/>
      <w:divBdr>
        <w:top w:val="none" w:sz="0" w:space="0" w:color="auto"/>
        <w:left w:val="none" w:sz="0" w:space="0" w:color="auto"/>
        <w:bottom w:val="none" w:sz="0" w:space="0" w:color="auto"/>
        <w:right w:val="none" w:sz="0" w:space="0" w:color="auto"/>
      </w:divBdr>
    </w:div>
    <w:div w:id="1764496817">
      <w:bodyDiv w:val="1"/>
      <w:marLeft w:val="0"/>
      <w:marRight w:val="0"/>
      <w:marTop w:val="0"/>
      <w:marBottom w:val="0"/>
      <w:divBdr>
        <w:top w:val="none" w:sz="0" w:space="0" w:color="auto"/>
        <w:left w:val="none" w:sz="0" w:space="0" w:color="auto"/>
        <w:bottom w:val="none" w:sz="0" w:space="0" w:color="auto"/>
        <w:right w:val="none" w:sz="0" w:space="0" w:color="auto"/>
      </w:divBdr>
    </w:div>
    <w:div w:id="1779107379">
      <w:bodyDiv w:val="1"/>
      <w:marLeft w:val="0"/>
      <w:marRight w:val="0"/>
      <w:marTop w:val="0"/>
      <w:marBottom w:val="0"/>
      <w:divBdr>
        <w:top w:val="none" w:sz="0" w:space="0" w:color="auto"/>
        <w:left w:val="none" w:sz="0" w:space="0" w:color="auto"/>
        <w:bottom w:val="none" w:sz="0" w:space="0" w:color="auto"/>
        <w:right w:val="none" w:sz="0" w:space="0" w:color="auto"/>
      </w:divBdr>
    </w:div>
    <w:div w:id="1780635961">
      <w:bodyDiv w:val="1"/>
      <w:marLeft w:val="0"/>
      <w:marRight w:val="0"/>
      <w:marTop w:val="0"/>
      <w:marBottom w:val="0"/>
      <w:divBdr>
        <w:top w:val="none" w:sz="0" w:space="0" w:color="auto"/>
        <w:left w:val="none" w:sz="0" w:space="0" w:color="auto"/>
        <w:bottom w:val="none" w:sz="0" w:space="0" w:color="auto"/>
        <w:right w:val="none" w:sz="0" w:space="0" w:color="auto"/>
      </w:divBdr>
    </w:div>
    <w:div w:id="1802454190">
      <w:bodyDiv w:val="1"/>
      <w:marLeft w:val="0"/>
      <w:marRight w:val="0"/>
      <w:marTop w:val="0"/>
      <w:marBottom w:val="0"/>
      <w:divBdr>
        <w:top w:val="none" w:sz="0" w:space="0" w:color="auto"/>
        <w:left w:val="none" w:sz="0" w:space="0" w:color="auto"/>
        <w:bottom w:val="none" w:sz="0" w:space="0" w:color="auto"/>
        <w:right w:val="none" w:sz="0" w:space="0" w:color="auto"/>
      </w:divBdr>
    </w:div>
    <w:div w:id="1820540007">
      <w:bodyDiv w:val="1"/>
      <w:marLeft w:val="0"/>
      <w:marRight w:val="0"/>
      <w:marTop w:val="0"/>
      <w:marBottom w:val="0"/>
      <w:divBdr>
        <w:top w:val="none" w:sz="0" w:space="0" w:color="auto"/>
        <w:left w:val="none" w:sz="0" w:space="0" w:color="auto"/>
        <w:bottom w:val="none" w:sz="0" w:space="0" w:color="auto"/>
        <w:right w:val="none" w:sz="0" w:space="0" w:color="auto"/>
      </w:divBdr>
    </w:div>
    <w:div w:id="1886673368">
      <w:bodyDiv w:val="1"/>
      <w:marLeft w:val="0"/>
      <w:marRight w:val="0"/>
      <w:marTop w:val="0"/>
      <w:marBottom w:val="0"/>
      <w:divBdr>
        <w:top w:val="none" w:sz="0" w:space="0" w:color="auto"/>
        <w:left w:val="none" w:sz="0" w:space="0" w:color="auto"/>
        <w:bottom w:val="none" w:sz="0" w:space="0" w:color="auto"/>
        <w:right w:val="none" w:sz="0" w:space="0" w:color="auto"/>
      </w:divBdr>
    </w:div>
    <w:div w:id="1963993938">
      <w:bodyDiv w:val="1"/>
      <w:marLeft w:val="0"/>
      <w:marRight w:val="0"/>
      <w:marTop w:val="0"/>
      <w:marBottom w:val="0"/>
      <w:divBdr>
        <w:top w:val="none" w:sz="0" w:space="0" w:color="auto"/>
        <w:left w:val="none" w:sz="0" w:space="0" w:color="auto"/>
        <w:bottom w:val="none" w:sz="0" w:space="0" w:color="auto"/>
        <w:right w:val="none" w:sz="0" w:space="0" w:color="auto"/>
      </w:divBdr>
    </w:div>
    <w:div w:id="1996756778">
      <w:bodyDiv w:val="1"/>
      <w:marLeft w:val="0"/>
      <w:marRight w:val="0"/>
      <w:marTop w:val="0"/>
      <w:marBottom w:val="0"/>
      <w:divBdr>
        <w:top w:val="none" w:sz="0" w:space="0" w:color="auto"/>
        <w:left w:val="none" w:sz="0" w:space="0" w:color="auto"/>
        <w:bottom w:val="none" w:sz="0" w:space="0" w:color="auto"/>
        <w:right w:val="none" w:sz="0" w:space="0" w:color="auto"/>
      </w:divBdr>
    </w:div>
    <w:div w:id="2000379234">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11919">
      <w:bodyDiv w:val="1"/>
      <w:marLeft w:val="0"/>
      <w:marRight w:val="0"/>
      <w:marTop w:val="0"/>
      <w:marBottom w:val="0"/>
      <w:divBdr>
        <w:top w:val="none" w:sz="0" w:space="0" w:color="auto"/>
        <w:left w:val="none" w:sz="0" w:space="0" w:color="auto"/>
        <w:bottom w:val="none" w:sz="0" w:space="0" w:color="auto"/>
        <w:right w:val="none" w:sz="0" w:space="0" w:color="auto"/>
      </w:divBdr>
    </w:div>
    <w:div w:id="2129809339">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hyperlink" Target="http://www.facebook.com/educationgovuk"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gov.uk/government/publications/schools-causing-concern--2" TargetMode="External"/><Relationship Id="rId25" Type="http://schemas.openxmlformats.org/officeDocument/2006/relationships/hyperlink" Target="https://www.gov.uk/government/collections/teacher-assessment-key-stage-1-and-key-stage-2" TargetMode="External"/><Relationship Id="rId33"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5.png"/><Relationship Id="rId29" Type="http://schemas.openxmlformats.org/officeDocument/2006/relationships/hyperlink" Target="http://www.education.gov.uk/contactu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9.png"/><Relationship Id="rId32" Type="http://schemas.openxmlformats.org/officeDocument/2006/relationships/hyperlink" Target="http://twitter.com/educationgovuk"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consultations/savings-to-the-education-services-grant-for-2015-to-2016" TargetMode="External"/><Relationship Id="rId23" Type="http://schemas.openxmlformats.org/officeDocument/2006/relationships/image" Target="media/image8.png"/><Relationship Id="rId28" Type="http://schemas.openxmlformats.org/officeDocument/2006/relationships/hyperlink" Target="mailto:psi@nationalarchives.gsi.gov.uk" TargetMode="Externa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4.png"/><Relationship Id="rId31"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7.png"/><Relationship Id="rId27" Type="http://schemas.openxmlformats.org/officeDocument/2006/relationships/hyperlink" Target="http://www.nationalarchives.gov.uk/doc/open-government-licence/version/2" TargetMode="External"/><Relationship Id="rId30" Type="http://schemas.openxmlformats.org/officeDocument/2006/relationships/hyperlink" Target="http://www.gov.uk/government/publications"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20812355" PreviousValue="false"/>
</file>

<file path=customXml/item4.xml><?xml version="1.0" encoding="utf-8"?>
<ct:contentTypeSchema xmlns:ct="http://schemas.microsoft.com/office/2006/metadata/contentType" xmlns:ma="http://schemas.microsoft.com/office/2006/metadata/properties/metaAttributes" ct:_="" ma:_="" ma:contentTypeName="Communications" ma:contentTypeID="0x0101007F645D6FBA204A029FECB8BFC6578C39005279853530254253B886E13194843F8A003AA4A7828D8545A79A9356802081235500C40519612E37724895BDBCA8516A6A22" ma:contentTypeVersion="1" ma:contentTypeDescription="Relates to  internal and external communications and Records retained  for 10 years." ma:contentTypeScope="" ma:versionID="9b8ca4cf6fa2ad3426173c05c590e998">
  <xsd:schema xmlns:xsd="http://www.w3.org/2001/XMLSchema" xmlns:xs="http://www.w3.org/2001/XMLSchema" xmlns:p="http://schemas.microsoft.com/office/2006/metadata/properties" xmlns:ns1="http://schemas.microsoft.com/sharepoint/v3" xmlns:ns2="b8cb3cbd-ce5c-4a72-9da4-9013f91c5903" xmlns:ns3="f2c90b86-267e-4850-b26c-e6f803498f42" targetNamespace="http://schemas.microsoft.com/office/2006/metadata/properties" ma:root="true" ma:fieldsID="7c1bda9dc992973ffb32a542e1474b05" ns1:_="" ns2:_="" ns3:_="">
    <xsd:import namespace="http://schemas.microsoft.com/sharepoint/v3"/>
    <xsd:import namespace="b8cb3cbd-ce5c-4a72-9da4-9013f91c5903"/>
    <xsd:import namespace="f2c90b86-267e-4850-b26c-e6f803498f42"/>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fea45322-adc3-4364-9046-9f1b97146e39}" ma:internalName="TaxCatchAll" ma:showField="CatchAllData" ma:web="f2c90b86-267e-4850-b26c-e6f803498f42">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fea45322-adc3-4364-9046-9f1b97146e39}" ma:internalName="TaxCatchAllLabel" ma:readOnly="true" ma:showField="CatchAllDataLabel" ma:web="f2c90b86-267e-4850-b26c-e6f803498f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c90b86-267e-4850-b26c-e6f803498f42"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Infrastructure and Funding Directorate|d1466afd-0cba-416f-9e94-17a6ba5b78bb"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IWPFunctionTaxHTField0 xmlns="f2c90b86-267e-4850-b26c-e6f803498f42">
      <Terms xmlns="http://schemas.microsoft.com/office/infopath/2007/PartnerControls"/>
    </IWPFunctionTaxHTField0>
    <TaxCatchAll xmlns="b8cb3cbd-ce5c-4a72-9da4-9013f91c5903">
      <Value>3</Value>
      <Value>2</Value>
      <Value>1</Value>
    </TaxCatchAll>
    <IWPRightsProtectiveMarkingTaxHTField0 xmlns="f2c90b86-267e-4850-b26c-e6f803498f4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Contributor xmlns="f2c90b86-267e-4850-b26c-e6f803498f42">
      <UserInfo>
        <DisplayName/>
        <AccountId xsi:nil="true"/>
        <AccountType/>
      </UserInfo>
    </IWPContributor>
    <IWPOrganisationalUnitTaxHTField0 xmlns="f2c90b86-267e-4850-b26c-e6f803498f42">
      <Terms xmlns="http://schemas.microsoft.com/office/infopath/2007/PartnerControls">
        <TermInfo xmlns="http://schemas.microsoft.com/office/infopath/2007/PartnerControls">
          <TermName xmlns="http://schemas.microsoft.com/office/infopath/2007/PartnerControls">Infrastructure and Funding Directorate</TermName>
          <TermId xmlns="http://schemas.microsoft.com/office/infopath/2007/PartnerControls">d1466afd-0cba-416f-9e94-17a6ba5b78bb</TermId>
        </TermInfo>
      </Terms>
    </IWPOrganisationalUnitTaxHTField0>
    <IWPSubjectTaxHTField0 xmlns="f2c90b86-267e-4850-b26c-e6f803498f42">
      <Terms xmlns="http://schemas.microsoft.com/office/infopath/2007/PartnerControls"/>
    </IWPSubjectTaxHTField0>
    <IWPOwnerTaxHTField0 xmlns="f2c90b86-267e-4850-b26c-e6f803498f4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SiteTypeTaxHTField0 xmlns="f2c90b86-267e-4850-b26c-e6f803498f42">
      <Terms xmlns="http://schemas.microsoft.com/office/infopath/2007/PartnerControls"/>
    </IWPSiteTypeTaxHTField0>
    <Comments xmlns="http://schemas.microsoft.com/sharepoint/v3" xsi:nil="true"/>
    <_dlc_DocId xmlns="b8cb3cbd-ce5c-4a72-9da4-9013f91c5903">HTW6Z273V6JM-4-3076</_dlc_DocId>
    <_dlc_DocIdUrl xmlns="b8cb3cbd-ce5c-4a72-9da4-9013f91c5903">
      <Url>http://workplaces/sites/fpu/_layouts/DocIdRedir.aspx?ID=HTW6Z273V6JM-4-3076</Url>
      <Description>HTW6Z273V6JM-4-3076</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802122AF-4315-461C-B2BF-6FA938B8A864}">
  <ds:schemaRefs>
    <ds:schemaRef ds:uri="Microsoft.SharePoint.Taxonomy.ContentTypeSync"/>
  </ds:schemaRefs>
</ds:datastoreItem>
</file>

<file path=customXml/itemProps4.xml><?xml version="1.0" encoding="utf-8"?>
<ds:datastoreItem xmlns:ds="http://schemas.openxmlformats.org/officeDocument/2006/customXml" ds:itemID="{90943E86-742B-49F0-822E-1C9CBE3C9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f2c90b86-267e-4850-b26c-e6f803498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75B929-4BF2-4618-8D15-8383832C8630}">
  <ds:schemaRefs>
    <ds:schemaRef ds:uri="http://schemas.microsoft.com/sharepoint/events"/>
  </ds:schemaRefs>
</ds:datastoreItem>
</file>

<file path=customXml/itemProps6.xml><?xml version="1.0" encoding="utf-8"?>
<ds:datastoreItem xmlns:ds="http://schemas.openxmlformats.org/officeDocument/2006/customXml" ds:itemID="{9DC61D98-D633-4F2B-9F4F-C395DB4702B0}">
  <ds:schemaRefs>
    <ds:schemaRef ds:uri="http://purl.org/dc/elements/1.1/"/>
    <ds:schemaRef ds:uri="http://purl.org/dc/dcmitype/"/>
    <ds:schemaRef ds:uri="http://schemas.openxmlformats.org/package/2006/metadata/core-properties"/>
    <ds:schemaRef ds:uri="http://purl.org/dc/terms/"/>
    <ds:schemaRef ds:uri="http://schemas.microsoft.com/office/2006/documentManagement/types"/>
    <ds:schemaRef ds:uri="f2c90b86-267e-4850-b26c-e6f803498f42"/>
    <ds:schemaRef ds:uri="http://schemas.microsoft.com/office/2006/metadata/properties"/>
    <ds:schemaRef ds:uri="b8cb3cbd-ce5c-4a72-9da4-9013f91c5903"/>
    <ds:schemaRef ds:uri="http://schemas.microsoft.com/office/infopath/2007/PartnerControls"/>
    <ds:schemaRef ds:uri="http://schemas.microsoft.com/sharepoint/v3"/>
    <ds:schemaRef ds:uri="http://www.w3.org/XML/1998/namespace"/>
  </ds:schemaRefs>
</ds:datastoreItem>
</file>

<file path=customXml/itemProps7.xml><?xml version="1.0" encoding="utf-8"?>
<ds:datastoreItem xmlns:ds="http://schemas.openxmlformats.org/officeDocument/2006/customXml" ds:itemID="{4C0A4423-B61B-4E30-B07C-F5AD62D06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A43D3A95.dotm</Template>
  <TotalTime>0</TotalTime>
  <Pages>29</Pages>
  <Words>6247</Words>
  <Characters>35611</Characters>
  <Application>Microsoft Office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41775</CharactersWithSpaces>
  <SharedDoc>false</SharedDoc>
  <HLinks>
    <vt:vector size="210" baseType="variant">
      <vt:variant>
        <vt:i4>524372</vt:i4>
      </vt:variant>
      <vt:variant>
        <vt:i4>195</vt:i4>
      </vt:variant>
      <vt:variant>
        <vt:i4>0</vt:i4>
      </vt:variant>
      <vt:variant>
        <vt:i4>5</vt:i4>
      </vt:variant>
      <vt:variant>
        <vt:lpwstr>http://www.gov.uk/government/publications</vt:lpwstr>
      </vt:variant>
      <vt:variant>
        <vt:lpwstr/>
      </vt:variant>
      <vt:variant>
        <vt:i4>1769552</vt:i4>
      </vt:variant>
      <vt:variant>
        <vt:i4>192</vt:i4>
      </vt:variant>
      <vt:variant>
        <vt:i4>0</vt:i4>
      </vt:variant>
      <vt:variant>
        <vt:i4>5</vt:i4>
      </vt:variant>
      <vt:variant>
        <vt:lpwstr>http://www.education.gov.uk/contactus</vt:lpwstr>
      </vt:variant>
      <vt:variant>
        <vt:lpwstr/>
      </vt:variant>
      <vt:variant>
        <vt:i4>3670022</vt:i4>
      </vt:variant>
      <vt:variant>
        <vt:i4>189</vt:i4>
      </vt:variant>
      <vt:variant>
        <vt:i4>0</vt:i4>
      </vt:variant>
      <vt:variant>
        <vt:i4>5</vt:i4>
      </vt:variant>
      <vt:variant>
        <vt:lpwstr>mailto:psi@nationalarchives.gsi.gov.uk</vt:lpwstr>
      </vt:variant>
      <vt:variant>
        <vt:lpwstr/>
      </vt:variant>
      <vt:variant>
        <vt:i4>5570571</vt:i4>
      </vt:variant>
      <vt:variant>
        <vt:i4>186</vt:i4>
      </vt:variant>
      <vt:variant>
        <vt:i4>0</vt:i4>
      </vt:variant>
      <vt:variant>
        <vt:i4>5</vt:i4>
      </vt:variant>
      <vt:variant>
        <vt:lpwstr>http://www.nationalarchives.gov.uk/doc/open-government-licence/version/2</vt:lpwstr>
      </vt:variant>
      <vt:variant>
        <vt:lpwstr/>
      </vt:variant>
      <vt:variant>
        <vt:i4>1114169</vt:i4>
      </vt:variant>
      <vt:variant>
        <vt:i4>161</vt:i4>
      </vt:variant>
      <vt:variant>
        <vt:i4>0</vt:i4>
      </vt:variant>
      <vt:variant>
        <vt:i4>5</vt:i4>
      </vt:variant>
      <vt:variant>
        <vt:lpwstr/>
      </vt:variant>
      <vt:variant>
        <vt:lpwstr>_Toc347144970</vt:lpwstr>
      </vt:variant>
      <vt:variant>
        <vt:i4>1048633</vt:i4>
      </vt:variant>
      <vt:variant>
        <vt:i4>155</vt:i4>
      </vt:variant>
      <vt:variant>
        <vt:i4>0</vt:i4>
      </vt:variant>
      <vt:variant>
        <vt:i4>5</vt:i4>
      </vt:variant>
      <vt:variant>
        <vt:lpwstr/>
      </vt:variant>
      <vt:variant>
        <vt:lpwstr>_Toc347144969</vt:lpwstr>
      </vt:variant>
      <vt:variant>
        <vt:i4>1048633</vt:i4>
      </vt:variant>
      <vt:variant>
        <vt:i4>149</vt:i4>
      </vt:variant>
      <vt:variant>
        <vt:i4>0</vt:i4>
      </vt:variant>
      <vt:variant>
        <vt:i4>5</vt:i4>
      </vt:variant>
      <vt:variant>
        <vt:lpwstr/>
      </vt:variant>
      <vt:variant>
        <vt:lpwstr>_Toc347144968</vt:lpwstr>
      </vt:variant>
      <vt:variant>
        <vt:i4>1376312</vt:i4>
      </vt:variant>
      <vt:variant>
        <vt:i4>140</vt:i4>
      </vt:variant>
      <vt:variant>
        <vt:i4>0</vt:i4>
      </vt:variant>
      <vt:variant>
        <vt:i4>5</vt:i4>
      </vt:variant>
      <vt:variant>
        <vt:lpwstr/>
      </vt:variant>
      <vt:variant>
        <vt:lpwstr>_Toc373507878</vt:lpwstr>
      </vt:variant>
      <vt:variant>
        <vt:i4>1376312</vt:i4>
      </vt:variant>
      <vt:variant>
        <vt:i4>134</vt:i4>
      </vt:variant>
      <vt:variant>
        <vt:i4>0</vt:i4>
      </vt:variant>
      <vt:variant>
        <vt:i4>5</vt:i4>
      </vt:variant>
      <vt:variant>
        <vt:lpwstr/>
      </vt:variant>
      <vt:variant>
        <vt:lpwstr>_Toc373507877</vt:lpwstr>
      </vt:variant>
      <vt:variant>
        <vt:i4>1376312</vt:i4>
      </vt:variant>
      <vt:variant>
        <vt:i4>128</vt:i4>
      </vt:variant>
      <vt:variant>
        <vt:i4>0</vt:i4>
      </vt:variant>
      <vt:variant>
        <vt:i4>5</vt:i4>
      </vt:variant>
      <vt:variant>
        <vt:lpwstr/>
      </vt:variant>
      <vt:variant>
        <vt:lpwstr>_Toc373507876</vt:lpwstr>
      </vt:variant>
      <vt:variant>
        <vt:i4>1376312</vt:i4>
      </vt:variant>
      <vt:variant>
        <vt:i4>122</vt:i4>
      </vt:variant>
      <vt:variant>
        <vt:i4>0</vt:i4>
      </vt:variant>
      <vt:variant>
        <vt:i4>5</vt:i4>
      </vt:variant>
      <vt:variant>
        <vt:lpwstr/>
      </vt:variant>
      <vt:variant>
        <vt:lpwstr>_Toc373507875</vt:lpwstr>
      </vt:variant>
      <vt:variant>
        <vt:i4>1376312</vt:i4>
      </vt:variant>
      <vt:variant>
        <vt:i4>116</vt:i4>
      </vt:variant>
      <vt:variant>
        <vt:i4>0</vt:i4>
      </vt:variant>
      <vt:variant>
        <vt:i4>5</vt:i4>
      </vt:variant>
      <vt:variant>
        <vt:lpwstr/>
      </vt:variant>
      <vt:variant>
        <vt:lpwstr>_Toc373507874</vt:lpwstr>
      </vt:variant>
      <vt:variant>
        <vt:i4>1376312</vt:i4>
      </vt:variant>
      <vt:variant>
        <vt:i4>110</vt:i4>
      </vt:variant>
      <vt:variant>
        <vt:i4>0</vt:i4>
      </vt:variant>
      <vt:variant>
        <vt:i4>5</vt:i4>
      </vt:variant>
      <vt:variant>
        <vt:lpwstr/>
      </vt:variant>
      <vt:variant>
        <vt:lpwstr>_Toc373507873</vt:lpwstr>
      </vt:variant>
      <vt:variant>
        <vt:i4>1376312</vt:i4>
      </vt:variant>
      <vt:variant>
        <vt:i4>104</vt:i4>
      </vt:variant>
      <vt:variant>
        <vt:i4>0</vt:i4>
      </vt:variant>
      <vt:variant>
        <vt:i4>5</vt:i4>
      </vt:variant>
      <vt:variant>
        <vt:lpwstr/>
      </vt:variant>
      <vt:variant>
        <vt:lpwstr>_Toc373507872</vt:lpwstr>
      </vt:variant>
      <vt:variant>
        <vt:i4>1376312</vt:i4>
      </vt:variant>
      <vt:variant>
        <vt:i4>98</vt:i4>
      </vt:variant>
      <vt:variant>
        <vt:i4>0</vt:i4>
      </vt:variant>
      <vt:variant>
        <vt:i4>5</vt:i4>
      </vt:variant>
      <vt:variant>
        <vt:lpwstr/>
      </vt:variant>
      <vt:variant>
        <vt:lpwstr>_Toc373507871</vt:lpwstr>
      </vt:variant>
      <vt:variant>
        <vt:i4>1376312</vt:i4>
      </vt:variant>
      <vt:variant>
        <vt:i4>92</vt:i4>
      </vt:variant>
      <vt:variant>
        <vt:i4>0</vt:i4>
      </vt:variant>
      <vt:variant>
        <vt:i4>5</vt:i4>
      </vt:variant>
      <vt:variant>
        <vt:lpwstr/>
      </vt:variant>
      <vt:variant>
        <vt:lpwstr>_Toc373507870</vt:lpwstr>
      </vt:variant>
      <vt:variant>
        <vt:i4>1310776</vt:i4>
      </vt:variant>
      <vt:variant>
        <vt:i4>86</vt:i4>
      </vt:variant>
      <vt:variant>
        <vt:i4>0</vt:i4>
      </vt:variant>
      <vt:variant>
        <vt:i4>5</vt:i4>
      </vt:variant>
      <vt:variant>
        <vt:lpwstr/>
      </vt:variant>
      <vt:variant>
        <vt:lpwstr>_Toc373507869</vt:lpwstr>
      </vt:variant>
      <vt:variant>
        <vt:i4>1310776</vt:i4>
      </vt:variant>
      <vt:variant>
        <vt:i4>80</vt:i4>
      </vt:variant>
      <vt:variant>
        <vt:i4>0</vt:i4>
      </vt:variant>
      <vt:variant>
        <vt:i4>5</vt:i4>
      </vt:variant>
      <vt:variant>
        <vt:lpwstr/>
      </vt:variant>
      <vt:variant>
        <vt:lpwstr>_Toc373507868</vt:lpwstr>
      </vt:variant>
      <vt:variant>
        <vt:i4>1310776</vt:i4>
      </vt:variant>
      <vt:variant>
        <vt:i4>74</vt:i4>
      </vt:variant>
      <vt:variant>
        <vt:i4>0</vt:i4>
      </vt:variant>
      <vt:variant>
        <vt:i4>5</vt:i4>
      </vt:variant>
      <vt:variant>
        <vt:lpwstr/>
      </vt:variant>
      <vt:variant>
        <vt:lpwstr>_Toc373507867</vt:lpwstr>
      </vt:variant>
      <vt:variant>
        <vt:i4>1310776</vt:i4>
      </vt:variant>
      <vt:variant>
        <vt:i4>68</vt:i4>
      </vt:variant>
      <vt:variant>
        <vt:i4>0</vt:i4>
      </vt:variant>
      <vt:variant>
        <vt:i4>5</vt:i4>
      </vt:variant>
      <vt:variant>
        <vt:lpwstr/>
      </vt:variant>
      <vt:variant>
        <vt:lpwstr>_Toc373507866</vt:lpwstr>
      </vt:variant>
      <vt:variant>
        <vt:i4>1310776</vt:i4>
      </vt:variant>
      <vt:variant>
        <vt:i4>62</vt:i4>
      </vt:variant>
      <vt:variant>
        <vt:i4>0</vt:i4>
      </vt:variant>
      <vt:variant>
        <vt:i4>5</vt:i4>
      </vt:variant>
      <vt:variant>
        <vt:lpwstr/>
      </vt:variant>
      <vt:variant>
        <vt:lpwstr>_Toc373507865</vt:lpwstr>
      </vt:variant>
      <vt:variant>
        <vt:i4>1310776</vt:i4>
      </vt:variant>
      <vt:variant>
        <vt:i4>56</vt:i4>
      </vt:variant>
      <vt:variant>
        <vt:i4>0</vt:i4>
      </vt:variant>
      <vt:variant>
        <vt:i4>5</vt:i4>
      </vt:variant>
      <vt:variant>
        <vt:lpwstr/>
      </vt:variant>
      <vt:variant>
        <vt:lpwstr>_Toc373507864</vt:lpwstr>
      </vt:variant>
      <vt:variant>
        <vt:i4>1310776</vt:i4>
      </vt:variant>
      <vt:variant>
        <vt:i4>50</vt:i4>
      </vt:variant>
      <vt:variant>
        <vt:i4>0</vt:i4>
      </vt:variant>
      <vt:variant>
        <vt:i4>5</vt:i4>
      </vt:variant>
      <vt:variant>
        <vt:lpwstr/>
      </vt:variant>
      <vt:variant>
        <vt:lpwstr>_Toc373507863</vt:lpwstr>
      </vt:variant>
      <vt:variant>
        <vt:i4>1310776</vt:i4>
      </vt:variant>
      <vt:variant>
        <vt:i4>44</vt:i4>
      </vt:variant>
      <vt:variant>
        <vt:i4>0</vt:i4>
      </vt:variant>
      <vt:variant>
        <vt:i4>5</vt:i4>
      </vt:variant>
      <vt:variant>
        <vt:lpwstr/>
      </vt:variant>
      <vt:variant>
        <vt:lpwstr>_Toc373507862</vt:lpwstr>
      </vt:variant>
      <vt:variant>
        <vt:i4>1310776</vt:i4>
      </vt:variant>
      <vt:variant>
        <vt:i4>38</vt:i4>
      </vt:variant>
      <vt:variant>
        <vt:i4>0</vt:i4>
      </vt:variant>
      <vt:variant>
        <vt:i4>5</vt:i4>
      </vt:variant>
      <vt:variant>
        <vt:lpwstr/>
      </vt:variant>
      <vt:variant>
        <vt:lpwstr>_Toc373507861</vt:lpwstr>
      </vt:variant>
      <vt:variant>
        <vt:i4>1310776</vt:i4>
      </vt:variant>
      <vt:variant>
        <vt:i4>32</vt:i4>
      </vt:variant>
      <vt:variant>
        <vt:i4>0</vt:i4>
      </vt:variant>
      <vt:variant>
        <vt:i4>5</vt:i4>
      </vt:variant>
      <vt:variant>
        <vt:lpwstr/>
      </vt:variant>
      <vt:variant>
        <vt:lpwstr>_Toc373507860</vt:lpwstr>
      </vt:variant>
      <vt:variant>
        <vt:i4>1507384</vt:i4>
      </vt:variant>
      <vt:variant>
        <vt:i4>26</vt:i4>
      </vt:variant>
      <vt:variant>
        <vt:i4>0</vt:i4>
      </vt:variant>
      <vt:variant>
        <vt:i4>5</vt:i4>
      </vt:variant>
      <vt:variant>
        <vt:lpwstr/>
      </vt:variant>
      <vt:variant>
        <vt:lpwstr>_Toc373507859</vt:lpwstr>
      </vt:variant>
      <vt:variant>
        <vt:i4>1507384</vt:i4>
      </vt:variant>
      <vt:variant>
        <vt:i4>20</vt:i4>
      </vt:variant>
      <vt:variant>
        <vt:i4>0</vt:i4>
      </vt:variant>
      <vt:variant>
        <vt:i4>5</vt:i4>
      </vt:variant>
      <vt:variant>
        <vt:lpwstr/>
      </vt:variant>
      <vt:variant>
        <vt:lpwstr>_Toc373507858</vt:lpwstr>
      </vt:variant>
      <vt:variant>
        <vt:i4>1507384</vt:i4>
      </vt:variant>
      <vt:variant>
        <vt:i4>14</vt:i4>
      </vt:variant>
      <vt:variant>
        <vt:i4>0</vt:i4>
      </vt:variant>
      <vt:variant>
        <vt:i4>5</vt:i4>
      </vt:variant>
      <vt:variant>
        <vt:lpwstr/>
      </vt:variant>
      <vt:variant>
        <vt:lpwstr>_Toc373507857</vt:lpwstr>
      </vt:variant>
      <vt:variant>
        <vt:i4>1507384</vt:i4>
      </vt:variant>
      <vt:variant>
        <vt:i4>8</vt:i4>
      </vt:variant>
      <vt:variant>
        <vt:i4>0</vt:i4>
      </vt:variant>
      <vt:variant>
        <vt:i4>5</vt:i4>
      </vt:variant>
      <vt:variant>
        <vt:lpwstr/>
      </vt:variant>
      <vt:variant>
        <vt:lpwstr>_Toc373507856</vt:lpwstr>
      </vt:variant>
      <vt:variant>
        <vt:i4>1507384</vt:i4>
      </vt:variant>
      <vt:variant>
        <vt:i4>2</vt:i4>
      </vt:variant>
      <vt:variant>
        <vt:i4>0</vt:i4>
      </vt:variant>
      <vt:variant>
        <vt:i4>5</vt:i4>
      </vt:variant>
      <vt:variant>
        <vt:lpwstr/>
      </vt:variant>
      <vt:variant>
        <vt:lpwstr>_Toc373507855</vt:lpwstr>
      </vt:variant>
      <vt:variant>
        <vt:i4>2687075</vt:i4>
      </vt:variant>
      <vt:variant>
        <vt:i4>9</vt:i4>
      </vt:variant>
      <vt:variant>
        <vt:i4>0</vt:i4>
      </vt:variant>
      <vt:variant>
        <vt:i4>5</vt:i4>
      </vt:variant>
      <vt:variant>
        <vt:lpwstr>https://www.education.gov.uk/consultations/downloadableDocs/July 11 Consultation on School Funding Reform FINAL.pdf</vt:lpwstr>
      </vt:variant>
      <vt:variant>
        <vt:lpwstr/>
      </vt:variant>
      <vt:variant>
        <vt:i4>6160470</vt:i4>
      </vt:variant>
      <vt:variant>
        <vt:i4>6</vt:i4>
      </vt:variant>
      <vt:variant>
        <vt:i4>0</vt:i4>
      </vt:variant>
      <vt:variant>
        <vt:i4>5</vt:i4>
      </vt:variant>
      <vt:variant>
        <vt:lpwstr>http://www.naldic.org.uk/Resources/NALDIC/Home/Documents/additionalcostestimatesreEAL.pdf</vt:lpwstr>
      </vt:variant>
      <vt:variant>
        <vt:lpwstr/>
      </vt:variant>
      <vt:variant>
        <vt:i4>6094851</vt:i4>
      </vt:variant>
      <vt:variant>
        <vt:i4>3</vt:i4>
      </vt:variant>
      <vt:variant>
        <vt:i4>0</vt:i4>
      </vt:variant>
      <vt:variant>
        <vt:i4>5</vt:i4>
      </vt:variant>
      <vt:variant>
        <vt:lpwstr>https://www.education.gov.uk/consultations/index.cfm?action=conResults&amp;consultationId=1920&amp;external=no&amp;menu=3</vt:lpwstr>
      </vt:variant>
      <vt:variant>
        <vt:lpwstr/>
      </vt:variant>
      <vt:variant>
        <vt:i4>4259863</vt:i4>
      </vt:variant>
      <vt:variant>
        <vt:i4>0</vt:i4>
      </vt:variant>
      <vt:variant>
        <vt:i4>0</vt:i4>
      </vt:variant>
      <vt:variant>
        <vt:i4>5</vt:i4>
      </vt:variant>
      <vt:variant>
        <vt:lpwstr>http://educationendowmentfoundation.org.uk/toolkit/about-the-toolkit/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cp:lastModifiedBy>CATHERALL, Claire</cp:lastModifiedBy>
  <cp:revision>2</cp:revision>
  <cp:lastPrinted>2014-07-21T18:09:00Z</cp:lastPrinted>
  <dcterms:created xsi:type="dcterms:W3CDTF">2014-07-23T09:38:00Z</dcterms:created>
  <dcterms:modified xsi:type="dcterms:W3CDTF">2014-07-23T09:38:00Z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0x0101007F645D6FBA204A029FECB8BFC6578C39005279853530254253B886E13194843F8A003AA4A7828D8545A79A9356802081235500C40519612E37724895BDBCA8516A6A22</vt:lpwstr>
  </property>
  <property fmtid="{D5CDD505-2E9C-101B-9397-08002B2CF9AE}" pid="4" name="IWPGroupOOB">
    <vt:lpwstr>Communications Directorate</vt:lpwstr>
  </property>
  <property fmtid="{D5CDD505-2E9C-101B-9397-08002B2CF9AE}" pid="5" name="_dlc_DocIdItemGuid">
    <vt:lpwstr>beeef501-9821-4ede-8d49-48391033df2b</vt:lpwstr>
  </property>
  <property fmtid="{D5CDD505-2E9C-101B-9397-08002B2CF9AE}" pid="6" name="IWPOrganisationalUnit">
    <vt:lpwstr>1;#Infrastructure and Funding Directorate|d1466afd-0cba-416f-9e94-17a6ba5b78bb</vt:lpwstr>
  </property>
  <property fmtid="{D5CDD505-2E9C-101B-9397-08002B2CF9AE}" pid="7" name="IWPOwner">
    <vt:lpwstr>2;#DfE|a484111e-5b24-4ad9-9778-c536c8c88985</vt:lpwstr>
  </property>
  <property fmtid="{D5CDD505-2E9C-101B-9397-08002B2CF9AE}" pid="8" name="IWPFunction">
    <vt:lpwstr/>
  </property>
  <property fmtid="{D5CDD505-2E9C-101B-9397-08002B2CF9AE}" pid="9" name="IWPRightsProtectiveMarking">
    <vt:lpwstr>3;#Official|0884c477-2e62-47ea-b19c-5af6e91124c5</vt:lpwstr>
  </property>
</Properties>
</file>