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96" w:rsidRDefault="00046396" w:rsidP="00C0199F">
      <w:pPr>
        <w:pStyle w:val="Submissionnumberedparagraph"/>
        <w:numPr>
          <w:ilvl w:val="0"/>
          <w:numId w:val="0"/>
        </w:numPr>
        <w:rPr>
          <w:b/>
        </w:rPr>
      </w:pPr>
      <w:r>
        <w:rPr>
          <w:b/>
        </w:rPr>
        <w:t>1</w:t>
      </w:r>
      <w:r w:rsidR="00290A41">
        <w:rPr>
          <w:b/>
        </w:rPr>
        <w:t>4</w:t>
      </w:r>
      <w:r>
        <w:rPr>
          <w:b/>
        </w:rPr>
        <w:t>0213</w:t>
      </w:r>
    </w:p>
    <w:p w:rsidR="00046396" w:rsidRDefault="00046396" w:rsidP="00C0199F">
      <w:pPr>
        <w:pStyle w:val="Submissionnumberedparagraph"/>
        <w:numPr>
          <w:ilvl w:val="0"/>
          <w:numId w:val="0"/>
        </w:numPr>
        <w:rPr>
          <w:b/>
        </w:rPr>
      </w:pPr>
      <w:r>
        <w:rPr>
          <w:b/>
        </w:rPr>
        <w:t>CONSIDERATION OF THE CHILDREN AND FAMILIES BILL PROVISIONS IN LIGHT OF THE EUROPEAN CONVENTION ON HUMAN RIGHTS AND THE UNITED NATIONS CONVENTION ON THE RIGHTS OF THE CHILD</w:t>
      </w:r>
    </w:p>
    <w:p w:rsidR="00046396" w:rsidRPr="00771A95" w:rsidRDefault="00046396" w:rsidP="00C0199F">
      <w:pPr>
        <w:pStyle w:val="Submissionnumberedparagraph"/>
        <w:numPr>
          <w:ilvl w:val="0"/>
          <w:numId w:val="0"/>
        </w:numPr>
        <w:rPr>
          <w:u w:val="single"/>
        </w:rPr>
      </w:pPr>
      <w:r w:rsidRPr="00771A95">
        <w:rPr>
          <w:u w:val="single"/>
        </w:rPr>
        <w:t>Introduction</w:t>
      </w:r>
    </w:p>
    <w:p w:rsidR="00046396" w:rsidRPr="00771A95" w:rsidRDefault="00046396" w:rsidP="00C0199F">
      <w:pPr>
        <w:pStyle w:val="Submissionnumberedparagraph"/>
        <w:ind w:hanging="709"/>
        <w:rPr>
          <w:i/>
        </w:rPr>
      </w:pPr>
      <w:r>
        <w:t xml:space="preserve">This Government has given detailed consideration to whether the provisions in the Bill </w:t>
      </w:r>
      <w:r w:rsidR="00F75AC2">
        <w:t xml:space="preserve">are compatible </w:t>
      </w:r>
      <w:r>
        <w:t>with the European Convention on Human Rights (ECHR).  On introduction, the Secretary of State made a statement under section 19(1)(a) of the Human Rights Act 1998 that in his view the provisions of the Children and Families Bill are compatible with Convention rights as defined in section 1 of that Act.  This note sets out a summary of the issues considered by the Government and the conclusion reached as to why the provisions are compatible.</w:t>
      </w:r>
    </w:p>
    <w:p w:rsidR="00046396" w:rsidRPr="00426C17" w:rsidRDefault="00046396" w:rsidP="00C0199F">
      <w:pPr>
        <w:pStyle w:val="Submissionnumberedparagraph"/>
        <w:ind w:hanging="709"/>
        <w:rPr>
          <w:i/>
        </w:rPr>
      </w:pPr>
      <w:r>
        <w:t xml:space="preserve">In addition, in preparing for the </w:t>
      </w:r>
      <w:smartTag w:uri="urn:schemas:contacts" w:element="GivenName">
        <w:r>
          <w:t>Bill</w:t>
        </w:r>
      </w:smartTag>
      <w:r>
        <w:t xml:space="preserve"> the Government has considered the </w:t>
      </w:r>
      <w:smartTag w:uri="urn:schemas:contacts" w:element="GivenName">
        <w:r>
          <w:t>Bill</w:t>
        </w:r>
      </w:smartTag>
      <w:r>
        <w:t xml:space="preserve"> provisions in light of those rights set out in the United Nations Convention on the Rights of the Child (UNCRC). Not all of the Articles of the UNCRC are relevant to the Bill, but the Government has had particular regard to Article 3 – treating the best interests of the child as a primary consideration – and Article 5 – respecting the rights, responsibilities and duties of parents, the wider family and other people who are responsible for ensuring children’s safe and successful upbringing.  The Government has also paid particular attention to Article 12 – which gives children the right to express views on matters affecting them - and many of the provisions in the Bill take account of consultation with children and young people during their development.  </w:t>
      </w:r>
    </w:p>
    <w:p w:rsidR="00046396" w:rsidRPr="00EB7FC6" w:rsidRDefault="00046396" w:rsidP="00C0199F">
      <w:pPr>
        <w:pStyle w:val="Submissionnumberedparagraph"/>
        <w:ind w:hanging="709"/>
        <w:rPr>
          <w:i/>
        </w:rPr>
      </w:pPr>
      <w:r>
        <w:t xml:space="preserve">Some other specific Articles of the UNCRC are directly relevant to certain provisions in the </w:t>
      </w:r>
      <w:smartTag w:uri="urn:schemas:contacts" w:element="GivenName">
        <w:r>
          <w:t>Bill</w:t>
        </w:r>
      </w:smartTag>
      <w:r>
        <w:t xml:space="preserve"> and examples of how they have been taken into account are given below.  Some of the provisions also address recommendations that were made by the UN Committee on the Rights of the Child following the last review of the </w:t>
      </w:r>
      <w:smartTag w:uri="urn:schemas:contacts" w:element="GivenName">
        <w:r>
          <w:t>UK</w:t>
        </w:r>
      </w:smartTag>
      <w:r>
        <w:t xml:space="preserve">’s progress in implementing the UNCRC in 2008. The Government is therefore confident that the Children and Families Bill will enhance </w:t>
      </w:r>
      <w:r w:rsidR="005D0A28">
        <w:t xml:space="preserve">implementation of </w:t>
      </w:r>
      <w:r>
        <w:t xml:space="preserve">the rights of children under the UNCRC.  </w:t>
      </w:r>
    </w:p>
    <w:p w:rsidR="00046396" w:rsidRPr="00EB7FC6" w:rsidRDefault="00046396" w:rsidP="00EB7FC6">
      <w:pPr>
        <w:pStyle w:val="Submissionnumberedparagraph"/>
        <w:numPr>
          <w:ilvl w:val="0"/>
          <w:numId w:val="0"/>
        </w:numPr>
        <w:rPr>
          <w:i/>
          <w:u w:val="single"/>
        </w:rPr>
      </w:pPr>
      <w:smartTag w:uri="urn:schemas:contacts" w:element="GivenName">
        <w:r>
          <w:rPr>
            <w:u w:val="single"/>
          </w:rPr>
          <w:t>Bill</w:t>
        </w:r>
      </w:smartTag>
      <w:r>
        <w:rPr>
          <w:u w:val="single"/>
        </w:rPr>
        <w:t xml:space="preserve"> Provisions</w:t>
      </w:r>
    </w:p>
    <w:p w:rsidR="00046396" w:rsidRPr="001F67C7" w:rsidRDefault="00046396" w:rsidP="00C0199F">
      <w:pPr>
        <w:pStyle w:val="Submissionnumberedparagraph"/>
        <w:numPr>
          <w:ilvl w:val="0"/>
          <w:numId w:val="0"/>
        </w:numPr>
        <w:rPr>
          <w:b/>
        </w:rPr>
      </w:pPr>
      <w:r w:rsidRPr="001F67C7">
        <w:rPr>
          <w:b/>
        </w:rPr>
        <w:t>Adoption</w:t>
      </w:r>
    </w:p>
    <w:p w:rsidR="00046396" w:rsidRDefault="00046396" w:rsidP="00C0199F">
      <w:pPr>
        <w:pStyle w:val="Submissionnumberedparagraph"/>
        <w:numPr>
          <w:ilvl w:val="0"/>
          <w:numId w:val="0"/>
        </w:numPr>
        <w:rPr>
          <w:b/>
        </w:rPr>
      </w:pPr>
      <w:r w:rsidRPr="001F67C7">
        <w:rPr>
          <w:b/>
        </w:rPr>
        <w:t>Clause 1: Placement of looked after children with prospective adopters</w:t>
      </w:r>
    </w:p>
    <w:p w:rsidR="00046396" w:rsidRPr="00C0199F" w:rsidRDefault="00046396" w:rsidP="00C0199F">
      <w:pPr>
        <w:pStyle w:val="Submissionnumberedparagraph"/>
        <w:numPr>
          <w:ilvl w:val="0"/>
          <w:numId w:val="0"/>
        </w:numPr>
      </w:pPr>
      <w:r>
        <w:t>ECHR</w:t>
      </w:r>
    </w:p>
    <w:p w:rsidR="00CE70B3" w:rsidRDefault="00046396" w:rsidP="00C9261C">
      <w:pPr>
        <w:pStyle w:val="Submissionnumberedparagraph"/>
      </w:pPr>
      <w:bookmarkStart w:id="0" w:name="index_link_66"/>
      <w:bookmarkEnd w:id="0"/>
      <w:r w:rsidRPr="005B7C97">
        <w:t xml:space="preserve">The Government has considered whether the provision aimed at </w:t>
      </w:r>
      <w:r>
        <w:t xml:space="preserve">encouraging </w:t>
      </w:r>
      <w:r w:rsidRPr="005B7C97">
        <w:t xml:space="preserve">early permanence </w:t>
      </w:r>
      <w:r>
        <w:t xml:space="preserve">placements </w:t>
      </w:r>
      <w:r w:rsidRPr="005B7C97">
        <w:t>thro</w:t>
      </w:r>
      <w:r>
        <w:t>ugh "fostering for adoption" is</w:t>
      </w:r>
      <w:r w:rsidRPr="005B7C97">
        <w:t xml:space="preserve"> compatible with the Articles 6 and 8 rights of the birth parents and</w:t>
      </w:r>
      <w:r>
        <w:t xml:space="preserve"> Article 8 rights of the </w:t>
      </w:r>
      <w:r>
        <w:lastRenderedPageBreak/>
        <w:t xml:space="preserve">child. </w:t>
      </w:r>
      <w:r w:rsidR="00B13CA2" w:rsidRPr="00FF6939">
        <w:rPr>
          <w:lang w:val="en-US"/>
        </w:rPr>
        <w:t>The provision amends section 22C of the Children Act 1989</w:t>
      </w:r>
      <w:r w:rsidR="00874CF3">
        <w:rPr>
          <w:lang w:val="en-US"/>
        </w:rPr>
        <w:t xml:space="preserve"> (“CA 1989”)</w:t>
      </w:r>
      <w:r w:rsidR="00B13CA2" w:rsidRPr="00FF6939">
        <w:rPr>
          <w:lang w:val="en-US"/>
        </w:rPr>
        <w:t>, which sets out the duties of a local authority in respect o</w:t>
      </w:r>
      <w:r w:rsidR="00B13CA2" w:rsidRPr="001719E4">
        <w:rPr>
          <w:lang w:val="en-US"/>
        </w:rPr>
        <w:t>f accommodating looked after children – they must make arrangements for the child to live with his or her parents unless that is not reasonably practicable and consistent with the child's welfare</w:t>
      </w:r>
      <w:r w:rsidR="00B13CA2">
        <w:rPr>
          <w:lang w:val="en-US"/>
        </w:rPr>
        <w:t xml:space="preserve">, and it is only where this is not possible, that the local authority </w:t>
      </w:r>
      <w:r w:rsidR="00B13CA2" w:rsidRPr="00FF6939">
        <w:rPr>
          <w:lang w:val="en-US"/>
        </w:rPr>
        <w:t xml:space="preserve">must </w:t>
      </w:r>
      <w:r w:rsidR="00B13CA2">
        <w:rPr>
          <w:lang w:val="en-US"/>
        </w:rPr>
        <w:t xml:space="preserve">then </w:t>
      </w:r>
      <w:r w:rsidR="00B13CA2" w:rsidRPr="00FF6939">
        <w:rPr>
          <w:lang w:val="en-US"/>
        </w:rPr>
        <w:t xml:space="preserve">go on to consider all the other </w:t>
      </w:r>
      <w:r w:rsidR="00B13CA2">
        <w:rPr>
          <w:lang w:val="en-US"/>
        </w:rPr>
        <w:t>placement options available, and must d</w:t>
      </w:r>
      <w:r w:rsidR="00B13CA2" w:rsidRPr="00FF6939">
        <w:rPr>
          <w:lang w:val="en-US"/>
        </w:rPr>
        <w:t>ecide which of those options is the most appropriate placement for the child</w:t>
      </w:r>
      <w:r w:rsidR="00874CF3">
        <w:rPr>
          <w:lang w:val="en-US"/>
        </w:rPr>
        <w:t xml:space="preserve"> (section 22C (5)</w:t>
      </w:r>
      <w:r w:rsidR="00D94CF6">
        <w:rPr>
          <w:lang w:val="en-US"/>
        </w:rPr>
        <w:t>)</w:t>
      </w:r>
      <w:r w:rsidR="00B13CA2" w:rsidRPr="00FF6939">
        <w:rPr>
          <w:lang w:val="en-US"/>
        </w:rPr>
        <w:t>.</w:t>
      </w:r>
      <w:r w:rsidR="00B13CA2">
        <w:rPr>
          <w:lang w:val="en-US"/>
        </w:rPr>
        <w:t xml:space="preserve"> S</w:t>
      </w:r>
      <w:r w:rsidR="00B13CA2" w:rsidRPr="00FF6939">
        <w:rPr>
          <w:lang w:val="en-US"/>
        </w:rPr>
        <w:t xml:space="preserve">ection 22 </w:t>
      </w:r>
      <w:r w:rsidR="00CE70B3">
        <w:rPr>
          <w:lang w:val="en-US"/>
        </w:rPr>
        <w:t xml:space="preserve">of the </w:t>
      </w:r>
      <w:r w:rsidR="00D94CF6">
        <w:rPr>
          <w:lang w:val="en-US"/>
        </w:rPr>
        <w:t xml:space="preserve">CA 1989 </w:t>
      </w:r>
      <w:r w:rsidR="00B13CA2" w:rsidRPr="00FF6939">
        <w:rPr>
          <w:lang w:val="en-US"/>
        </w:rPr>
        <w:t>appl</w:t>
      </w:r>
      <w:r w:rsidR="00B13CA2">
        <w:rPr>
          <w:lang w:val="en-US"/>
        </w:rPr>
        <w:t>ies</w:t>
      </w:r>
      <w:r w:rsidR="00B13CA2" w:rsidRPr="00FF6939">
        <w:rPr>
          <w:lang w:val="en-US"/>
        </w:rPr>
        <w:t xml:space="preserve"> in relation to th</w:t>
      </w:r>
      <w:r w:rsidR="00B13CA2">
        <w:rPr>
          <w:lang w:val="en-US"/>
        </w:rPr>
        <w:t>at</w:t>
      </w:r>
      <w:r w:rsidR="00B13CA2" w:rsidRPr="00FF6939">
        <w:rPr>
          <w:lang w:val="en-US"/>
        </w:rPr>
        <w:t xml:space="preserve"> decision </w:t>
      </w:r>
      <w:r w:rsidR="00B13CA2">
        <w:rPr>
          <w:lang w:val="en-US"/>
        </w:rPr>
        <w:t xml:space="preserve">and </w:t>
      </w:r>
      <w:r w:rsidR="00B13CA2" w:rsidRPr="00FF6939">
        <w:rPr>
          <w:lang w:val="en-US"/>
        </w:rPr>
        <w:t>require</w:t>
      </w:r>
      <w:r w:rsidR="00B13CA2">
        <w:rPr>
          <w:lang w:val="en-US"/>
        </w:rPr>
        <w:t>s</w:t>
      </w:r>
      <w:r w:rsidR="00B13CA2" w:rsidRPr="00FF6939">
        <w:rPr>
          <w:lang w:val="en-US"/>
        </w:rPr>
        <w:t xml:space="preserve"> the authority to safeguard and promote the child’s welfare</w:t>
      </w:r>
      <w:r w:rsidR="00CE70B3">
        <w:rPr>
          <w:lang w:val="en-US"/>
        </w:rPr>
        <w:t xml:space="preserve"> in making a placement decision</w:t>
      </w:r>
      <w:r w:rsidR="00B13CA2" w:rsidRPr="00FF6939">
        <w:rPr>
          <w:lang w:val="en-US"/>
        </w:rPr>
        <w:t xml:space="preserve">. </w:t>
      </w:r>
      <w:r w:rsidR="00B13CA2">
        <w:rPr>
          <w:lang w:val="en-US"/>
        </w:rPr>
        <w:t xml:space="preserve">The new provision will apply where the local authority have decided that the child cannot </w:t>
      </w:r>
      <w:r w:rsidR="00C15095">
        <w:rPr>
          <w:lang w:val="en-US"/>
        </w:rPr>
        <w:t xml:space="preserve">currently </w:t>
      </w:r>
      <w:r w:rsidR="00B13CA2">
        <w:rPr>
          <w:lang w:val="en-US"/>
        </w:rPr>
        <w:t xml:space="preserve">live with his or her parents, and </w:t>
      </w:r>
      <w:r w:rsidR="00CE70B3">
        <w:rPr>
          <w:lang w:val="en-US"/>
        </w:rPr>
        <w:t xml:space="preserve">consider </w:t>
      </w:r>
      <w:r w:rsidR="00B13CA2">
        <w:rPr>
          <w:lang w:val="en-US"/>
        </w:rPr>
        <w:t xml:space="preserve">that adoption is a possible outcome for the child. In those circumstances, </w:t>
      </w:r>
      <w:r w:rsidR="00CE70B3">
        <w:rPr>
          <w:lang w:val="en-US"/>
        </w:rPr>
        <w:t xml:space="preserve">the new provision will require the local authority to consider placing the child in a ‘fostering for adoption’ placement, which is </w:t>
      </w:r>
      <w:r>
        <w:t>a placement with foster parents</w:t>
      </w:r>
      <w:r w:rsidR="00CE70B3">
        <w:t xml:space="preserve"> who are also approved prospective adopters, but </w:t>
      </w:r>
      <w:r>
        <w:t>in their capacity as foster parents</w:t>
      </w:r>
      <w:r w:rsidR="00CE70B3">
        <w:t>.</w:t>
      </w:r>
    </w:p>
    <w:p w:rsidR="00CE70B3" w:rsidRDefault="00CE70B3" w:rsidP="00C9261C">
      <w:pPr>
        <w:pStyle w:val="Submissionnumberedparagraph"/>
      </w:pPr>
      <w:r>
        <w:t>The practical effect will be that the child will go to live with people who are prospective adopters, who may be his potential adopters, notwithstanding that the local authority does not have authority to place the child for adoption.  It is important to note that such placements are already permitted in law</w:t>
      </w:r>
      <w:r w:rsidR="00874CF3">
        <w:t xml:space="preserve"> under the CA 1989</w:t>
      </w:r>
      <w:r>
        <w:t>.  The aim of this provision is to encourage the more widespread use of the practice of early permanence placements in appropriate cases.</w:t>
      </w:r>
    </w:p>
    <w:p w:rsidR="00046396" w:rsidRDefault="00046396" w:rsidP="00C9261C">
      <w:pPr>
        <w:pStyle w:val="Submissionnumberedparagraph"/>
      </w:pPr>
      <w:r>
        <w:t>The Government would like to stress, however, that this provision does not</w:t>
      </w:r>
      <w:r w:rsidR="00CE70B3">
        <w:t xml:space="preserve"> bring forward the point at which the child is removed from his birth parents, or affect the process by which that decision is made. Nor does it </w:t>
      </w:r>
      <w:r>
        <w:t xml:space="preserve">affect the process by which </w:t>
      </w:r>
      <w:r w:rsidR="00C15095">
        <w:t>the decision to</w:t>
      </w:r>
      <w:r>
        <w:t xml:space="preserve"> place him for adoption</w:t>
      </w:r>
      <w:r w:rsidR="00CE70B3">
        <w:t xml:space="preserve"> is</w:t>
      </w:r>
      <w:r>
        <w:t xml:space="preserve"> made by the court </w:t>
      </w:r>
      <w:r w:rsidR="00CE70B3">
        <w:t xml:space="preserve">or </w:t>
      </w:r>
      <w:r>
        <w:t xml:space="preserve">affect the rights of the birth family in that regard. Absent parental consent, the decision whether to authorise the local authority to place the child for adoption remains one for the court at the placement order stage, and the birth parents retain their right to be involved in the process and to have full account taken of their views and wishes, as required. </w:t>
      </w:r>
      <w:r w:rsidR="00CE70B3">
        <w:t xml:space="preserve">On the hearing of the placement order application, if the parents do not consent to the making of the order, the court will consider whether the parents' consent should be dispensed with. Under section 52(1)(b) of the </w:t>
      </w:r>
      <w:r w:rsidR="00874CF3">
        <w:t>Adoption and Children Act 2002 (“</w:t>
      </w:r>
      <w:r w:rsidR="00CE70B3">
        <w:t>2002 Act</w:t>
      </w:r>
      <w:r w:rsidR="00874CF3">
        <w:t>”)</w:t>
      </w:r>
      <w:r w:rsidR="00CE70B3">
        <w:t xml:space="preserve">, the court can only dispense with parental consent to a placement or adoption order if it is satisfied that the welfare of the child requires it. </w:t>
      </w:r>
      <w:r>
        <w:t xml:space="preserve">The Government does not consider that there is an interference with the procedural requirements of Article 8 because, taken as a whole, the process sufficiently protects birth parents who are properly involved in the decision making process. </w:t>
      </w:r>
    </w:p>
    <w:p w:rsidR="00046396" w:rsidRDefault="00046396" w:rsidP="004D527D">
      <w:pPr>
        <w:pStyle w:val="Submissionnumberedparagraph"/>
      </w:pPr>
      <w:r>
        <w:t>In terms of the birth parents and child’s right to a family life, it is important to reiterate that unless and until the local authority has authority to place the child for adoption under the</w:t>
      </w:r>
      <w:r w:rsidR="00874CF3">
        <w:t xml:space="preserve"> </w:t>
      </w:r>
      <w:r w:rsidR="00CE2FF3">
        <w:t>2002 Act</w:t>
      </w:r>
      <w:r>
        <w:t xml:space="preserve">, the placement remains a placement under the </w:t>
      </w:r>
      <w:r w:rsidR="00CE2FF3">
        <w:t xml:space="preserve">CA 1989 </w:t>
      </w:r>
      <w:r>
        <w:t xml:space="preserve">of a looked after child with </w:t>
      </w:r>
      <w:r w:rsidR="00F75AC2">
        <w:t xml:space="preserve">local authority </w:t>
      </w:r>
      <w:r>
        <w:t>foster parents. If the local authority decided that the child ought to be placed for adoption, it will be for the court to decide whether to make the placement order and until that order is made the placement is not an adoptive placement.  If the court does not make a placement order the child cannot be placed for adoption.</w:t>
      </w:r>
    </w:p>
    <w:p w:rsidR="00CE70B3" w:rsidRDefault="00C15095" w:rsidP="00D94CF6">
      <w:pPr>
        <w:pStyle w:val="Submissionnumberedparagraph"/>
      </w:pPr>
      <w:r w:rsidRPr="00C15095">
        <w:lastRenderedPageBreak/>
        <w:t xml:space="preserve">The Government acknowledges that the provision will mean that, in appropriate cases, local authorities will bring forward the point at which some children go to live with potential prospective adopters by a number of months, and that the fact that the child is living with those carers and may be forming attachments with them may weigh in the balance when the court is deciding whether the placement order is in the child's best interests.  </w:t>
      </w:r>
      <w:r w:rsidR="00D94CF6" w:rsidRPr="00D94CF6">
        <w:t>However, the provision does not bring forward the point at which the child is removed from his parents.   Thus, at the placement order hearing stage, it will invariably be the case that the child no longer lives with parents - and the fact that he lives with another family will thus be a factor to be weighed in the balance against return home. Given that the new provision will only result in local authorities bringing forward the placement of the child with those carers by a relatively short period, it is not considered that this will have a significant effect on the rights of parents.</w:t>
      </w:r>
    </w:p>
    <w:p w:rsidR="00046396" w:rsidRDefault="00046396" w:rsidP="00527C07">
      <w:pPr>
        <w:pStyle w:val="Submissionnumberedparagraph"/>
      </w:pPr>
      <w:r>
        <w:t>The Government concludes that, to the extent that Article 8 rights are engaged, such interference is both proportionate and legitimate given the importance of early placement for these children.</w:t>
      </w:r>
    </w:p>
    <w:p w:rsidR="00046396" w:rsidRDefault="00046396" w:rsidP="00BC25DE">
      <w:pPr>
        <w:pStyle w:val="Submissionnumberedparagraph"/>
      </w:pPr>
      <w:r>
        <w:t xml:space="preserve">In terms of the Article 6 rights of the birth parents, and possibly other members of the birth family, even though, as mentioned above, it is likely that an attachment is formed between the foster parent and the child and that as a result, in cases where a placement order is subsequently sought, the court may conclude that the welfare of the child requires parental consent to the placement order to be dispensed with, for the reasons set out in the discussion on Article 8, the new provision does </w:t>
      </w:r>
      <w:r w:rsidRPr="005B7C97">
        <w:t>not affect the process by which decisions to remove a child from his birth family, or to place him for adoption, are made by the court, nor does it affect the rights of th</w:t>
      </w:r>
      <w:r>
        <w:t xml:space="preserve">e birth family in that regard. </w:t>
      </w:r>
      <w:r w:rsidRPr="00BC25DE">
        <w:t xml:space="preserve"> </w:t>
      </w:r>
      <w:r w:rsidRPr="005B7C97">
        <w:t xml:space="preserve">The Government is satisfied that this provision is compatible with Article 6 and 8 of the </w:t>
      </w:r>
      <w:r w:rsidR="00C6330D">
        <w:t>ECHR.</w:t>
      </w:r>
    </w:p>
    <w:p w:rsidR="00046396" w:rsidRDefault="00046396" w:rsidP="00C0199F">
      <w:pPr>
        <w:pStyle w:val="Submissionnumberedparagraph"/>
        <w:numPr>
          <w:ilvl w:val="0"/>
          <w:numId w:val="0"/>
        </w:numPr>
        <w:ind w:left="709"/>
      </w:pPr>
      <w:r>
        <w:t>UNCRC</w:t>
      </w:r>
    </w:p>
    <w:p w:rsidR="00046396" w:rsidRDefault="00046396" w:rsidP="009C1AD0">
      <w:pPr>
        <w:pStyle w:val="Submissionnumberedparagraph"/>
      </w:pPr>
      <w:r>
        <w:t>In terms of consideration of rights under the UNCRC, this provision is about a CA1989 placement of a looked after child with foster parents, rather than placement for adoption, however as the step of placing with foster parents envisaged by this provision may be a precursor to adoption, the Government has considered Article 21 of the UNCRC and of particular relevance is the requirement that States which operate a system of adoption should have the best interests of the child as their paramount concern.  It is important to note that this provision does not change the law relating to adoption. The legal position will still be that only adoption agencies, local authorities or registered adoption societies</w:t>
      </w:r>
      <w:r w:rsidR="00CE2FF3">
        <w:t>,</w:t>
      </w:r>
      <w:r>
        <w:t xml:space="preserve"> can make arrangements for adoption. Section 1 of the 2002 Act provides that the paramount consideration of the court or an adoption agency must be the child’s welfare throughout his life, and section 1(4) of that Act contains the “welfare checklist” which requires the court/adoption agency to have regard to the child’s wishes and feelings, needs, background and relevant characteristics etc. </w:t>
      </w:r>
      <w:r w:rsidRPr="00370640">
        <w:t>The Government has also considered Article 12 UNCRC in this context which relates to a child’s right to express his or her views and for such views to be given due weight according t</w:t>
      </w:r>
      <w:r>
        <w:t xml:space="preserve">o that child’s age </w:t>
      </w:r>
      <w:r>
        <w:lastRenderedPageBreak/>
        <w:t>and maturity.  The requirement to have regard to the child’s wishes and feelings under section 1(4) (which is not affected by this provision) is also releva</w:t>
      </w:r>
      <w:r w:rsidR="00C15095">
        <w:t xml:space="preserve">nt to that Article.  It is </w:t>
      </w:r>
      <w:r>
        <w:t>clear that the adoption system still has as its focus, the best interests of the child and clause 1 has not changed this.</w:t>
      </w:r>
    </w:p>
    <w:p w:rsidR="00046396" w:rsidRPr="005B7C97" w:rsidRDefault="00046396" w:rsidP="009C1AD0">
      <w:pPr>
        <w:pStyle w:val="Submissionnumberedparagraph"/>
      </w:pPr>
      <w:r>
        <w:t>In terms of the placement with foster parents who are prospective adopters under the CA 1989, section 22(3)(a) of that Act continues to be relevant to Article 3 UNCRC and the requirement that in all actions the best interests of the child should be the primary consideration. Section 22(3)(a) contains a duty to safeguard and promote the welfare of a child looked after by them. The Government has also considered Article 12 UNCRC in this context and notes that section 22(4) and (5) of the CA 1989 contain a duty to take the child’s wishes and feelings into account when placing him and this provision does not affect the operation of this requirement.  The Government is satisfied that this provision complies with the UNCRC in that regard.</w:t>
      </w:r>
    </w:p>
    <w:p w:rsidR="00046396" w:rsidRDefault="00046396" w:rsidP="00C0199F">
      <w:pPr>
        <w:pStyle w:val="Submissionnumberedparagraph"/>
        <w:numPr>
          <w:ilvl w:val="0"/>
          <w:numId w:val="0"/>
        </w:numPr>
        <w:rPr>
          <w:b/>
        </w:rPr>
      </w:pPr>
      <w:r w:rsidRPr="001F67C7">
        <w:rPr>
          <w:b/>
        </w:rPr>
        <w:t>Clause 2: Adoption Agencies: repeal of requirement to give due consideration</w:t>
      </w:r>
      <w:r>
        <w:rPr>
          <w:b/>
        </w:rPr>
        <w:t xml:space="preserve"> to ethnicity</w:t>
      </w:r>
    </w:p>
    <w:p w:rsidR="00046396" w:rsidRPr="00C0199F" w:rsidRDefault="00046396" w:rsidP="00C0199F">
      <w:pPr>
        <w:pStyle w:val="Submissionnumberedparagraph"/>
        <w:numPr>
          <w:ilvl w:val="0"/>
          <w:numId w:val="0"/>
        </w:numPr>
        <w:rPr>
          <w:i/>
        </w:rPr>
      </w:pPr>
      <w:r>
        <w:t xml:space="preserve">ECHR </w:t>
      </w:r>
    </w:p>
    <w:p w:rsidR="00046396" w:rsidRPr="00C0199F" w:rsidRDefault="00046396" w:rsidP="00C0199F">
      <w:pPr>
        <w:pStyle w:val="Submissionnumberedparagraph"/>
        <w:ind w:hanging="709"/>
        <w:rPr>
          <w:i/>
        </w:rPr>
      </w:pPr>
      <w:r w:rsidRPr="001F67C7">
        <w:t>This provision repeals, as it applies</w:t>
      </w:r>
      <w:r>
        <w:t xml:space="preserve"> in relation </w:t>
      </w:r>
      <w:r w:rsidRPr="001F67C7">
        <w:t xml:space="preserve">to England, the </w:t>
      </w:r>
      <w:r>
        <w:t xml:space="preserve">explicit </w:t>
      </w:r>
      <w:r w:rsidRPr="001F67C7">
        <w:t>requirement for adoption agencies to give due consideration to the child’s religious persuasion, racial origin an</w:t>
      </w:r>
      <w:r>
        <w:t>d cultural and linguistic background.  However, i</w:t>
      </w:r>
      <w:r w:rsidRPr="001F67C7">
        <w:t>n making the decision on who the child should be placed with</w:t>
      </w:r>
      <w:r>
        <w:t xml:space="preserve"> for adoption</w:t>
      </w:r>
      <w:r w:rsidRPr="001F67C7">
        <w:t>, the adoption agency will be required by section 1(2) and (4) o</w:t>
      </w:r>
      <w:r>
        <w:t xml:space="preserve">f the </w:t>
      </w:r>
      <w:r w:rsidRPr="001F67C7">
        <w:t xml:space="preserve">2002 </w:t>
      </w:r>
      <w:r>
        <w:t>Act t</w:t>
      </w:r>
      <w:r w:rsidRPr="001F67C7">
        <w:t>o give paramount consideration to the welfare of the child and to have regard to the child’s wishes and feelings, needs, background and any other relevant characteristics.  As such, consideration of the child’s religion and beliefs will continue to form part of the decision-making process as regards matching chil</w:t>
      </w:r>
      <w:r>
        <w:t>dren with suitable prospective a</w:t>
      </w:r>
      <w:r w:rsidRPr="001F67C7">
        <w:t>dopters.</w:t>
      </w:r>
      <w:r>
        <w:t xml:space="preserve">  T</w:t>
      </w:r>
      <w:r w:rsidRPr="001F67C7">
        <w:t>he Government is conscious that this repeal might raise concerns under Article 9 of the Convention,</w:t>
      </w:r>
      <w:r w:rsidRPr="00530D7E">
        <w:t xml:space="preserve"> </w:t>
      </w:r>
      <w:r>
        <w:t>in that w</w:t>
      </w:r>
      <w:r w:rsidRPr="00530D7E">
        <w:t>here a child holds a particular religion or belief prior to an adoptive placement, it might be argued that, if he is placed with prospective adopters who do not share those beliefs, he will not be able to manifest that religion or belief during the placem</w:t>
      </w:r>
      <w:r>
        <w:t>ent or post adoption. The Govern</w:t>
      </w:r>
      <w:r w:rsidRPr="00530D7E">
        <w:t xml:space="preserve">ment takes the view that this concern may be valid where the child is old enough to understand and to hold religious beliefs. In such cases clearly it will be for the adoption agency to take this into account and act compatibly with Article 9 when selecting suitable prospective adopters. </w:t>
      </w:r>
      <w:r w:rsidRPr="001F67C7">
        <w:t xml:space="preserve"> </w:t>
      </w:r>
      <w:r>
        <w:t xml:space="preserve">In any event, the Government </w:t>
      </w:r>
      <w:r w:rsidRPr="001F67C7">
        <w:t xml:space="preserve">is satisfied that this repeal is compatible with the ECHR.  </w:t>
      </w:r>
    </w:p>
    <w:p w:rsidR="00046396" w:rsidRPr="00C0199F" w:rsidRDefault="00046396" w:rsidP="00C0199F">
      <w:pPr>
        <w:pStyle w:val="Submissionnumberedparagraph"/>
        <w:numPr>
          <w:ilvl w:val="0"/>
          <w:numId w:val="0"/>
        </w:numPr>
        <w:rPr>
          <w:i/>
        </w:rPr>
      </w:pPr>
      <w:r>
        <w:t>UNCRC</w:t>
      </w:r>
    </w:p>
    <w:p w:rsidR="00046396" w:rsidRPr="00B7581A" w:rsidRDefault="00046396" w:rsidP="00B7581A">
      <w:pPr>
        <w:pStyle w:val="Submissionnumberedparagraph"/>
      </w:pPr>
      <w:r w:rsidRPr="00B7581A">
        <w:t>In r</w:t>
      </w:r>
      <w:r>
        <w:t>elation to the UNCRC, the Govern</w:t>
      </w:r>
      <w:r w:rsidRPr="00B7581A">
        <w:t>ment acknowledges the relevance of Article 14, and the same arguments apply in relation to that, as do in relation to ECHR Article 9.</w:t>
      </w:r>
    </w:p>
    <w:p w:rsidR="00046396" w:rsidRPr="00B7581A" w:rsidRDefault="00046396" w:rsidP="00B7581A">
      <w:pPr>
        <w:pStyle w:val="Submissionnumberedparagraph"/>
      </w:pPr>
      <w:r>
        <w:lastRenderedPageBreak/>
        <w:t xml:space="preserve">In relation to </w:t>
      </w:r>
      <w:r w:rsidRPr="00B7581A">
        <w:t>Article 20</w:t>
      </w:r>
      <w:r>
        <w:t xml:space="preserve"> UNCRC, the Gover</w:t>
      </w:r>
      <w:r w:rsidRPr="00B7581A">
        <w:t xml:space="preserve">nment is satisfied that the duties set out in section 1(2) and (4) of the 2002 Act require adoption agencies to give due regard to a child's "ethnic, religious, cultural and linguistic background" </w:t>
      </w:r>
      <w:r>
        <w:t xml:space="preserve">are </w:t>
      </w:r>
      <w:r w:rsidRPr="00B7581A">
        <w:t xml:space="preserve">in accordance with Article 20(3). </w:t>
      </w:r>
    </w:p>
    <w:p w:rsidR="00046396" w:rsidRPr="00B7581A" w:rsidRDefault="00046396" w:rsidP="00B7581A">
      <w:pPr>
        <w:pStyle w:val="Submissionnumberedparagraph"/>
      </w:pPr>
      <w:r>
        <w:t>Further, the Govern</w:t>
      </w:r>
      <w:r w:rsidRPr="00B7581A">
        <w:t>ment notes the concluding observations of the Committee on the Rights of the Child in 2008 : "</w:t>
      </w:r>
      <w:r w:rsidRPr="00530D7E">
        <w:rPr>
          <w:i/>
        </w:rPr>
        <w:t>The Committee is concerned that children of African descent and children of ethnic minorities sometimes face long period waiting for adoption by a family of the same ethnic origin. The Committee recommends that the State party strengthen its efforts to facilitate that children, always in their best interests, are adopted as speedily as possible, taking in due account, inter alia, their cultural background</w:t>
      </w:r>
      <w:r w:rsidRPr="00B7581A">
        <w:t>".</w:t>
      </w:r>
    </w:p>
    <w:p w:rsidR="00046396" w:rsidRPr="00B7581A" w:rsidRDefault="00046396" w:rsidP="00B7581A">
      <w:pPr>
        <w:pStyle w:val="Submissionnumberedparagraph"/>
      </w:pPr>
      <w:r w:rsidRPr="00B7581A">
        <w:t>The proposed legislation is designed specifically to tac</w:t>
      </w:r>
      <w:r>
        <w:t>kle this issue.</w:t>
      </w:r>
    </w:p>
    <w:p w:rsidR="00046396" w:rsidRDefault="00046396" w:rsidP="00C0199F">
      <w:pPr>
        <w:pStyle w:val="Submissionnumberedparagraph"/>
        <w:numPr>
          <w:ilvl w:val="0"/>
          <w:numId w:val="0"/>
        </w:numPr>
        <w:rPr>
          <w:b/>
        </w:rPr>
      </w:pPr>
      <w:r w:rsidRPr="001F67C7">
        <w:rPr>
          <w:b/>
        </w:rPr>
        <w:t>Clause 6: The Adoption and Children Act Register</w:t>
      </w:r>
    </w:p>
    <w:p w:rsidR="00046396" w:rsidRPr="00C0199F" w:rsidRDefault="00046396" w:rsidP="00C0199F">
      <w:pPr>
        <w:pStyle w:val="Submissionnumberedparagraph"/>
        <w:numPr>
          <w:ilvl w:val="0"/>
          <w:numId w:val="0"/>
        </w:numPr>
        <w:rPr>
          <w:i/>
        </w:rPr>
      </w:pPr>
      <w:r>
        <w:t>ECHR</w:t>
      </w:r>
    </w:p>
    <w:p w:rsidR="00046396" w:rsidRPr="001F67C7" w:rsidRDefault="00046396" w:rsidP="00530D7E">
      <w:pPr>
        <w:pStyle w:val="Submissionnumberedparagraph"/>
        <w:ind w:hanging="709"/>
        <w:rPr>
          <w:i/>
        </w:rPr>
      </w:pPr>
      <w:r w:rsidRPr="001F67C7">
        <w:t>The Government is satisfied that this provision, which will provide a power to make regulations to make provision enabling prospective adopters who are suitable to adopt a child to search and inspect the register for the purpose of assisting them to find a child appropriate for adoption, i</w:t>
      </w:r>
      <w:r w:rsidR="00C15095">
        <w:t>s compatible with the ECHR</w:t>
      </w:r>
      <w:r w:rsidRPr="001F67C7">
        <w:t>.  The Government accepts that there will be an interference with the Article 8 rights of the child</w:t>
      </w:r>
      <w:r>
        <w:t>,</w:t>
      </w:r>
      <w:r w:rsidRPr="001F67C7">
        <w:t xml:space="preserve"> however any interference is</w:t>
      </w:r>
      <w:r w:rsidR="00C15095">
        <w:t xml:space="preserve"> compatible with  the ECHR</w:t>
      </w:r>
      <w:r w:rsidRPr="001F67C7">
        <w:t xml:space="preserve"> in that it pursues the legitimate aim of speeding up the process for children who would benefit from being adopted, will be in compliance with a clear legislative framework relating to the collection, storage and disclosure of data, including the Data Protection Act 1998 and is proportionate in that there will be safeguards in place to prevent the unlawful processing of the personal data of the child.</w:t>
      </w:r>
    </w:p>
    <w:p w:rsidR="00046396" w:rsidRDefault="00046396" w:rsidP="00C0199F">
      <w:pPr>
        <w:pStyle w:val="Submissionnumberedparagraph"/>
        <w:numPr>
          <w:ilvl w:val="0"/>
          <w:numId w:val="0"/>
        </w:numPr>
        <w:rPr>
          <w:b/>
        </w:rPr>
      </w:pPr>
      <w:r w:rsidRPr="001F67C7">
        <w:rPr>
          <w:b/>
        </w:rPr>
        <w:t>Clauses 7 and 8: Contact (children in care of local authorities) and Contact (post adoption)</w:t>
      </w:r>
    </w:p>
    <w:p w:rsidR="00046396" w:rsidRPr="00C0199F" w:rsidRDefault="00046396" w:rsidP="00C0199F">
      <w:pPr>
        <w:pStyle w:val="Submissionnumberedparagraph"/>
        <w:numPr>
          <w:ilvl w:val="0"/>
          <w:numId w:val="0"/>
        </w:numPr>
        <w:rPr>
          <w:i/>
        </w:rPr>
      </w:pPr>
      <w:r>
        <w:t>ECHR</w:t>
      </w:r>
    </w:p>
    <w:p w:rsidR="00046396" w:rsidRPr="005B7C97" w:rsidRDefault="00046396" w:rsidP="00C0199F">
      <w:pPr>
        <w:pStyle w:val="Submissionnumberedparagraph"/>
      </w:pPr>
      <w:r w:rsidRPr="005B7C97">
        <w:t xml:space="preserve">These provisions have the aim of preventing the disruption to an adoptive placement that birth parents or other birth relatives may cause by inappropriate contact with the adopted child.  The Government has considered the Article 6 and 8 rights of the birth parents and the Article 8 rights of the child.  The Government is satisfied that these provisions are compatible with the ECHR.  </w:t>
      </w:r>
    </w:p>
    <w:p w:rsidR="00046396" w:rsidRPr="001F67C7" w:rsidRDefault="00046396" w:rsidP="00C0199F">
      <w:pPr>
        <w:pStyle w:val="Submissionnumberedparagraph"/>
        <w:ind w:hanging="709"/>
        <w:rPr>
          <w:i/>
        </w:rPr>
      </w:pPr>
      <w:r w:rsidRPr="001F67C7">
        <w:t>In terms of the Article 6 rights of the birth parents where the child is in the care of the local authority, the birth parents retain the same rights to be involved in the process that may lead to adoption, so therefore the Government is satis</w:t>
      </w:r>
      <w:r>
        <w:t xml:space="preserve">fied that the provisions are </w:t>
      </w:r>
      <w:r w:rsidRPr="001F67C7">
        <w:t xml:space="preserve">compatible with the birth parents’ ECHR rights.  </w:t>
      </w:r>
    </w:p>
    <w:p w:rsidR="00046396" w:rsidRPr="001F67C7" w:rsidRDefault="00046396" w:rsidP="00C0199F">
      <w:pPr>
        <w:pStyle w:val="Submissionnumberedparagraph"/>
        <w:ind w:hanging="709"/>
        <w:rPr>
          <w:i/>
        </w:rPr>
      </w:pPr>
      <w:r w:rsidRPr="001F67C7">
        <w:lastRenderedPageBreak/>
        <w:t>In terms of the Article 8 rights of the birth parents when the child is in local authority care, there will still be a duty on local authorities under section 34 of the C</w:t>
      </w:r>
      <w:r w:rsidR="00CE2FF3">
        <w:t>A 1989</w:t>
      </w:r>
      <w:r w:rsidRPr="001F67C7">
        <w:t xml:space="preserve"> to allow the child reasonable contact with this parents and local authorities may only refuse contact where it is necessary to safeguard and promote the child’s welfare and then for a limited period of </w:t>
      </w:r>
      <w:r>
        <w:t>time during with the authority may seek an order for no contact</w:t>
      </w:r>
      <w:r w:rsidRPr="001F67C7">
        <w:t>.  In light of this the Government is satisfied that these provisions are compatibl</w:t>
      </w:r>
      <w:r>
        <w:t>e with the parents’ Convention r</w:t>
      </w:r>
      <w:r w:rsidRPr="001F67C7">
        <w:t>ights.</w:t>
      </w:r>
    </w:p>
    <w:p w:rsidR="00046396" w:rsidRDefault="00046396" w:rsidP="00C0199F">
      <w:pPr>
        <w:pStyle w:val="Submissionnumberedparagraph"/>
      </w:pPr>
      <w:r w:rsidRPr="005B7C97">
        <w:t>In terms of decisions about contact at the adoption order hearing or once the child is adopted, whilst clause 8 allows adopted parents to apply for an order to prevent future contact between the child and that child's birth parents or other members of the child's birth family, those members of the birth family will, if leave of the court is obtained, be able to apply to the court for contact with the child and when deciding whether to make an order about contact the child's welfare throughout their life will be the c</w:t>
      </w:r>
      <w:r>
        <w:t>ourt's paramount consideration</w:t>
      </w:r>
      <w:r w:rsidRPr="005B7C97">
        <w:t>.  The Government is therefore satisfied that any interference with the birth parents' Article 8 rights has a legitimate aim and is proportionate.</w:t>
      </w:r>
    </w:p>
    <w:p w:rsidR="00046396" w:rsidRDefault="00046396" w:rsidP="00B7581A">
      <w:pPr>
        <w:pStyle w:val="Submissionnumberedparagraph"/>
        <w:numPr>
          <w:ilvl w:val="0"/>
          <w:numId w:val="0"/>
        </w:numPr>
        <w:ind w:left="142"/>
      </w:pPr>
      <w:r>
        <w:t>UNCRC</w:t>
      </w:r>
    </w:p>
    <w:p w:rsidR="00046396" w:rsidRPr="005B7C97" w:rsidRDefault="00046396" w:rsidP="008D0E51">
      <w:pPr>
        <w:pStyle w:val="Submissionnumberedparagraph"/>
      </w:pPr>
      <w:r>
        <w:t>The Government acknowledges the relevance of Article 9 of the UNCRC to this provision, and the same points apply in relation to it as in relation to Articles 6 and 8 of the ECHR.  The Government is satisfied that the amendments being made by the clauses have as their focus the best interests of the child.</w:t>
      </w:r>
    </w:p>
    <w:p w:rsidR="00046396" w:rsidRPr="001F67C7" w:rsidRDefault="00046396" w:rsidP="00C0199F">
      <w:pPr>
        <w:pStyle w:val="Submissionnumberedparagraph"/>
        <w:numPr>
          <w:ilvl w:val="0"/>
          <w:numId w:val="0"/>
        </w:numPr>
        <w:rPr>
          <w:b/>
        </w:rPr>
      </w:pPr>
      <w:r w:rsidRPr="001F67C7">
        <w:rPr>
          <w:b/>
        </w:rPr>
        <w:t>Family Justice</w:t>
      </w:r>
    </w:p>
    <w:p w:rsidR="00046396" w:rsidRDefault="00046396" w:rsidP="00C0199F">
      <w:pPr>
        <w:pStyle w:val="Submissionnumberedparagraph"/>
        <w:numPr>
          <w:ilvl w:val="0"/>
          <w:numId w:val="0"/>
        </w:numPr>
        <w:rPr>
          <w:b/>
        </w:rPr>
      </w:pPr>
      <w:r w:rsidRPr="001F67C7">
        <w:rPr>
          <w:b/>
        </w:rPr>
        <w:t>Clause 10: Family Mediation Information and Assessment Meetings</w:t>
      </w:r>
    </w:p>
    <w:p w:rsidR="00046396" w:rsidRPr="00C0199F" w:rsidRDefault="00046396" w:rsidP="00C0199F">
      <w:pPr>
        <w:pStyle w:val="Submissionnumberedparagraph"/>
        <w:numPr>
          <w:ilvl w:val="0"/>
          <w:numId w:val="0"/>
        </w:numPr>
      </w:pPr>
      <w:r>
        <w:t>ECHR</w:t>
      </w:r>
    </w:p>
    <w:p w:rsidR="00046396" w:rsidRPr="00C0199F" w:rsidRDefault="00046396" w:rsidP="00C0199F">
      <w:pPr>
        <w:pStyle w:val="Submissionnumberedparagraph"/>
        <w:ind w:hanging="709"/>
        <w:rPr>
          <w:i/>
        </w:rPr>
      </w:pPr>
      <w:r w:rsidRPr="001F67C7">
        <w:t>The Government has considered in particular Article 6 of the Convention in light of this provision and whether the requirement to attend such a meeting before making a “relevant family application” is compatible with Article 6.  The Government is satisfied that this provision does not restrict the essence of the right of access to a court. It is proportionate in that the requirement to attend such a meeting would not apply in cases where the matter should be brought urgently to the court or where attending such a meeting would otherwise be inappropriate. The Government is, therefore of the view, that the provision is compatible with Article 6 of the Convention.</w:t>
      </w:r>
    </w:p>
    <w:p w:rsidR="00046396" w:rsidRPr="00F75775" w:rsidRDefault="00046396" w:rsidP="007A1486">
      <w:pPr>
        <w:pStyle w:val="Submissionnumberedparagraph"/>
        <w:numPr>
          <w:ilvl w:val="0"/>
          <w:numId w:val="0"/>
        </w:numPr>
        <w:rPr>
          <w:i/>
        </w:rPr>
      </w:pPr>
      <w:r>
        <w:t>UNCRC</w:t>
      </w:r>
    </w:p>
    <w:p w:rsidR="00046396" w:rsidRPr="00F75775" w:rsidRDefault="00046396" w:rsidP="007A1486">
      <w:pPr>
        <w:pStyle w:val="Submissionnumberedparagraph"/>
      </w:pPr>
      <w:r>
        <w:t>The Government notes that n</w:t>
      </w:r>
      <w:r w:rsidRPr="00F75775">
        <w:t xml:space="preserve">ot all cases to which the requirement to attend a mediation information and assessment meeting applies will involve disputes in </w:t>
      </w:r>
      <w:r w:rsidRPr="00F75775">
        <w:lastRenderedPageBreak/>
        <w:t>relation to children. For example, there could be a financial dispute between a divorcing couple who have no children.</w:t>
      </w:r>
    </w:p>
    <w:p w:rsidR="00046396" w:rsidRPr="00F75775" w:rsidRDefault="00046396" w:rsidP="00F75775">
      <w:pPr>
        <w:pStyle w:val="Submissionnumberedparagraph"/>
        <w:rPr>
          <w:i/>
        </w:rPr>
      </w:pPr>
      <w:r w:rsidRPr="007A1486">
        <w:t>If a case does involve a c</w:t>
      </w:r>
      <w:r>
        <w:t xml:space="preserve">hild, then Articles 3, 9 </w:t>
      </w:r>
      <w:r w:rsidRPr="007A1486">
        <w:t xml:space="preserve">UNCRC </w:t>
      </w:r>
      <w:r>
        <w:t>are relevant</w:t>
      </w:r>
      <w:r w:rsidRPr="00F75775">
        <w:rPr>
          <w:i/>
        </w:rPr>
        <w:t xml:space="preserve">. </w:t>
      </w:r>
    </w:p>
    <w:p w:rsidR="00046396" w:rsidRPr="007A1486" w:rsidRDefault="00046396" w:rsidP="00F75775">
      <w:pPr>
        <w:pStyle w:val="Submissionnumberedparagraph"/>
      </w:pPr>
      <w:r w:rsidRPr="007A1486">
        <w:t>As regards Article 3 (in all actions concerning a child the best interests of the child shall be a primar</w:t>
      </w:r>
      <w:r>
        <w:t>y consideration), the Government</w:t>
      </w:r>
      <w:r w:rsidRPr="007A1486">
        <w:t xml:space="preserve"> does not consider that the requirement to attend a mediation information and assessment meeting in any way detracts from the application and importance of existing statutory provisions relating to the best interests of the child (for example, in section 1 C</w:t>
      </w:r>
      <w:r w:rsidR="00CE2FF3">
        <w:t xml:space="preserve">A </w:t>
      </w:r>
      <w:r w:rsidRPr="007A1486">
        <w:t>1989).</w:t>
      </w:r>
    </w:p>
    <w:p w:rsidR="00046396" w:rsidRPr="007A1486" w:rsidRDefault="00046396" w:rsidP="00F75775">
      <w:pPr>
        <w:pStyle w:val="Submissionnumberedparagraph"/>
      </w:pPr>
      <w:r>
        <w:t>As regards Article 9, the Govern</w:t>
      </w:r>
      <w:r w:rsidRPr="007A1486">
        <w:t>ment does not consider that any very short delay in bringing proceedings to court which could result from first having to attend a mediation information and assessment meeting would amount to a breach of Article 9 obligations, especially as, as noted above, there will be exemptions from the requirement to attend a meeting in truly urgent cases.</w:t>
      </w:r>
    </w:p>
    <w:p w:rsidR="00046396" w:rsidRDefault="00046396" w:rsidP="00C0199F">
      <w:pPr>
        <w:pStyle w:val="Submissionnumberedparagraph"/>
        <w:numPr>
          <w:ilvl w:val="0"/>
          <w:numId w:val="0"/>
        </w:numPr>
        <w:rPr>
          <w:b/>
        </w:rPr>
      </w:pPr>
      <w:r w:rsidRPr="006D076F">
        <w:rPr>
          <w:b/>
        </w:rPr>
        <w:t>Clause 11: Welfare of the child: parental involvement</w:t>
      </w:r>
    </w:p>
    <w:p w:rsidR="00046396" w:rsidRPr="006D076F" w:rsidRDefault="00046396" w:rsidP="00C0199F">
      <w:pPr>
        <w:pStyle w:val="Submissionnumberedparagraph"/>
        <w:numPr>
          <w:ilvl w:val="0"/>
          <w:numId w:val="0"/>
        </w:numPr>
      </w:pPr>
      <w:r>
        <w:t>ECHR</w:t>
      </w:r>
    </w:p>
    <w:p w:rsidR="00046396" w:rsidRDefault="00046396" w:rsidP="006D076F">
      <w:pPr>
        <w:pStyle w:val="Submissionnumberedparagraph"/>
      </w:pPr>
      <w:r>
        <w:t>The Government recognises that the presumption inserted into section 1 C</w:t>
      </w:r>
      <w:r w:rsidR="002419A5">
        <w:t xml:space="preserve">A </w:t>
      </w:r>
      <w:r>
        <w:t>1989 by this clause engages Article 8 ECHR.  However, as all decisions the presumption applies to will still be made on the basis of the child’s welfare being the paramount concern and as the court (as a public body) will have to act compatibly with the ECHR when making such decisions, the Government is satisfied that the provisions are compatible with rights under Article 8.</w:t>
      </w:r>
    </w:p>
    <w:p w:rsidR="00046396" w:rsidRDefault="00046396" w:rsidP="006D076F">
      <w:pPr>
        <w:pStyle w:val="Submissionnumberedparagraph"/>
        <w:numPr>
          <w:ilvl w:val="0"/>
          <w:numId w:val="0"/>
        </w:numPr>
        <w:ind w:left="142"/>
      </w:pPr>
      <w:r>
        <w:t>UNCRC</w:t>
      </w:r>
    </w:p>
    <w:p w:rsidR="00046396" w:rsidRDefault="00046396" w:rsidP="006D076F">
      <w:pPr>
        <w:pStyle w:val="Submissionnumberedparagraph"/>
      </w:pPr>
      <w:r>
        <w:t xml:space="preserve">Articles 3, 9 and 12 of the UNCRC are relevant to clause 11.  It might be thought that clause 11 may encourage the court to order that a child spend time with or reside with more than one parent, and as a result may cause the separation of that child from the other parent for a period of time against his will in contravention of Article 9 of the UNCRC. However, in the event that a court makes an order that a child is to spend time with or reside with more than one parent, it will only have done so after a careful consideration of the best interests of the child (bearing in mind that the child's welfare is the paramount consideration), and once it is satisfied that the involvement in that child's life of both parents is (a) without risk of harm to the child and (b) in the child's best interests. Any such order will therefore be compliant with Article 9 UNCRC and also with Article 3 of the UNCRC which requires that in all actions concerning children the best interests of the child shall be a primary consideration.  Further, because such decisions will, on the whole, be those in respect of which the court has to have regard to the factors in the ‘welfare </w:t>
      </w:r>
      <w:r>
        <w:lastRenderedPageBreak/>
        <w:t>checklist’</w:t>
      </w:r>
      <w:r>
        <w:rPr>
          <w:rStyle w:val="FootnoteReference"/>
        </w:rPr>
        <w:footnoteReference w:id="1"/>
      </w:r>
      <w:r>
        <w:t xml:space="preserve"> (which include having particular regard to the ascertainable wishes and feelings of the child), this clause also complies with Article 12.</w:t>
      </w:r>
    </w:p>
    <w:p w:rsidR="00046396" w:rsidRDefault="00046396" w:rsidP="006D076F">
      <w:pPr>
        <w:pStyle w:val="Submissionnumberedparagraph"/>
        <w:rPr>
          <w:b/>
        </w:rPr>
      </w:pPr>
      <w:r>
        <w:rPr>
          <w:b/>
        </w:rPr>
        <w:t>Clause 13: Control of expert evidence, and of assessments, in children proceedings</w:t>
      </w:r>
    </w:p>
    <w:p w:rsidR="00046396" w:rsidRPr="006D076F" w:rsidRDefault="00046396" w:rsidP="006D076F">
      <w:pPr>
        <w:pStyle w:val="Submissionnumberedparagraph"/>
        <w:numPr>
          <w:ilvl w:val="0"/>
          <w:numId w:val="0"/>
        </w:numPr>
        <w:ind w:left="142"/>
      </w:pPr>
      <w:r>
        <w:t>ECHR</w:t>
      </w:r>
    </w:p>
    <w:p w:rsidR="00046396" w:rsidRDefault="00046396" w:rsidP="006E2F55">
      <w:pPr>
        <w:pStyle w:val="Submissionnumberedparagraph"/>
      </w:pPr>
      <w:r>
        <w:t>Whilst there is a possibility that an argument could be made that restrictions on the ability to provide expert evidence and admit such evidence to court raises Article 6 and Article 8 issues, the Government is of the view that it is highly unlikely that such arguments would be successful as such restriction on using expert evidence does not limit access to the court.  Further, there is not an unrestricted right to procure and adduce expert evidence.  The Government's view is that the clause is in pursuit of the legitimate aim of ensuring that such proceedings are not subject to undue delay or excessive cost, and of balancing the rights of the child with those of the parents, and that this is borne out by case</w:t>
      </w:r>
      <w:r w:rsidR="002419A5">
        <w:t xml:space="preserve"> </w:t>
      </w:r>
      <w:r>
        <w:t xml:space="preserve">law in relation to existing provisions. </w:t>
      </w:r>
    </w:p>
    <w:p w:rsidR="00046396" w:rsidRDefault="00046396" w:rsidP="006E2F55">
      <w:pPr>
        <w:pStyle w:val="Submissionnumberedparagraph"/>
      </w:pPr>
      <w:r>
        <w:t xml:space="preserve"> The Government is therefore satisfied that introducing a requirement for permission to commission expert evidence, for an examination or assessment of the child for the purposes of the provision of such evidence or for</w:t>
      </w:r>
      <w:r w:rsidR="00C15095">
        <w:t xml:space="preserve"> expert evidence to be adduced </w:t>
      </w:r>
      <w:r>
        <w:t>and principles for determining whether such permission should be given, as set out in clause 13, would not amount to a breach of rights under Article 6 or 8 ECHR.</w:t>
      </w:r>
    </w:p>
    <w:p w:rsidR="00046396" w:rsidRPr="006D076F" w:rsidRDefault="00046396" w:rsidP="006D076F">
      <w:pPr>
        <w:pStyle w:val="Submissionnumberedparagraph"/>
        <w:numPr>
          <w:ilvl w:val="0"/>
          <w:numId w:val="0"/>
        </w:numPr>
        <w:ind w:left="142"/>
      </w:pPr>
      <w:r>
        <w:t>UNCRC</w:t>
      </w:r>
    </w:p>
    <w:p w:rsidR="00046396" w:rsidRDefault="00046396" w:rsidP="006D076F">
      <w:pPr>
        <w:pStyle w:val="Submissionnumberedparagraph"/>
      </w:pPr>
      <w:r>
        <w:t>The two a</w:t>
      </w:r>
      <w:r w:rsidR="00C15095">
        <w:t>rticles of the UNCRC of relevan</w:t>
      </w:r>
      <w:r>
        <w:t xml:space="preserve">ce in relation to this clause are Articles 3(1) and 12. </w:t>
      </w:r>
    </w:p>
    <w:p w:rsidR="00046396" w:rsidRDefault="00046396" w:rsidP="006D076F">
      <w:pPr>
        <w:pStyle w:val="Submissionnumberedparagraph"/>
      </w:pPr>
      <w:r>
        <w:t>In relation to Article 3(1) the Government recognises the importance of the welfare of the child in relation to the court's decisions relating to permission for expert evidence to be obtained or used. Subsection (7) expressly provides that when deciding whether to give permission the court is to have particular regard to any impact which giving permission would be likely to have on the welfare of the child concerned, including any impact which any examination or other assessment would be likely to have on the welfare of the child who would be examined or assessed. In addition, by virtue of subsection (6) the expert evidence is to be necessary to avoid the child being subjected to unnecessary examinations or assessments or the final decision in the proceedings being delayed as a result of waiting on unnecessary expert evidence. The court's control of expert evidence provided in the clause permits the court to balance the interests of the child and the parent when reaching a decision about the expert evidence to be permitted so that the court will have before it the necessary evidence to assist its determination of what is in the child's best interest when it is making the final decision in the proceedings.</w:t>
      </w:r>
    </w:p>
    <w:p w:rsidR="00046396" w:rsidRDefault="00046396" w:rsidP="006E2F55">
      <w:pPr>
        <w:pStyle w:val="Submissionnumberedparagraph"/>
      </w:pPr>
      <w:r>
        <w:lastRenderedPageBreak/>
        <w:t>With regard to Article 12, the clause does not change the court</w:t>
      </w:r>
      <w:r w:rsidR="002419A5">
        <w:t>’</w:t>
      </w:r>
      <w:r>
        <w:t>s duty to have regard to matters in the welfare checklist including the ascertainable wishes and feelings of the child concerned (s</w:t>
      </w:r>
      <w:r w:rsidR="002419A5">
        <w:t xml:space="preserve">ection </w:t>
      </w:r>
      <w:r>
        <w:t xml:space="preserve">1(3)(a) of the CA 1989) when the court is considering whether to make a care order or other orders referred to in section 1(4) of the CA 1989. The clause itself ensures that the child's position, circumstances and views about being examined or assessed will be taken into account when the court is deciding whether to give permission for expert evidence to be obtained or used as the court must consider the impact which giving permission is likely to have on the welfare of the child and any impact which an examination or assessment is likely to have on the welfare of the child. In addition, the clause does not change the role of the child's guardian and solicitor in all public law proceedings and private law proceedings ( where the child is a party) of representing the child's wishes and feelings to the court. </w:t>
      </w:r>
    </w:p>
    <w:p w:rsidR="00046396" w:rsidRDefault="00046396" w:rsidP="00C0199F">
      <w:pPr>
        <w:pStyle w:val="Submissionnumberedparagraph"/>
        <w:numPr>
          <w:ilvl w:val="0"/>
          <w:numId w:val="0"/>
        </w:numPr>
        <w:rPr>
          <w:b/>
        </w:rPr>
      </w:pPr>
      <w:r w:rsidRPr="001F67C7">
        <w:rPr>
          <w:b/>
        </w:rPr>
        <w:t>Clause 14: Care, Supervision and other family proceedings: time limits and timetables</w:t>
      </w:r>
    </w:p>
    <w:p w:rsidR="00046396" w:rsidRPr="00C0199F" w:rsidRDefault="00046396" w:rsidP="00C0199F">
      <w:pPr>
        <w:pStyle w:val="Submissionnumberedparagraph"/>
        <w:numPr>
          <w:ilvl w:val="0"/>
          <w:numId w:val="0"/>
        </w:numPr>
        <w:rPr>
          <w:i/>
        </w:rPr>
      </w:pPr>
      <w:r>
        <w:t>ECHR</w:t>
      </w:r>
    </w:p>
    <w:p w:rsidR="00046396" w:rsidRDefault="00046396" w:rsidP="000043CE">
      <w:pPr>
        <w:pStyle w:val="Submissionnumberedparagraph"/>
        <w:ind w:hanging="709"/>
      </w:pPr>
      <w:r w:rsidRPr="001F67C7">
        <w:t>This provision is intended to reduce the current delays experienced in care and supervision proceedings, and to ensure that cases involving care and supervision orders are more actively and better managed and progressed more swiftly.  The Government has, in parti</w:t>
      </w:r>
      <w:r>
        <w:t>cular, considered Article 6 of the Convention. The European Court of Human Rights has made clear that the efforts of the judicial authorities to expedite proceedings as much as possible play an important part in ensuring that applicants receive the guarantees contained within Article 6</w:t>
      </w:r>
      <w:r>
        <w:rPr>
          <w:rStyle w:val="FootnoteReference"/>
        </w:rPr>
        <w:footnoteReference w:id="2"/>
      </w:r>
      <w:r>
        <w:t xml:space="preserve"> . The imposition of a requirement that an application should be disposed of without delay, and in any event within a 26 week time limit, will not affect an individual's right of access to the court. A potential concern is that the time limit could impinge upon an applicant's right to a "fair" hearing in contravention of Article 6 ECHR. There may be a concern that in certain cases 26 weeks will not be a sufficient length of time in order to enable a court to fairly dispose of a case. </w:t>
      </w:r>
      <w:r w:rsidRPr="001F67C7">
        <w:t>The Government acknowledges that there may be cases where 26 weeks will not be a sufficient length of time to enable a court to fairly dispose of a case.  Clause 14 recognises this and affords the court discretion to extend time where it is of the opinion that the extension is necessary to enable the court to r</w:t>
      </w:r>
      <w:r w:rsidR="00C15095">
        <w:t xml:space="preserve">esolve the proceedings justly. </w:t>
      </w:r>
      <w:r>
        <w:tab/>
        <w:t xml:space="preserve"> </w:t>
      </w:r>
    </w:p>
    <w:p w:rsidR="00046396" w:rsidRDefault="00046396" w:rsidP="000043CE">
      <w:pPr>
        <w:pStyle w:val="Submissionnumberedparagraph"/>
        <w:ind w:hanging="709"/>
      </w:pPr>
      <w:r>
        <w:t xml:space="preserve">The clause allows extensions of up to eight weeks at a time to be granted, and importantly further places no limit on the number of extensions that may be granted. This safeguard ensures that for the minority of cases which cannot be decided justly within the 26 week period, the court will have the power to extend time as necessary. </w:t>
      </w:r>
    </w:p>
    <w:p w:rsidR="00046396" w:rsidRDefault="00046396" w:rsidP="000043CE">
      <w:pPr>
        <w:pStyle w:val="Submissionnumberedparagraph"/>
        <w:ind w:hanging="709"/>
      </w:pPr>
      <w:r>
        <w:t xml:space="preserve">There are further safeguards to enable the court to grant an extension after the expiry of the 26 week deadline in the rare occasion where a court deadline has </w:t>
      </w:r>
      <w:r>
        <w:lastRenderedPageBreak/>
        <w:t xml:space="preserve">accidentally elapsed with no order having been made to extend time in order to protect the rights of all parties involved. </w:t>
      </w:r>
    </w:p>
    <w:p w:rsidR="00046396" w:rsidRDefault="00046396" w:rsidP="000043CE">
      <w:pPr>
        <w:pStyle w:val="Submissionnumberedparagraph"/>
        <w:ind w:hanging="709"/>
      </w:pPr>
      <w:r>
        <w:t xml:space="preserve">Further, the process by which an extension can be sought by the parties will be set out in Court Rules and there will be a right of appeal against the decision to extend, or not to extend the time limit. We anticipate that a specific process for this will be addressed by amendment to the Appeals Practice Direction . </w:t>
      </w:r>
    </w:p>
    <w:p w:rsidR="00046396" w:rsidRPr="001F67C7" w:rsidRDefault="00046396" w:rsidP="000043CE">
      <w:pPr>
        <w:pStyle w:val="Submissionnumberedparagraph"/>
        <w:ind w:hanging="709"/>
        <w:rPr>
          <w:i/>
        </w:rPr>
      </w:pPr>
      <w:r w:rsidRPr="001F67C7">
        <w:t>In light of this the Government is of the view that clause 14 will not unlawfully interfere with an individual’s right to a fair hearing in accordance with Article 6 of the ECHR</w:t>
      </w:r>
      <w:r>
        <w:t>.</w:t>
      </w:r>
    </w:p>
    <w:p w:rsidR="00046396" w:rsidRPr="001F67C7" w:rsidRDefault="00046396" w:rsidP="00C0199F">
      <w:pPr>
        <w:pStyle w:val="Submissionnumberedparagraph"/>
        <w:numPr>
          <w:ilvl w:val="0"/>
          <w:numId w:val="0"/>
        </w:numPr>
        <w:rPr>
          <w:b/>
        </w:rPr>
      </w:pPr>
      <w:r w:rsidRPr="001F67C7">
        <w:rPr>
          <w:b/>
        </w:rPr>
        <w:t>Children and Young People in England with Special Educational Needs</w:t>
      </w:r>
    </w:p>
    <w:p w:rsidR="00046396" w:rsidRDefault="00046396" w:rsidP="000043CE">
      <w:pPr>
        <w:pStyle w:val="Submissionnumberedparagraph"/>
        <w:numPr>
          <w:ilvl w:val="0"/>
          <w:numId w:val="0"/>
        </w:numPr>
        <w:rPr>
          <w:b/>
        </w:rPr>
      </w:pPr>
      <w:r>
        <w:t>ECHR</w:t>
      </w:r>
      <w:r w:rsidRPr="000043CE">
        <w:rPr>
          <w:b/>
        </w:rPr>
        <w:t xml:space="preserve"> </w:t>
      </w:r>
    </w:p>
    <w:p w:rsidR="00046396" w:rsidRPr="000043CE" w:rsidRDefault="00046396" w:rsidP="00C0199F">
      <w:pPr>
        <w:pStyle w:val="Submissionnumberedparagraph"/>
        <w:numPr>
          <w:ilvl w:val="0"/>
          <w:numId w:val="0"/>
        </w:numPr>
        <w:rPr>
          <w:b/>
        </w:rPr>
      </w:pPr>
      <w:r w:rsidRPr="001F67C7">
        <w:rPr>
          <w:b/>
        </w:rPr>
        <w:t>Clause 51: Mediation</w:t>
      </w:r>
    </w:p>
    <w:p w:rsidR="00046396" w:rsidRPr="000043CE" w:rsidRDefault="00046396" w:rsidP="006E2F55">
      <w:pPr>
        <w:pStyle w:val="Submissionnumberedparagraph"/>
        <w:rPr>
          <w:i/>
        </w:rPr>
      </w:pPr>
      <w:r w:rsidRPr="005B7C97">
        <w:t>This provision requires a parent or young person who is considering appealing a decision in r</w:t>
      </w:r>
      <w:r>
        <w:t>espect of educational provision</w:t>
      </w:r>
      <w:r w:rsidRPr="005B7C97">
        <w:t xml:space="preserve"> to participate in a </w:t>
      </w:r>
      <w:r>
        <w:t>discussion about the benefits of mediation</w:t>
      </w:r>
      <w:r w:rsidRPr="005B7C97">
        <w:t xml:space="preserve">.  The Government has considered this provision in light of Article 6 and is satisfied that it complies with this Article.  The Government does not accept that the right being determined is a civil right for the purposes of Article 6.  The right to education is narrow.  It is a right not to be denied access to education not a right to the type of education a person may desire.  Even if it were considered a civil right, the requirement to participate in a mediation information discussion </w:t>
      </w:r>
      <w:r>
        <w:t xml:space="preserve">is considered proportionate.  The provision </w:t>
      </w:r>
      <w:r w:rsidRPr="005B7C97">
        <w:t>will not restrict access to a fair hearing as the requirement is simply for the potential appellant to participate in a brief discussion with a mediation company in which that person is informed of mediation as an option; there is no requirement to attend mediation.  The Government is satisfied that there should not be any delay or barrier to the appe</w:t>
      </w:r>
      <w:r>
        <w:t>al process caused by the provision.</w:t>
      </w:r>
    </w:p>
    <w:p w:rsidR="00046396" w:rsidRPr="00C0199F" w:rsidRDefault="00046396" w:rsidP="00C0199F">
      <w:pPr>
        <w:pStyle w:val="Submissionnumberedparagraph"/>
        <w:numPr>
          <w:ilvl w:val="0"/>
          <w:numId w:val="0"/>
        </w:numPr>
        <w:ind w:left="142"/>
        <w:rPr>
          <w:i/>
        </w:rPr>
      </w:pPr>
      <w:r>
        <w:t>UNCRC</w:t>
      </w:r>
    </w:p>
    <w:p w:rsidR="00046396" w:rsidRDefault="00046396" w:rsidP="00C55575">
      <w:pPr>
        <w:pStyle w:val="Submissionnumberedparagraph"/>
      </w:pPr>
      <w:r w:rsidRPr="005B7C97">
        <w:t xml:space="preserve"> </w:t>
      </w:r>
      <w:r>
        <w:t xml:space="preserve">The SEN provisions seek to place children and young persons at the forefront of the new processes.  This is reflected in the opening clause to the Part which requires a local authority when exercising a function under the Part to have regard to factors including the views, wishes and feelings of the child, their parent or young person and to ensure that the child or young person participates as fully as possible.  </w:t>
      </w:r>
    </w:p>
    <w:p w:rsidR="00046396" w:rsidRDefault="00046396" w:rsidP="00C55575">
      <w:pPr>
        <w:pStyle w:val="Submissionnumberedparagraph"/>
      </w:pPr>
      <w:r>
        <w:t>This theme is continued throughout the Part, so for example, the local authority is required to consult the children and young persons when keeping its education and care provision under review (clause 27) and when preparing and reviewing the local offer (clause 30).  This is also in keeping with Article 12 of the UNCRC which requires that the child's views are considered and given appropriate weight.</w:t>
      </w:r>
      <w:r w:rsidRPr="00C55575">
        <w:rPr>
          <w:i/>
        </w:rPr>
        <w:t xml:space="preserve"> </w:t>
      </w:r>
    </w:p>
    <w:p w:rsidR="00046396" w:rsidRPr="000043CE" w:rsidRDefault="00046396" w:rsidP="000043CE">
      <w:pPr>
        <w:pStyle w:val="Submissionnumberedparagraph"/>
        <w:numPr>
          <w:ilvl w:val="0"/>
          <w:numId w:val="0"/>
        </w:numPr>
        <w:ind w:left="142"/>
        <w:rPr>
          <w:b/>
        </w:rPr>
      </w:pPr>
      <w:r w:rsidRPr="000043CE">
        <w:rPr>
          <w:b/>
        </w:rPr>
        <w:lastRenderedPageBreak/>
        <w:t>Clause</w:t>
      </w:r>
      <w:r w:rsidR="005809F2">
        <w:rPr>
          <w:b/>
        </w:rPr>
        <w:t>s</w:t>
      </w:r>
      <w:r w:rsidRPr="000043CE">
        <w:rPr>
          <w:b/>
        </w:rPr>
        <w:t xml:space="preserve"> 5</w:t>
      </w:r>
      <w:r>
        <w:rPr>
          <w:b/>
        </w:rPr>
        <w:t>3</w:t>
      </w:r>
      <w:r w:rsidRPr="000043CE">
        <w:rPr>
          <w:b/>
        </w:rPr>
        <w:t xml:space="preserve"> </w:t>
      </w:r>
      <w:r w:rsidR="005809F2">
        <w:rPr>
          <w:b/>
        </w:rPr>
        <w:t>and 54</w:t>
      </w:r>
      <w:r w:rsidRPr="000043CE">
        <w:rPr>
          <w:b/>
        </w:rPr>
        <w:t>- Direct Right of Appeal for Children</w:t>
      </w:r>
    </w:p>
    <w:p w:rsidR="00046396" w:rsidRDefault="00046396" w:rsidP="00DB3F6A">
      <w:pPr>
        <w:pStyle w:val="Submissionnumberedparagraph"/>
      </w:pPr>
      <w:r>
        <w:t>The UN Committee’s 2008 concluding observations included an expression of concern about the participation of children in all aspects of schooling, including SEN appeals to the First Tier Tribunal.  Clause</w:t>
      </w:r>
      <w:r w:rsidR="005809F2">
        <w:t>s</w:t>
      </w:r>
      <w:r>
        <w:t xml:space="preserve"> 53 </w:t>
      </w:r>
      <w:r w:rsidR="005809F2">
        <w:t xml:space="preserve">and 54 </w:t>
      </w:r>
      <w:r>
        <w:t>should address this concern.</w:t>
      </w:r>
    </w:p>
    <w:p w:rsidR="00046396" w:rsidRDefault="00046396" w:rsidP="006E2F55">
      <w:pPr>
        <w:pStyle w:val="Submissionnumberedparagraph"/>
      </w:pPr>
      <w:r>
        <w:t>Article 12 UNCRC, in particular, is relevant to clause</w:t>
      </w:r>
      <w:r w:rsidR="005809F2">
        <w:t>s</w:t>
      </w:r>
      <w:r>
        <w:t xml:space="preserve"> 53 </w:t>
      </w:r>
      <w:r w:rsidR="005809F2">
        <w:t xml:space="preserve">and 54 </w:t>
      </w:r>
      <w:r>
        <w:t xml:space="preserve">which </w:t>
      </w:r>
      <w:r w:rsidR="005809F2">
        <w:t>are</w:t>
      </w:r>
      <w:r>
        <w:t xml:space="preserve"> intended (following a pilot) to provide children with a direct right to appeal  in SEN matters to the First Tier Tribunal</w:t>
      </w:r>
      <w:r w:rsidR="00CA35B1">
        <w:t>(“FTT”)</w:t>
      </w:r>
      <w:r>
        <w:t>, as well as providing them the right to bring disability discrimination claims in their own right.</w:t>
      </w:r>
    </w:p>
    <w:p w:rsidR="00046396" w:rsidRDefault="00046396" w:rsidP="00F61C61">
      <w:pPr>
        <w:pStyle w:val="Submissionnumberedparagraph"/>
      </w:pPr>
      <w:r>
        <w:t xml:space="preserve">A right of appeal is currently provided to and exercised by the parent of the child. This right applies in respect of all pupils in school, whatever their age. The same is true for claims alleging disability discrimination against a school.  Any challenges currently need to be brought by the child's parent, whatever the age of the child.  </w:t>
      </w:r>
    </w:p>
    <w:p w:rsidR="00046396" w:rsidRDefault="00046396" w:rsidP="000C59A3">
      <w:pPr>
        <w:pStyle w:val="Submissionnumberedparagraph"/>
      </w:pPr>
      <w:r>
        <w:t xml:space="preserve">The Bill seeks to introduce a new right to appeal to the </w:t>
      </w:r>
      <w:r w:rsidR="00CA35B1">
        <w:t>FTT</w:t>
      </w:r>
      <w:r>
        <w:t xml:space="preserve"> for a young person over compulsory school age whilst retaining as now that the parents of a child who is of compulsory school age or younger appeal to the FTT in relation to that child.  The Bill allows the Secretary of State to make an Order to provide for pilot schemes to give children in test areas a direct right to appeal in SEN matters and to bring their own disability discrimination claims before the FTT.  </w:t>
      </w:r>
    </w:p>
    <w:p w:rsidR="00046396" w:rsidRDefault="00046396" w:rsidP="006E2F55">
      <w:pPr>
        <w:pStyle w:val="Submissionnumberedparagraph"/>
      </w:pPr>
      <w:r>
        <w:t>The pilot schemes will allow the Secretary of State to test different ways in which providing children with the right to appeal in SEN matters and to bring disability discrimination claims, might be implemented on a permanent basis.  For example, it is proposed to test different age ranges in different areas.  The Government’s current intention is not to impose a competency test on the child, but instead to ask the pilots areas to consider a support test, namely what support is required to support the child in making the appeal.</w:t>
      </w:r>
    </w:p>
    <w:p w:rsidR="00046396" w:rsidRDefault="00046396" w:rsidP="006E2F55">
      <w:pPr>
        <w:pStyle w:val="Submissionnumberedparagraph"/>
      </w:pPr>
      <w:r>
        <w:t xml:space="preserve">It is proposed that the children will have access to advice and information provided through the parent partnership services and the dispute resolution arrangements.  The Government will also be testing the use of case friends  and providing the child with access to advocacy services. </w:t>
      </w:r>
    </w:p>
    <w:p w:rsidR="00046396" w:rsidRDefault="00046396" w:rsidP="00290A41">
      <w:pPr>
        <w:pStyle w:val="Submissionnumberedparagraph"/>
      </w:pPr>
      <w:r>
        <w:t>The pilots are intended to be evaluated with a view to the right being provided to children on a permanent basis</w:t>
      </w:r>
      <w:r w:rsidR="00290A41">
        <w:t xml:space="preserve"> </w:t>
      </w:r>
      <w:r w:rsidR="00290A41" w:rsidRPr="00290A41">
        <w:t xml:space="preserve">(by an Order made under clause 54).  </w:t>
      </w:r>
      <w:r w:rsidR="00290A41">
        <w:t xml:space="preserve">  </w:t>
      </w:r>
      <w:r>
        <w:t xml:space="preserve">The clause seeks to further the rights set out in Article 12 and address the concern of the UNCRC by allowing the Secretary of State to better consider the options, and issues which may arise by providing children with the right to appeal in SEN matters. For instance, the pilots are intended to test whether the right of appeal is something which children would use, the best way to handle appeals, and the cost implications of the change. </w:t>
      </w:r>
    </w:p>
    <w:p w:rsidR="00046396" w:rsidRPr="009B1372" w:rsidRDefault="00046396" w:rsidP="009B1372">
      <w:pPr>
        <w:pStyle w:val="Submissionnumberedparagraph"/>
        <w:numPr>
          <w:ilvl w:val="0"/>
          <w:numId w:val="0"/>
        </w:numPr>
        <w:ind w:left="142"/>
        <w:rPr>
          <w:b/>
        </w:rPr>
      </w:pPr>
      <w:r w:rsidRPr="009B1372">
        <w:rPr>
          <w:b/>
        </w:rPr>
        <w:t>Clause 30 -The local offer</w:t>
      </w:r>
    </w:p>
    <w:p w:rsidR="00046396" w:rsidRPr="00F75775" w:rsidRDefault="00046396" w:rsidP="00F75775">
      <w:pPr>
        <w:pStyle w:val="Submissionnumberedparagraph"/>
      </w:pPr>
      <w:r>
        <w:lastRenderedPageBreak/>
        <w:t>Local authorities will be required in 'the local offer' (clause 30) to publish information on their website on the services and provision which are normally available for children and young people with SEN.  This will include information on how to access advice and support and how to make a complaint.  This is consistent with Article 17 of the UNCRC which requires the State to consider the use of mass media and allowing a child access to information.  It is also consistent with Article 23(3) of the UNCRC which recognises that the special needs of disabled children requires that they are provided for with free of charge access to services, which are designed so that the children have effective access to and receive education, training, and health care services.</w:t>
      </w:r>
    </w:p>
    <w:p w:rsidR="00046396" w:rsidRPr="001F67C7" w:rsidRDefault="00046396" w:rsidP="00C0199F">
      <w:pPr>
        <w:pStyle w:val="Submissionnumberedparagraph"/>
        <w:numPr>
          <w:ilvl w:val="0"/>
          <w:numId w:val="0"/>
        </w:numPr>
        <w:rPr>
          <w:b/>
          <w:i/>
        </w:rPr>
      </w:pPr>
      <w:r w:rsidRPr="001F67C7">
        <w:rPr>
          <w:b/>
        </w:rPr>
        <w:t>Childminder Agencies etc</w:t>
      </w:r>
    </w:p>
    <w:p w:rsidR="00046396" w:rsidRDefault="00046396" w:rsidP="00C0199F">
      <w:pPr>
        <w:pStyle w:val="Submissionnumberedparagraph"/>
        <w:numPr>
          <w:ilvl w:val="0"/>
          <w:numId w:val="0"/>
        </w:numPr>
        <w:rPr>
          <w:b/>
        </w:rPr>
      </w:pPr>
      <w:r>
        <w:rPr>
          <w:b/>
        </w:rPr>
        <w:t>Clause 73</w:t>
      </w:r>
      <w:r w:rsidRPr="001F67C7">
        <w:rPr>
          <w:b/>
        </w:rPr>
        <w:t>: Childminder Agencies</w:t>
      </w:r>
    </w:p>
    <w:p w:rsidR="00046396" w:rsidRPr="00C0199F" w:rsidRDefault="00046396" w:rsidP="00C0199F">
      <w:pPr>
        <w:pStyle w:val="Submissionnumberedparagraph"/>
        <w:numPr>
          <w:ilvl w:val="0"/>
          <w:numId w:val="0"/>
        </w:numPr>
        <w:rPr>
          <w:i/>
        </w:rPr>
      </w:pPr>
      <w:r>
        <w:t>ECHR</w:t>
      </w:r>
    </w:p>
    <w:p w:rsidR="00046396" w:rsidRPr="009B1372" w:rsidRDefault="00046396" w:rsidP="009B1372">
      <w:pPr>
        <w:pStyle w:val="Submissionnumberedparagraph"/>
      </w:pPr>
      <w:r w:rsidRPr="005B7C97">
        <w:t>This provision together with amendments contained in Schedul</w:t>
      </w:r>
      <w:r>
        <w:t xml:space="preserve">e 4 provides for </w:t>
      </w:r>
      <w:r w:rsidRPr="00685371">
        <w:t>the registration of childminder agencies with Her Majesty’s Chief Inspector of Education, Children’s Services and Skills (“the Chief Inspector”). It also provides for the registration of childminders with those agencies. Currently childminders have to be registered with the Chief Inspector before operating as childminders (subject to some exceptions). As a result of this provision childminders will have the option of registering with a childminder</w:t>
      </w:r>
      <w:r>
        <w:t xml:space="preserve"> agency or the Chief Inspector</w:t>
      </w:r>
      <w:r w:rsidRPr="005B7C97">
        <w:t>.  The Government has considered whether this provision is compatible with Article 6 in terms of childminder agencies’ decisions a</w:t>
      </w:r>
      <w:r>
        <w:t>bout registering childminders. T</w:t>
      </w:r>
      <w:r w:rsidRPr="00BE1625">
        <w:t xml:space="preserve">he Government does not consider that Article 6 is engaged because the civil right in question (the right to operate the business of childminding) is not being decisively determined.  There remains the right to register with the Chief Inspector or another Agency.  </w:t>
      </w:r>
      <w:r>
        <w:t>I</w:t>
      </w:r>
      <w:r w:rsidRPr="00BE1625">
        <w:t xml:space="preserve">f </w:t>
      </w:r>
      <w:r>
        <w:t xml:space="preserve">it </w:t>
      </w:r>
      <w:r w:rsidRPr="00BE1625">
        <w:t xml:space="preserve">were </w:t>
      </w:r>
      <w:r>
        <w:t xml:space="preserve">the case </w:t>
      </w:r>
      <w:r w:rsidRPr="00BE1625">
        <w:t xml:space="preserve">that Article 6 is </w:t>
      </w:r>
      <w:r>
        <w:t xml:space="preserve">considered to be </w:t>
      </w:r>
      <w:r w:rsidRPr="00BE1625">
        <w:t>engaged</w:t>
      </w:r>
      <w:r>
        <w:t xml:space="preserve"> by these decisions</w:t>
      </w:r>
      <w:r w:rsidRPr="00BE1625">
        <w:t xml:space="preserve">, the Government considers that there will be sufficient procedural protections in place including a right to make representations to the Agency.  </w:t>
      </w:r>
      <w:r w:rsidRPr="00740A87">
        <w:t>A fresh application for registration may also be made to the Chief Inspector, attracting a right of appeal to the F</w:t>
      </w:r>
      <w:r w:rsidR="00CA35B1">
        <w:t>TT</w:t>
      </w:r>
      <w:r w:rsidRPr="00740A87">
        <w:t xml:space="preserve">.   </w:t>
      </w:r>
    </w:p>
    <w:p w:rsidR="00046396" w:rsidRDefault="00046396" w:rsidP="00C0199F">
      <w:pPr>
        <w:pStyle w:val="Submissionnumberedparagraph"/>
      </w:pPr>
      <w:r w:rsidRPr="005B7C97">
        <w:t>The Government has also considered the information sharing provisions that have been put in place as a result of childminders being able to register with childminder agencies and is satisfied that these provisions comply with Article 8 of the Convention.  The Chief Inspector’s power to require that childminder agencies supply him/her with certain information (including information about childminders registered with them) pursues the legitimate aim of protecting the health of children who are placed in the care of agency-registered childminders. The power is expressly limited to information which the Chief Inspector considers is necessary to the exercise of his functions.</w:t>
      </w:r>
    </w:p>
    <w:p w:rsidR="00046396" w:rsidRDefault="00046396" w:rsidP="009B1372">
      <w:pPr>
        <w:pStyle w:val="Submissionnumberedparagraph"/>
      </w:pPr>
      <w:r w:rsidRPr="00BE1625">
        <w:t xml:space="preserve">The obligations on childminder agencies to supply prescribed information to HMRC and local authorities and their powers and duties to provide certain information to parents and other prescribed persons, including child protection </w:t>
      </w:r>
      <w:r w:rsidRPr="00BE1625">
        <w:lastRenderedPageBreak/>
        <w:t xml:space="preserve">agencies, for specified purposes mirror the disclosure obligations currently imposed on the Chief Inspector. They help to ensure that public funds through tax credits are correctly allocated, that parents can be assisted in finding suitable childcare and that children are protected from harm. The </w:t>
      </w:r>
      <w:r>
        <w:t>Government</w:t>
      </w:r>
      <w:r w:rsidRPr="00BE1625">
        <w:t xml:space="preserve"> is satisfied that any interference with Article 8 rights is justified by the purposes for which the information is used. In all the cases described above, those processing personal data will need to comply with the Data Protection Act 1998. As public bodies the Chief Inspector, HMRC and local authorities are also bound by the requirements of Article 8 of the Convention where they are processing information falling within the sphere of private life.</w:t>
      </w:r>
    </w:p>
    <w:p w:rsidR="004D527D" w:rsidRDefault="004D527D" w:rsidP="004D527D">
      <w:pPr>
        <w:pStyle w:val="Submissionnumberedparagraph"/>
        <w:numPr>
          <w:ilvl w:val="0"/>
          <w:numId w:val="0"/>
        </w:numPr>
        <w:ind w:left="142"/>
      </w:pPr>
    </w:p>
    <w:p w:rsidR="00046396" w:rsidRDefault="00046396" w:rsidP="004D527D">
      <w:pPr>
        <w:pStyle w:val="Submissionnumberedparagraph"/>
        <w:numPr>
          <w:ilvl w:val="0"/>
          <w:numId w:val="0"/>
        </w:numPr>
        <w:ind w:left="142"/>
      </w:pPr>
      <w:r>
        <w:t>UNCRC</w:t>
      </w:r>
    </w:p>
    <w:p w:rsidR="00046396" w:rsidRDefault="00046396" w:rsidP="00685371">
      <w:pPr>
        <w:pStyle w:val="Submissionnumberedparagraph"/>
      </w:pPr>
      <w:r>
        <w:t xml:space="preserve">In relation to the UNCRC the Government is mindful of the relevance of Article 18(3). By enabling childminders to register with agencies the Government considers that new childminders will be encouraged to deliver childcare. Agencies will provide a new framework which gives childminders training and support which will help childminders to deliver quality childcare. Working parents seeking childcare will benefit as they can approach childminder agencies for details and information about local childminders. The Government envisages that childminder agencies will facilitate the provision of childcare services for working parents by making it easier to find good quality childcare. </w:t>
      </w:r>
    </w:p>
    <w:p w:rsidR="00046396" w:rsidRPr="005B7C97" w:rsidRDefault="00046396" w:rsidP="00685371">
      <w:pPr>
        <w:pStyle w:val="Submissionnumberedparagraph"/>
      </w:pPr>
      <w:r>
        <w:t>The Government also considers that the provision for childminder agencies gives further effect to the U</w:t>
      </w:r>
      <w:r w:rsidR="00C15095">
        <w:t xml:space="preserve">nited </w:t>
      </w:r>
      <w:r>
        <w:t>K</w:t>
      </w:r>
      <w:r w:rsidR="00C15095">
        <w:t>ingdom</w:t>
      </w:r>
      <w:r>
        <w:t>’s obligation, under Article 3(3), to ensure that services responsible for the care of children conform to standards established by competent authorities. Childminder agencies will be required to monitor and quality-assure childminders who are registered with them by reference to registration requirements and standards set out in secondary legislation. Part of an agency’s own inspection by the Chief Inspector will focus on how well that agency is assessing childminders registered with it and how well it supports them.</w:t>
      </w:r>
    </w:p>
    <w:p w:rsidR="00046396" w:rsidRPr="001F67C7" w:rsidRDefault="00046396" w:rsidP="00C0199F">
      <w:pPr>
        <w:pStyle w:val="Submissionnumberedparagraph"/>
        <w:numPr>
          <w:ilvl w:val="0"/>
          <w:numId w:val="0"/>
        </w:numPr>
        <w:rPr>
          <w:b/>
        </w:rPr>
      </w:pPr>
      <w:r w:rsidRPr="001F67C7">
        <w:rPr>
          <w:b/>
        </w:rPr>
        <w:t>Provisions relating to the Children’s Commissioner</w:t>
      </w:r>
    </w:p>
    <w:p w:rsidR="00046396" w:rsidRDefault="00046396" w:rsidP="00725540">
      <w:pPr>
        <w:pStyle w:val="Submissionnumberedparagraph"/>
        <w:numPr>
          <w:ilvl w:val="0"/>
          <w:numId w:val="0"/>
        </w:numPr>
        <w:rPr>
          <w:b/>
        </w:rPr>
      </w:pPr>
      <w:r>
        <w:t>ECHR</w:t>
      </w:r>
      <w:r w:rsidRPr="00725540">
        <w:rPr>
          <w:b/>
        </w:rPr>
        <w:t xml:space="preserve"> </w:t>
      </w:r>
    </w:p>
    <w:p w:rsidR="00046396" w:rsidRPr="00725540" w:rsidRDefault="00046396" w:rsidP="00C0199F">
      <w:pPr>
        <w:pStyle w:val="Submissionnumberedparagraph"/>
        <w:numPr>
          <w:ilvl w:val="0"/>
          <w:numId w:val="0"/>
        </w:numPr>
        <w:rPr>
          <w:b/>
        </w:rPr>
      </w:pPr>
      <w:r>
        <w:rPr>
          <w:b/>
        </w:rPr>
        <w:t>Clause 79</w:t>
      </w:r>
      <w:r w:rsidRPr="001F67C7">
        <w:rPr>
          <w:b/>
        </w:rPr>
        <w:t>: Commissioner’s powers to enter premises</w:t>
      </w:r>
    </w:p>
    <w:p w:rsidR="004D527D" w:rsidRDefault="00046396" w:rsidP="00290A41">
      <w:pPr>
        <w:pStyle w:val="Submissionnumberedparagraph"/>
        <w:numPr>
          <w:ilvl w:val="0"/>
          <w:numId w:val="0"/>
        </w:numPr>
      </w:pPr>
      <w:r w:rsidRPr="001F67C7">
        <w:t xml:space="preserve">This provision gives the Commissioner power to enter premises and conduct interviews.  It re-enacts an existing power with modifications.  Whilst the Government acknowledges that the exercise of this power could potentially constitute an interference with the Article 8 rights of those persons who own or run the premises, of those working at the premises and of those children who are at the premises, the Government is satisfied that if there is such an interference it is capable of complying with Article 8 and that therefore this provision complies with the </w:t>
      </w:r>
      <w:r w:rsidRPr="001F67C7">
        <w:lastRenderedPageBreak/>
        <w:t>Convention.  The power of entry will enable the Commissioner to exercise his or her general functions to protect and promote the right of children.  It will not enable the Commissioner to force entry into premises or compel persons to be interviewed.  Furthermore there are several safeguards in place for the exercised of this power: including that: i) it can only be exercised by the Commissioner or a person authorised by the Commissioner; ii) it can only be exercised at a reasonable time; and iii) it may not be exercised in relation to private dwellings.  In addition the Commissioner will be required to exercise the power compatibly with Convention rights.</w:t>
      </w:r>
    </w:p>
    <w:p w:rsidR="00046396" w:rsidRPr="00C0199F" w:rsidRDefault="00046396" w:rsidP="00C0199F">
      <w:pPr>
        <w:pStyle w:val="Submissionnumberedparagraph"/>
        <w:numPr>
          <w:ilvl w:val="0"/>
          <w:numId w:val="0"/>
        </w:numPr>
        <w:rPr>
          <w:i/>
        </w:rPr>
      </w:pPr>
      <w:r>
        <w:t>UNCRC</w:t>
      </w:r>
    </w:p>
    <w:p w:rsidR="00046396" w:rsidRDefault="00046396" w:rsidP="00725540">
      <w:pPr>
        <w:pStyle w:val="Submissionnumberedparagraph"/>
      </w:pPr>
      <w:r w:rsidRPr="009B1372">
        <w:t>In 2010, John Dunford was asked to carry out a review of the role and functions of the current O</w:t>
      </w:r>
      <w:r>
        <w:t>ffice of the Children’s Commissioner (OCC)</w:t>
      </w:r>
      <w:r>
        <w:rPr>
          <w:rStyle w:val="FootnoteReference"/>
        </w:rPr>
        <w:footnoteReference w:id="3"/>
      </w:r>
      <w:r w:rsidRPr="009B1372">
        <w:t>.   Dr Dunford concluded that there was a strong case to have a Children's Commissioner, bu</w:t>
      </w:r>
      <w:r>
        <w:t xml:space="preserve">t he recommended changes to </w:t>
      </w:r>
      <w:r w:rsidRPr="009B1372">
        <w:t>legislation to enable the Commissioner to have greater impact.  His main recommendat</w:t>
      </w:r>
      <w:r>
        <w:t>ion was that the role of the Children’s Commissioner</w:t>
      </w:r>
      <w:r w:rsidRPr="009B1372">
        <w:t xml:space="preserve"> should be changed to one of 'protecting and promoting' children's rights (rather than the current role of promoting awareness of the views and interests of children). His report made recommendations to enhance the independence of the Commissioner and to ensure greater accountability of the Commissioner to Parliament. </w:t>
      </w:r>
      <w:r>
        <w:t xml:space="preserve"> The provisions in the Bill</w:t>
      </w:r>
      <w:r w:rsidRPr="009B1372">
        <w:t xml:space="preserve"> are designed to better enable the C</w:t>
      </w:r>
      <w:r>
        <w:t xml:space="preserve">hildren’s </w:t>
      </w:r>
      <w:r w:rsidRPr="009B1372">
        <w:t>C</w:t>
      </w:r>
      <w:r>
        <w:t>ommissioner</w:t>
      </w:r>
      <w:r w:rsidRPr="009B1372">
        <w:t xml:space="preserve"> to act as a champion for children, ensuring that their views are heard and that policy and legislation are developed in a way that tak</w:t>
      </w:r>
      <w:r>
        <w:t>es account of their rights. The Government believes that the proposals will</w:t>
      </w:r>
      <w:r w:rsidRPr="009B1372">
        <w:t xml:space="preserve"> give children greater protection against abuses of their rights, by strengthening the powers of the C</w:t>
      </w:r>
      <w:r>
        <w:t xml:space="preserve">hildren’s </w:t>
      </w:r>
      <w:r w:rsidRPr="009B1372">
        <w:t>C</w:t>
      </w:r>
      <w:r>
        <w:t>ommissioner</w:t>
      </w:r>
      <w:r w:rsidRPr="009B1372">
        <w:t xml:space="preserve"> to </w:t>
      </w:r>
      <w:r>
        <w:t>investigate and make recommendations about</w:t>
      </w:r>
      <w:r w:rsidRPr="009B1372">
        <w:t xml:space="preserve"> policy and practice that </w:t>
      </w:r>
      <w:r>
        <w:t>will strengthen implementation of</w:t>
      </w:r>
      <w:r w:rsidRPr="009B1372">
        <w:t xml:space="preserve"> the UNCRC. The proposals are, therefore, a key component of the Government’s commitment to the UNCRC. </w:t>
      </w:r>
      <w:r w:rsidRPr="006E2F55">
        <w:t xml:space="preserve"> </w:t>
      </w:r>
    </w:p>
    <w:p w:rsidR="00046396" w:rsidRDefault="00046396" w:rsidP="00D9214A">
      <w:pPr>
        <w:pStyle w:val="Submissionnumberedparagraph"/>
      </w:pPr>
      <w:r>
        <w:t xml:space="preserve">Given that the future role of the Children’s Commissioner would be to promote and protect children’s rights (as set out in the UNCRC), the legislation is relevant to all of the UNCRC Articles.  In exercising the function of promoting and protecting children’s rights, the Children’s Commissioner could hold an investigation or an inquiry into existing policy or practice and/or undertake an assessment of the potential </w:t>
      </w:r>
      <w:r w:rsidRPr="00D9214A">
        <w:t xml:space="preserve">impact </w:t>
      </w:r>
      <w:r>
        <w:t xml:space="preserve">of proposed policy or legislation on any matter relating to the rights set out in the UNCRC.  </w:t>
      </w:r>
    </w:p>
    <w:p w:rsidR="00046396" w:rsidRDefault="00046396" w:rsidP="00610B2E">
      <w:pPr>
        <w:pStyle w:val="Submissionnumberedparagraph"/>
      </w:pPr>
      <w:r>
        <w:t>Against that background, there are specific Articles in respect of  which the legislation is particularly relevant, including the following:</w:t>
      </w:r>
    </w:p>
    <w:p w:rsidR="00046396" w:rsidRDefault="00046396" w:rsidP="00C15095">
      <w:pPr>
        <w:pStyle w:val="Submissionnumberedparagraph"/>
        <w:numPr>
          <w:ilvl w:val="0"/>
          <w:numId w:val="0"/>
        </w:numPr>
        <w:ind w:left="1434" w:hanging="720"/>
      </w:pPr>
      <w:r>
        <w:t>•</w:t>
      </w:r>
      <w:r>
        <w:tab/>
        <w:t xml:space="preserve">Article 4 provides that States Parties should undertake all appropriate legislative, administrative, and other measures to support the implementation of the rights in the UNCRC.  One way in which State Parties can fulfil this obligation is to establish an independent </w:t>
      </w:r>
      <w:r>
        <w:lastRenderedPageBreak/>
        <w:t>champion for children (a Children’s Commissioner), with a statutory role to promote and protect children’s rights;</w:t>
      </w:r>
    </w:p>
    <w:p w:rsidR="00046396" w:rsidRDefault="00046396" w:rsidP="00C15095">
      <w:pPr>
        <w:pStyle w:val="Submissionnumberedparagraph"/>
        <w:numPr>
          <w:ilvl w:val="0"/>
          <w:numId w:val="0"/>
        </w:numPr>
        <w:ind w:left="1434" w:hanging="714"/>
      </w:pPr>
      <w:r>
        <w:t>•</w:t>
      </w:r>
      <w:r>
        <w:tab/>
        <w:t>Article 12:  The proposed legislation would make clear that the Children’s Commissioner’s role includes: ‘promoting awareness of the rights, views and interests of children’; ‘encouraging persons exercising functions or engaged in activities affecting children to take account of children’s rights, views and interests’; and ‘monitoring the availability and effectiveness of complaints and advocacy services for children and young people’.  All of these provisions are designed to ensure that children’s voices are heard and their views are taken into account.  With respect to how the Children’s Commissioner operates, the proposed legislation would require the Children’s Commissioner to take reasonable steps to consult children on his or her future priorities.  The provisions would also require the Secretary of State to involve children in the process of appointing the Children’s Commissioner.</w:t>
      </w:r>
    </w:p>
    <w:p w:rsidR="00046396" w:rsidRPr="00610B2E" w:rsidRDefault="00046396" w:rsidP="00725540">
      <w:pPr>
        <w:pStyle w:val="Submissionnumberedparagraph"/>
        <w:numPr>
          <w:ilvl w:val="0"/>
          <w:numId w:val="0"/>
        </w:numPr>
        <w:ind w:left="142"/>
      </w:pPr>
      <w:r>
        <w:t>.</w:t>
      </w:r>
      <w:r>
        <w:rPr>
          <w:b/>
        </w:rPr>
        <w:t>Clause 79:Commissioner’s powers to enter premises</w:t>
      </w:r>
    </w:p>
    <w:p w:rsidR="00046396" w:rsidRPr="006E2F55" w:rsidRDefault="00046396" w:rsidP="006E2F55">
      <w:pPr>
        <w:pStyle w:val="Submissionnumberedparagraph"/>
      </w:pPr>
      <w:r w:rsidRPr="006E2F55">
        <w:t xml:space="preserve">In </w:t>
      </w:r>
      <w:r>
        <w:t xml:space="preserve"> terms of clause 79, the Government has in particular c</w:t>
      </w:r>
      <w:r w:rsidRPr="006E2F55">
        <w:t xml:space="preserve">onsidered Article 16 </w:t>
      </w:r>
      <w:r>
        <w:t>UNCRC which states that:</w:t>
      </w:r>
    </w:p>
    <w:p w:rsidR="00046396" w:rsidRPr="006E2F55" w:rsidRDefault="00046396" w:rsidP="006E2F55">
      <w:pPr>
        <w:pStyle w:val="Submissionnumberedparagraph"/>
        <w:numPr>
          <w:ilvl w:val="0"/>
          <w:numId w:val="0"/>
        </w:numPr>
        <w:ind w:left="709"/>
        <w:rPr>
          <w:i/>
        </w:rPr>
      </w:pPr>
      <w:r w:rsidRPr="006E2F55">
        <w:t xml:space="preserve">"1. </w:t>
      </w:r>
      <w:r w:rsidRPr="006E2F55">
        <w:rPr>
          <w:i/>
        </w:rPr>
        <w:t xml:space="preserve">No child shall be subjected to arbitrary or unlawful interference with his or her privacy, family, home or correspondence, nor to unlawful attacks on his or her honour or reputation. </w:t>
      </w:r>
    </w:p>
    <w:p w:rsidR="00046396" w:rsidRPr="006E2F55" w:rsidRDefault="00046396" w:rsidP="006E2F55">
      <w:pPr>
        <w:pStyle w:val="Submissionnumberedparagraph"/>
        <w:numPr>
          <w:ilvl w:val="0"/>
          <w:numId w:val="0"/>
        </w:numPr>
        <w:ind w:left="709"/>
      </w:pPr>
      <w:r w:rsidRPr="006E2F55">
        <w:rPr>
          <w:i/>
        </w:rPr>
        <w:t>2. The child has the right to the protection of the law against such interference or attacks</w:t>
      </w:r>
      <w:r w:rsidRPr="006E2F55">
        <w:t>."</w:t>
      </w:r>
    </w:p>
    <w:p w:rsidR="00046396" w:rsidRDefault="00046396" w:rsidP="006E2F55">
      <w:pPr>
        <w:pStyle w:val="Submissionnumberedparagraph"/>
      </w:pPr>
      <w:r>
        <w:t>The Government is</w:t>
      </w:r>
      <w:r w:rsidRPr="006E2F55">
        <w:t xml:space="preserve"> satisfied that the safeguards referred to in </w:t>
      </w:r>
      <w:r>
        <w:t xml:space="preserve">the paragraph </w:t>
      </w:r>
      <w:r w:rsidRPr="006E2F55">
        <w:t>above</w:t>
      </w:r>
      <w:r>
        <w:t xml:space="preserve"> on the ECHR compliance of this provision</w:t>
      </w:r>
      <w:r w:rsidRPr="006E2F55">
        <w:t>, provide appropriate and necessary safeguards which will ensure the</w:t>
      </w:r>
      <w:r>
        <w:t xml:space="preserve"> proper exercise of that power.</w:t>
      </w:r>
    </w:p>
    <w:p w:rsidR="00046396" w:rsidRPr="006E2F55" w:rsidRDefault="00046396" w:rsidP="006E2F55">
      <w:pPr>
        <w:pStyle w:val="Submissionnumberedparagraph"/>
      </w:pPr>
      <w:r>
        <w:t>One of the purposes of the Commissioner in entering premises will be to interview children.  New section  2E (3) (w</w:t>
      </w:r>
      <w:r w:rsidR="00C15095">
        <w:t>hich is inserted by clause 79 and</w:t>
      </w:r>
      <w:r>
        <w:t xml:space="preserve"> re-enacts with some modification the existing provision in the Children Act 2004</w:t>
      </w:r>
      <w:r w:rsidR="00C15095">
        <w:t>)</w:t>
      </w:r>
      <w:r>
        <w:t xml:space="preserve">, specifies that the interview may be conducted in private and that this is subject to the child’s consent.  </w:t>
      </w:r>
    </w:p>
    <w:p w:rsidR="00046396" w:rsidRDefault="00046396" w:rsidP="00C0199F">
      <w:pPr>
        <w:pStyle w:val="Submissionnumberedparagraph"/>
        <w:numPr>
          <w:ilvl w:val="0"/>
          <w:numId w:val="0"/>
        </w:numPr>
        <w:rPr>
          <w:b/>
        </w:rPr>
      </w:pPr>
      <w:r w:rsidRPr="001F67C7">
        <w:rPr>
          <w:b/>
        </w:rPr>
        <w:t>Provisions on Shared Parental Leave and Statutory Parental Pay</w:t>
      </w:r>
    </w:p>
    <w:p w:rsidR="00046396" w:rsidRPr="00610B2E" w:rsidRDefault="00046396" w:rsidP="00610B2E">
      <w:pPr>
        <w:pStyle w:val="Submissionnumberedparagraph"/>
        <w:numPr>
          <w:ilvl w:val="0"/>
          <w:numId w:val="0"/>
        </w:numPr>
        <w:rPr>
          <w:i/>
        </w:rPr>
      </w:pPr>
      <w:r>
        <w:t>ECHR</w:t>
      </w:r>
    </w:p>
    <w:p w:rsidR="00046396" w:rsidRDefault="00046396" w:rsidP="00931BF6">
      <w:pPr>
        <w:pStyle w:val="Submissionnumberedparagraph"/>
      </w:pPr>
      <w:r>
        <w:t xml:space="preserve">Clauses 87 and 89 create new entitlements to shared parental leave and statutory shared parental pay. These new entitlements could be seen as engaging Article 14 (prohibition of discrimination) taken with Article 8 (right to respect for private and family life). This is because the entitlement of both  a mother and another person, with whom care of the child is shared, depends (amongst other things) on early termination of maternity leave, statutory </w:t>
      </w:r>
      <w:r>
        <w:lastRenderedPageBreak/>
        <w:t xml:space="preserve">maternity pay and maternity allowance. The Government considers that there is no infringement of these articles. This is because it can be considered  part of the protective principle behind maternity leave and pay (namely to allow a woman who has given birth to recover and to bond with the baby): </w:t>
      </w:r>
    </w:p>
    <w:p w:rsidR="005716CF" w:rsidRDefault="00046396" w:rsidP="00C15095">
      <w:pPr>
        <w:pStyle w:val="Submissionnumberedparagraph"/>
        <w:numPr>
          <w:ilvl w:val="2"/>
          <w:numId w:val="10"/>
        </w:numPr>
      </w:pPr>
      <w:r>
        <w:t>for  a mother to end these entitlements early if she considers that she does not need to be on maternity leave and pay for these purposes; and</w:t>
      </w:r>
    </w:p>
    <w:p w:rsidR="00046396" w:rsidRDefault="00046396" w:rsidP="00C15095">
      <w:pPr>
        <w:pStyle w:val="Submissionnumberedparagraph"/>
        <w:numPr>
          <w:ilvl w:val="2"/>
          <w:numId w:val="10"/>
        </w:numPr>
      </w:pPr>
      <w:r>
        <w:t xml:space="preserve">for this event potentially to  generate an entitlement to shared parental leave and statutory shared parental pay for both the mother and the other person with whom care of the child is shared.  </w:t>
      </w:r>
    </w:p>
    <w:p w:rsidR="00C15095" w:rsidRDefault="00C15095" w:rsidP="00C15095">
      <w:pPr>
        <w:pStyle w:val="ListParagraph"/>
      </w:pPr>
    </w:p>
    <w:p w:rsidR="00C15095" w:rsidRDefault="00C15095" w:rsidP="00C15095">
      <w:pPr>
        <w:pStyle w:val="Submissionnumberedparagraph"/>
        <w:numPr>
          <w:ilvl w:val="0"/>
          <w:numId w:val="0"/>
        </w:numPr>
        <w:ind w:left="709" w:hanging="567"/>
      </w:pPr>
      <w:r>
        <w:t>UNCRC</w:t>
      </w:r>
    </w:p>
    <w:p w:rsidR="00046396" w:rsidRPr="00931BF6" w:rsidRDefault="00046396" w:rsidP="00AA7E96">
      <w:pPr>
        <w:pStyle w:val="Submissionnumberedparagraph"/>
      </w:pPr>
      <w:r w:rsidRPr="00931BF6">
        <w:t xml:space="preserve">The Government </w:t>
      </w:r>
      <w:r w:rsidR="00AA7E96" w:rsidRPr="00AA7E96">
        <w:t>believes that these arrangements are in line with Article 18 of the UNCRC about the common responsibilities of parents for the upbringing of the child</w:t>
      </w:r>
      <w:r w:rsidR="00AA7E96">
        <w:t>.</w:t>
      </w:r>
    </w:p>
    <w:p w:rsidR="00046396" w:rsidRDefault="00046396" w:rsidP="004D527D">
      <w:pPr>
        <w:pStyle w:val="Submissionnumberedparagraph"/>
        <w:numPr>
          <w:ilvl w:val="0"/>
          <w:numId w:val="0"/>
        </w:numPr>
        <w:ind w:left="2160"/>
      </w:pPr>
    </w:p>
    <w:p w:rsidR="00046396" w:rsidRDefault="00046396" w:rsidP="00931BF6">
      <w:pPr>
        <w:pStyle w:val="Submissionnumberedparagraph"/>
        <w:numPr>
          <w:ilvl w:val="0"/>
          <w:numId w:val="0"/>
        </w:numPr>
        <w:ind w:left="709"/>
      </w:pPr>
    </w:p>
    <w:p w:rsidR="00046396" w:rsidRDefault="00046396" w:rsidP="00931BF6">
      <w:pPr>
        <w:pStyle w:val="Submissionnumberedparagraph"/>
        <w:numPr>
          <w:ilvl w:val="0"/>
          <w:numId w:val="0"/>
        </w:numPr>
      </w:pPr>
    </w:p>
    <w:p w:rsidR="00046396" w:rsidRDefault="00046396" w:rsidP="00931BF6">
      <w:pPr>
        <w:pStyle w:val="Submissionnumberedparagraph"/>
        <w:numPr>
          <w:ilvl w:val="0"/>
          <w:numId w:val="0"/>
        </w:numPr>
      </w:pPr>
    </w:p>
    <w:p w:rsidR="00046396" w:rsidRPr="001F67C7" w:rsidRDefault="00046396" w:rsidP="00174EB4">
      <w:pPr>
        <w:pStyle w:val="Submissionnumberedparagraph"/>
        <w:numPr>
          <w:ilvl w:val="0"/>
          <w:numId w:val="0"/>
        </w:numPr>
        <w:ind w:left="709"/>
      </w:pPr>
    </w:p>
    <w:p w:rsidR="00046396" w:rsidRPr="00AF1C07" w:rsidRDefault="00046396" w:rsidP="00AF1C07">
      <w:pPr>
        <w:pStyle w:val="DeptBullets"/>
        <w:numPr>
          <w:ilvl w:val="0"/>
          <w:numId w:val="0"/>
        </w:numPr>
      </w:pPr>
      <w:r>
        <w:t>February 2013</w:t>
      </w:r>
    </w:p>
    <w:sectPr w:rsidR="00046396" w:rsidRPr="00AF1C07" w:rsidSect="007F4A8B">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263" w:rsidRDefault="00060263">
      <w:r>
        <w:separator/>
      </w:r>
    </w:p>
  </w:endnote>
  <w:endnote w:type="continuationSeparator" w:id="0">
    <w:p w:rsidR="00060263" w:rsidRDefault="00060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396" w:rsidRDefault="008D49B8" w:rsidP="005C2D67">
    <w:pPr>
      <w:pStyle w:val="Footer"/>
      <w:framePr w:wrap="around" w:vAnchor="text" w:hAnchor="margin" w:xAlign="right" w:y="1"/>
      <w:rPr>
        <w:rStyle w:val="PageNumber"/>
      </w:rPr>
    </w:pPr>
    <w:r>
      <w:rPr>
        <w:rStyle w:val="PageNumber"/>
      </w:rPr>
      <w:fldChar w:fldCharType="begin"/>
    </w:r>
    <w:r w:rsidR="00046396">
      <w:rPr>
        <w:rStyle w:val="PageNumber"/>
      </w:rPr>
      <w:instrText xml:space="preserve">PAGE  </w:instrText>
    </w:r>
    <w:r>
      <w:rPr>
        <w:rStyle w:val="PageNumber"/>
      </w:rPr>
      <w:fldChar w:fldCharType="end"/>
    </w:r>
  </w:p>
  <w:p w:rsidR="00046396" w:rsidRDefault="00046396" w:rsidP="00A47A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396" w:rsidRDefault="008D49B8" w:rsidP="005C2D67">
    <w:pPr>
      <w:pStyle w:val="Footer"/>
      <w:framePr w:wrap="around" w:vAnchor="text" w:hAnchor="margin" w:xAlign="right" w:y="1"/>
      <w:rPr>
        <w:rStyle w:val="PageNumber"/>
      </w:rPr>
    </w:pPr>
    <w:r>
      <w:rPr>
        <w:rStyle w:val="PageNumber"/>
      </w:rPr>
      <w:fldChar w:fldCharType="begin"/>
    </w:r>
    <w:r w:rsidR="00046396">
      <w:rPr>
        <w:rStyle w:val="PageNumber"/>
      </w:rPr>
      <w:instrText xml:space="preserve">PAGE  </w:instrText>
    </w:r>
    <w:r>
      <w:rPr>
        <w:rStyle w:val="PageNumber"/>
      </w:rPr>
      <w:fldChar w:fldCharType="separate"/>
    </w:r>
    <w:r w:rsidR="00C772D2">
      <w:rPr>
        <w:rStyle w:val="PageNumber"/>
        <w:noProof/>
      </w:rPr>
      <w:t>1</w:t>
    </w:r>
    <w:r>
      <w:rPr>
        <w:rStyle w:val="PageNumber"/>
      </w:rPr>
      <w:fldChar w:fldCharType="end"/>
    </w:r>
  </w:p>
  <w:p w:rsidR="00046396" w:rsidRDefault="00046396" w:rsidP="00A47A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263" w:rsidRDefault="00060263">
      <w:r>
        <w:separator/>
      </w:r>
    </w:p>
  </w:footnote>
  <w:footnote w:type="continuationSeparator" w:id="0">
    <w:p w:rsidR="00060263" w:rsidRDefault="00060263">
      <w:r>
        <w:continuationSeparator/>
      </w:r>
    </w:p>
  </w:footnote>
  <w:footnote w:id="1">
    <w:p w:rsidR="00046396" w:rsidRDefault="00046396">
      <w:pPr>
        <w:pStyle w:val="FootnoteText"/>
      </w:pPr>
      <w:r>
        <w:rPr>
          <w:rStyle w:val="FootnoteReference"/>
        </w:rPr>
        <w:footnoteRef/>
      </w:r>
      <w:r>
        <w:t xml:space="preserve"> Section 1(3) CA 1989.</w:t>
      </w:r>
    </w:p>
  </w:footnote>
  <w:footnote w:id="2">
    <w:p w:rsidR="00046396" w:rsidRDefault="00046396">
      <w:pPr>
        <w:pStyle w:val="FootnoteText"/>
      </w:pPr>
      <w:r>
        <w:rPr>
          <w:rStyle w:val="FootnoteReference"/>
        </w:rPr>
        <w:footnoteRef/>
      </w:r>
      <w:r>
        <w:t xml:space="preserve"> </w:t>
      </w:r>
      <w:r w:rsidRPr="00B02704">
        <w:rPr>
          <w:rFonts w:cs="Arial"/>
          <w:sz w:val="18"/>
          <w:szCs w:val="18"/>
        </w:rPr>
        <w:t xml:space="preserve">See e.g. </w:t>
      </w:r>
      <w:r w:rsidRPr="00DF28FE">
        <w:rPr>
          <w:rFonts w:cs="Arial"/>
          <w:i/>
          <w:sz w:val="18"/>
          <w:szCs w:val="18"/>
        </w:rPr>
        <w:t>Vernillo v France</w:t>
      </w:r>
      <w:r>
        <w:rPr>
          <w:rFonts w:cs="Arial"/>
          <w:sz w:val="18"/>
          <w:szCs w:val="18"/>
        </w:rPr>
        <w:t>, 20 February 1991, para 38</w:t>
      </w:r>
    </w:p>
  </w:footnote>
  <w:footnote w:id="3">
    <w:p w:rsidR="00046396" w:rsidRPr="004F26E6" w:rsidRDefault="00046396" w:rsidP="009B1372">
      <w:pPr>
        <w:pStyle w:val="FootnoteText"/>
        <w:rPr>
          <w:rFonts w:cs="Arial"/>
        </w:rPr>
      </w:pPr>
      <w:r>
        <w:rPr>
          <w:rStyle w:val="FootnoteReference"/>
        </w:rPr>
        <w:footnoteRef/>
      </w:r>
      <w:r>
        <w:t xml:space="preserve"> </w:t>
      </w:r>
      <w:r w:rsidRPr="004F26E6">
        <w:rPr>
          <w:rFonts w:cs="Arial"/>
        </w:rPr>
        <w:t>https://www.education.gov.uk/publications/standard/publicationdetail/page1/CM%207981</w:t>
      </w:r>
    </w:p>
    <w:p w:rsidR="00046396" w:rsidRDefault="00046396" w:rsidP="009B137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hybridMultilevel"/>
    <w:tmpl w:val="53D20A9C"/>
    <w:lvl w:ilvl="0" w:tplc="0809000F">
      <w:start w:val="1"/>
      <w:numFmt w:val="decimal"/>
      <w:pStyle w:val="Submissionnumberedparagraph"/>
      <w:lvlText w:val="%1."/>
      <w:lvlJc w:val="left"/>
      <w:pPr>
        <w:tabs>
          <w:tab w:val="num" w:pos="709"/>
        </w:tabs>
        <w:ind w:left="709" w:hanging="567"/>
      </w:pPr>
      <w:rPr>
        <w:rFonts w:cs="Times New Roman" w:hint="default"/>
        <w:b w:val="0"/>
        <w:i w:val="0"/>
        <w:color w:val="auto"/>
        <w:sz w:val="24"/>
        <w:szCs w:val="24"/>
      </w:rPr>
    </w:lvl>
    <w:lvl w:ilvl="1" w:tplc="08090001">
      <w:start w:val="1"/>
      <w:numFmt w:val="bullet"/>
      <w:lvlText w:val=""/>
      <w:lvlJc w:val="left"/>
      <w:pPr>
        <w:tabs>
          <w:tab w:val="num" w:pos="1440"/>
        </w:tabs>
        <w:ind w:left="1440" w:hanging="360"/>
      </w:pPr>
      <w:rPr>
        <w:rFonts w:ascii="Symbol" w:hAnsi="Symbol" w:hint="default"/>
        <w:b w:val="0"/>
        <w:i w:val="0"/>
        <w:sz w:val="22"/>
      </w:rPr>
    </w:lvl>
    <w:lvl w:ilvl="2" w:tplc="D2EA04A0">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
    <w:nsid w:val="2DF26B16"/>
    <w:multiLevelType w:val="hybridMultilevel"/>
    <w:tmpl w:val="A59A838C"/>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2212391"/>
    <w:multiLevelType w:val="hybridMultilevel"/>
    <w:tmpl w:val="3D347F82"/>
    <w:lvl w:ilvl="0" w:tplc="0809000F">
      <w:start w:val="1"/>
      <w:numFmt w:val="decimal"/>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59042462"/>
    <w:multiLevelType w:val="hybridMultilevel"/>
    <w:tmpl w:val="F21A9392"/>
    <w:lvl w:ilvl="0" w:tplc="79A87EFA">
      <w:start w:val="1"/>
      <w:numFmt w:val="decimal"/>
      <w:lvlRestart w:val="0"/>
      <w:lvlText w:val="%1."/>
      <w:lvlJc w:val="left"/>
      <w:pPr>
        <w:tabs>
          <w:tab w:val="num" w:pos="720"/>
        </w:tabs>
        <w:ind w:left="720" w:hanging="72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6E516FCF"/>
    <w:multiLevelType w:val="hybridMultilevel"/>
    <w:tmpl w:val="4B9E616E"/>
    <w:lvl w:ilvl="0" w:tplc="2CC29814">
      <w:start w:val="1"/>
      <w:numFmt w:val="decimal"/>
      <w:lvlRestart w:val="0"/>
      <w:lvlText w:val="%1."/>
      <w:lvlJc w:val="left"/>
      <w:pPr>
        <w:tabs>
          <w:tab w:val="num" w:pos="720"/>
        </w:tabs>
        <w:ind w:left="720" w:hanging="72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2"/>
  </w:num>
  <w:num w:numId="3">
    <w:abstractNumId w:val="9"/>
  </w:num>
  <w:num w:numId="4">
    <w:abstractNumId w:val="1"/>
  </w:num>
  <w:num w:numId="5">
    <w:abstractNumId w:val="6"/>
  </w:num>
  <w:num w:numId="6">
    <w:abstractNumId w:val="8"/>
  </w:num>
  <w:num w:numId="7">
    <w:abstractNumId w:val="7"/>
  </w:num>
  <w:num w:numId="8">
    <w:abstractNumId w:val="0"/>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C0199F"/>
    <w:rsid w:val="000043CE"/>
    <w:rsid w:val="00011F78"/>
    <w:rsid w:val="00021E86"/>
    <w:rsid w:val="00022DB6"/>
    <w:rsid w:val="00041864"/>
    <w:rsid w:val="00046396"/>
    <w:rsid w:val="0004776A"/>
    <w:rsid w:val="00060263"/>
    <w:rsid w:val="00082F1E"/>
    <w:rsid w:val="000833EF"/>
    <w:rsid w:val="000A0C1B"/>
    <w:rsid w:val="000A61E3"/>
    <w:rsid w:val="000B1468"/>
    <w:rsid w:val="000C59A3"/>
    <w:rsid w:val="000D7AD8"/>
    <w:rsid w:val="000E45E7"/>
    <w:rsid w:val="000F4E59"/>
    <w:rsid w:val="00116F59"/>
    <w:rsid w:val="0012475E"/>
    <w:rsid w:val="00132A46"/>
    <w:rsid w:val="001362FD"/>
    <w:rsid w:val="001366BB"/>
    <w:rsid w:val="001372F2"/>
    <w:rsid w:val="00153F85"/>
    <w:rsid w:val="00174EB4"/>
    <w:rsid w:val="00180A06"/>
    <w:rsid w:val="00182783"/>
    <w:rsid w:val="00195F8E"/>
    <w:rsid w:val="001A54FA"/>
    <w:rsid w:val="001B05C8"/>
    <w:rsid w:val="001B6DF9"/>
    <w:rsid w:val="001D55BC"/>
    <w:rsid w:val="001D7FB3"/>
    <w:rsid w:val="001E6D04"/>
    <w:rsid w:val="001F67C7"/>
    <w:rsid w:val="002009C2"/>
    <w:rsid w:val="00211C37"/>
    <w:rsid w:val="00212D24"/>
    <w:rsid w:val="00217581"/>
    <w:rsid w:val="002335B0"/>
    <w:rsid w:val="002338A1"/>
    <w:rsid w:val="002419A5"/>
    <w:rsid w:val="00266064"/>
    <w:rsid w:val="0027611C"/>
    <w:rsid w:val="002840D0"/>
    <w:rsid w:val="00290A41"/>
    <w:rsid w:val="00295EFC"/>
    <w:rsid w:val="002B651E"/>
    <w:rsid w:val="002D2A7A"/>
    <w:rsid w:val="002D4072"/>
    <w:rsid w:val="002E28FA"/>
    <w:rsid w:val="002F71BB"/>
    <w:rsid w:val="00310708"/>
    <w:rsid w:val="00312BD3"/>
    <w:rsid w:val="003148A8"/>
    <w:rsid w:val="00347A3B"/>
    <w:rsid w:val="00367EEB"/>
    <w:rsid w:val="00370640"/>
    <w:rsid w:val="00370895"/>
    <w:rsid w:val="0038795B"/>
    <w:rsid w:val="00392AE9"/>
    <w:rsid w:val="003A4D6A"/>
    <w:rsid w:val="003B1C35"/>
    <w:rsid w:val="003B78F9"/>
    <w:rsid w:val="003C26A1"/>
    <w:rsid w:val="003D74A2"/>
    <w:rsid w:val="003D7A13"/>
    <w:rsid w:val="003E1B86"/>
    <w:rsid w:val="00402829"/>
    <w:rsid w:val="00411B95"/>
    <w:rsid w:val="00426C17"/>
    <w:rsid w:val="00430DC5"/>
    <w:rsid w:val="00450D89"/>
    <w:rsid w:val="004533A7"/>
    <w:rsid w:val="00460505"/>
    <w:rsid w:val="00463122"/>
    <w:rsid w:val="004651F9"/>
    <w:rsid w:val="00475D15"/>
    <w:rsid w:val="00480E77"/>
    <w:rsid w:val="00484C39"/>
    <w:rsid w:val="004955D9"/>
    <w:rsid w:val="004B760D"/>
    <w:rsid w:val="004D527D"/>
    <w:rsid w:val="004E633C"/>
    <w:rsid w:val="004F26E6"/>
    <w:rsid w:val="00511CA5"/>
    <w:rsid w:val="005150CE"/>
    <w:rsid w:val="00520EAF"/>
    <w:rsid w:val="00527C07"/>
    <w:rsid w:val="00530814"/>
    <w:rsid w:val="00530D7E"/>
    <w:rsid w:val="00545301"/>
    <w:rsid w:val="00565333"/>
    <w:rsid w:val="005716CF"/>
    <w:rsid w:val="00575FFE"/>
    <w:rsid w:val="005809F2"/>
    <w:rsid w:val="00591B39"/>
    <w:rsid w:val="005B1CC3"/>
    <w:rsid w:val="005B5A07"/>
    <w:rsid w:val="005B7C97"/>
    <w:rsid w:val="005C1372"/>
    <w:rsid w:val="005C2D67"/>
    <w:rsid w:val="005C5C47"/>
    <w:rsid w:val="005D0A28"/>
    <w:rsid w:val="005D22D3"/>
    <w:rsid w:val="005E7C6E"/>
    <w:rsid w:val="00607A4B"/>
    <w:rsid w:val="00610B2E"/>
    <w:rsid w:val="0062704E"/>
    <w:rsid w:val="00627E7F"/>
    <w:rsid w:val="00634682"/>
    <w:rsid w:val="0063507E"/>
    <w:rsid w:val="006363E9"/>
    <w:rsid w:val="0064200E"/>
    <w:rsid w:val="00685371"/>
    <w:rsid w:val="006858D6"/>
    <w:rsid w:val="00687908"/>
    <w:rsid w:val="00687E74"/>
    <w:rsid w:val="006A0189"/>
    <w:rsid w:val="006A1127"/>
    <w:rsid w:val="006A2F72"/>
    <w:rsid w:val="006A3278"/>
    <w:rsid w:val="006D076F"/>
    <w:rsid w:val="006D153A"/>
    <w:rsid w:val="006D3EBD"/>
    <w:rsid w:val="006E2F55"/>
    <w:rsid w:val="006E6F0B"/>
    <w:rsid w:val="007104E4"/>
    <w:rsid w:val="0071173A"/>
    <w:rsid w:val="00725540"/>
    <w:rsid w:val="00740A87"/>
    <w:rsid w:val="007442BB"/>
    <w:rsid w:val="007463C5"/>
    <w:rsid w:val="00746846"/>
    <w:rsid w:val="007510C3"/>
    <w:rsid w:val="0075381E"/>
    <w:rsid w:val="00760C34"/>
    <w:rsid w:val="0076458E"/>
    <w:rsid w:val="00767063"/>
    <w:rsid w:val="00771A95"/>
    <w:rsid w:val="007940AE"/>
    <w:rsid w:val="007A10F9"/>
    <w:rsid w:val="007A1486"/>
    <w:rsid w:val="007A4C02"/>
    <w:rsid w:val="007B49CD"/>
    <w:rsid w:val="007B593B"/>
    <w:rsid w:val="007B5A46"/>
    <w:rsid w:val="007C1BC2"/>
    <w:rsid w:val="007D0DBA"/>
    <w:rsid w:val="007D4DB0"/>
    <w:rsid w:val="007F073B"/>
    <w:rsid w:val="007F4A8B"/>
    <w:rsid w:val="00805C72"/>
    <w:rsid w:val="00831225"/>
    <w:rsid w:val="0083638A"/>
    <w:rsid w:val="008428AB"/>
    <w:rsid w:val="008619F6"/>
    <w:rsid w:val="00863664"/>
    <w:rsid w:val="00874CF3"/>
    <w:rsid w:val="008807C1"/>
    <w:rsid w:val="0088151C"/>
    <w:rsid w:val="008817AB"/>
    <w:rsid w:val="008843A4"/>
    <w:rsid w:val="008A7DD6"/>
    <w:rsid w:val="008B1C49"/>
    <w:rsid w:val="008B67CC"/>
    <w:rsid w:val="008D0E51"/>
    <w:rsid w:val="008D1228"/>
    <w:rsid w:val="008D49B8"/>
    <w:rsid w:val="008E3BDA"/>
    <w:rsid w:val="008E7040"/>
    <w:rsid w:val="008F452F"/>
    <w:rsid w:val="00901AD7"/>
    <w:rsid w:val="00905ADC"/>
    <w:rsid w:val="00906C33"/>
    <w:rsid w:val="009173AF"/>
    <w:rsid w:val="00921161"/>
    <w:rsid w:val="00931BF6"/>
    <w:rsid w:val="00932946"/>
    <w:rsid w:val="009424FA"/>
    <w:rsid w:val="009426CB"/>
    <w:rsid w:val="00963073"/>
    <w:rsid w:val="0097315A"/>
    <w:rsid w:val="009825FF"/>
    <w:rsid w:val="00990BF5"/>
    <w:rsid w:val="009A3F0A"/>
    <w:rsid w:val="009B1372"/>
    <w:rsid w:val="009B3EFE"/>
    <w:rsid w:val="009B493A"/>
    <w:rsid w:val="009B60BC"/>
    <w:rsid w:val="009C1AD0"/>
    <w:rsid w:val="009D3D73"/>
    <w:rsid w:val="009E73AD"/>
    <w:rsid w:val="009F5357"/>
    <w:rsid w:val="009F7653"/>
    <w:rsid w:val="00A00569"/>
    <w:rsid w:val="00A21E85"/>
    <w:rsid w:val="00A243EE"/>
    <w:rsid w:val="00A2712A"/>
    <w:rsid w:val="00A3306B"/>
    <w:rsid w:val="00A36044"/>
    <w:rsid w:val="00A366A9"/>
    <w:rsid w:val="00A45659"/>
    <w:rsid w:val="00A46912"/>
    <w:rsid w:val="00A47A03"/>
    <w:rsid w:val="00A64099"/>
    <w:rsid w:val="00A92CB1"/>
    <w:rsid w:val="00A96425"/>
    <w:rsid w:val="00AA7E96"/>
    <w:rsid w:val="00AB6016"/>
    <w:rsid w:val="00AC2A37"/>
    <w:rsid w:val="00AD0E50"/>
    <w:rsid w:val="00AD632D"/>
    <w:rsid w:val="00AE3C2B"/>
    <w:rsid w:val="00AE7369"/>
    <w:rsid w:val="00AF0554"/>
    <w:rsid w:val="00AF1C07"/>
    <w:rsid w:val="00AF737F"/>
    <w:rsid w:val="00B006DF"/>
    <w:rsid w:val="00B02704"/>
    <w:rsid w:val="00B05ECD"/>
    <w:rsid w:val="00B06172"/>
    <w:rsid w:val="00B13CA2"/>
    <w:rsid w:val="00B16A24"/>
    <w:rsid w:val="00B16A8C"/>
    <w:rsid w:val="00B23B5A"/>
    <w:rsid w:val="00B275C1"/>
    <w:rsid w:val="00B6522B"/>
    <w:rsid w:val="00B65709"/>
    <w:rsid w:val="00B65982"/>
    <w:rsid w:val="00B67DF2"/>
    <w:rsid w:val="00B7581A"/>
    <w:rsid w:val="00B85BF7"/>
    <w:rsid w:val="00B939CC"/>
    <w:rsid w:val="00BA4BBC"/>
    <w:rsid w:val="00BC25DE"/>
    <w:rsid w:val="00BC547B"/>
    <w:rsid w:val="00BD4B6C"/>
    <w:rsid w:val="00BD6739"/>
    <w:rsid w:val="00BE1625"/>
    <w:rsid w:val="00BF69DA"/>
    <w:rsid w:val="00C0199F"/>
    <w:rsid w:val="00C15095"/>
    <w:rsid w:val="00C37933"/>
    <w:rsid w:val="00C408C7"/>
    <w:rsid w:val="00C47EEA"/>
    <w:rsid w:val="00C519D0"/>
    <w:rsid w:val="00C53796"/>
    <w:rsid w:val="00C55575"/>
    <w:rsid w:val="00C6087B"/>
    <w:rsid w:val="00C6330D"/>
    <w:rsid w:val="00C70ACB"/>
    <w:rsid w:val="00C772D2"/>
    <w:rsid w:val="00C826FF"/>
    <w:rsid w:val="00C86D9E"/>
    <w:rsid w:val="00C9261C"/>
    <w:rsid w:val="00C95B9D"/>
    <w:rsid w:val="00CA35B1"/>
    <w:rsid w:val="00CA4FEC"/>
    <w:rsid w:val="00CA62E2"/>
    <w:rsid w:val="00CD7921"/>
    <w:rsid w:val="00CE084B"/>
    <w:rsid w:val="00CE2FF3"/>
    <w:rsid w:val="00CE70B3"/>
    <w:rsid w:val="00D02D57"/>
    <w:rsid w:val="00D0692A"/>
    <w:rsid w:val="00D118D6"/>
    <w:rsid w:val="00D20266"/>
    <w:rsid w:val="00D20C29"/>
    <w:rsid w:val="00D33842"/>
    <w:rsid w:val="00D47915"/>
    <w:rsid w:val="00D57D6E"/>
    <w:rsid w:val="00D61F5A"/>
    <w:rsid w:val="00D656C2"/>
    <w:rsid w:val="00D9214A"/>
    <w:rsid w:val="00D94CF6"/>
    <w:rsid w:val="00DB3F6A"/>
    <w:rsid w:val="00DB4C12"/>
    <w:rsid w:val="00DC55D0"/>
    <w:rsid w:val="00DD1E5B"/>
    <w:rsid w:val="00DF28FE"/>
    <w:rsid w:val="00DF61A5"/>
    <w:rsid w:val="00E0081E"/>
    <w:rsid w:val="00E02094"/>
    <w:rsid w:val="00E10F4C"/>
    <w:rsid w:val="00E2419F"/>
    <w:rsid w:val="00E27046"/>
    <w:rsid w:val="00E366D6"/>
    <w:rsid w:val="00E63D8B"/>
    <w:rsid w:val="00E81F4B"/>
    <w:rsid w:val="00E9799A"/>
    <w:rsid w:val="00EA11BE"/>
    <w:rsid w:val="00EB7FC6"/>
    <w:rsid w:val="00EC644A"/>
    <w:rsid w:val="00EC6A3F"/>
    <w:rsid w:val="00ED6F34"/>
    <w:rsid w:val="00EE249B"/>
    <w:rsid w:val="00F30554"/>
    <w:rsid w:val="00F348D2"/>
    <w:rsid w:val="00F4485F"/>
    <w:rsid w:val="00F44B6A"/>
    <w:rsid w:val="00F521C7"/>
    <w:rsid w:val="00F60BF8"/>
    <w:rsid w:val="00F61C61"/>
    <w:rsid w:val="00F64863"/>
    <w:rsid w:val="00F75775"/>
    <w:rsid w:val="00F75AC2"/>
    <w:rsid w:val="00F7602A"/>
    <w:rsid w:val="00F812EF"/>
    <w:rsid w:val="00F960C1"/>
    <w:rsid w:val="00FA0331"/>
    <w:rsid w:val="00FC049C"/>
    <w:rsid w:val="00FC1C0E"/>
    <w:rsid w:val="00FC5ED8"/>
    <w:rsid w:val="00FE0AF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C826FF"/>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C826FF"/>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C826FF"/>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C826FF"/>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C826FF"/>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C826FF"/>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C826FF"/>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C826FF"/>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C826FF"/>
    <w:rPr>
      <w:rFonts w:ascii="Cambria" w:hAnsi="Cambria" w:cs="Times New Roman"/>
      <w:lang w:eastAsia="en-US"/>
    </w:rPr>
  </w:style>
  <w:style w:type="paragraph" w:styleId="BalloonText">
    <w:name w:val="Balloon Text"/>
    <w:basedOn w:val="Normal"/>
    <w:link w:val="BalloonTextChar"/>
    <w:uiPriority w:val="99"/>
    <w:semiHidden/>
    <w:rsid w:val="00771A95"/>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C826FF"/>
    <w:rPr>
      <w:rFonts w:cs="Times New Roman"/>
      <w:sz w:val="2"/>
      <w:lang w:eastAsia="en-US"/>
    </w:rPr>
  </w:style>
  <w:style w:type="paragraph" w:styleId="BodyText">
    <w:name w:val="Body Text"/>
    <w:basedOn w:val="Normal"/>
    <w:link w:val="BodyTextChar"/>
    <w:uiPriority w:val="99"/>
    <w:rsid w:val="00AF1C07"/>
  </w:style>
  <w:style w:type="character" w:customStyle="1" w:styleId="BodyTextChar">
    <w:name w:val="Body Text Char"/>
    <w:basedOn w:val="DefaultParagraphFont"/>
    <w:link w:val="BodyText"/>
    <w:uiPriority w:val="99"/>
    <w:semiHidden/>
    <w:locked/>
    <w:rsid w:val="00C826FF"/>
    <w:rPr>
      <w:rFonts w:ascii="Arial" w:hAnsi="Arial" w:cs="Times New Roman"/>
      <w:sz w:val="20"/>
      <w:szCs w:val="20"/>
      <w:lang w:eastAsia="en-US"/>
    </w:rPr>
  </w:style>
  <w:style w:type="paragraph" w:styleId="BodyTextIndent">
    <w:name w:val="Body Text Indent"/>
    <w:basedOn w:val="Normal"/>
    <w:link w:val="BodyTextIndentChar"/>
    <w:uiPriority w:val="99"/>
    <w:rsid w:val="00AF1C07"/>
    <w:pPr>
      <w:ind w:left="288"/>
    </w:pPr>
  </w:style>
  <w:style w:type="character" w:customStyle="1" w:styleId="BodyTextIndentChar">
    <w:name w:val="Body Text Indent Char"/>
    <w:basedOn w:val="DefaultParagraphFont"/>
    <w:link w:val="BodyTextIndent"/>
    <w:uiPriority w:val="99"/>
    <w:semiHidden/>
    <w:locked/>
    <w:rsid w:val="00C826FF"/>
    <w:rPr>
      <w:rFonts w:ascii="Arial" w:hAnsi="Arial" w:cs="Times New Roman"/>
      <w:sz w:val="20"/>
      <w:szCs w:val="20"/>
      <w:lang w:eastAsia="en-US"/>
    </w:rPr>
  </w:style>
  <w:style w:type="paragraph" w:customStyle="1" w:styleId="DeptBullets">
    <w:name w:val="DeptBullets"/>
    <w:basedOn w:val="Normal"/>
    <w:uiPriority w:val="99"/>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character" w:customStyle="1" w:styleId="FooterChar">
    <w:name w:val="Footer Char"/>
    <w:basedOn w:val="DefaultParagraphFont"/>
    <w:link w:val="Footer"/>
    <w:uiPriority w:val="99"/>
    <w:semiHidden/>
    <w:locked/>
    <w:rsid w:val="00C826FF"/>
    <w:rPr>
      <w:rFonts w:ascii="Arial" w:hAnsi="Arial" w:cs="Times New Roman"/>
      <w:sz w:val="20"/>
      <w:szCs w:val="20"/>
      <w:lang w:eastAsia="en-US"/>
    </w:rPr>
  </w:style>
  <w:style w:type="paragraph" w:styleId="Header">
    <w:name w:val="header"/>
    <w:basedOn w:val="Normal"/>
    <w:link w:val="HeaderChar"/>
    <w:uiPriority w:val="99"/>
    <w:rsid w:val="00AF1C07"/>
    <w:pPr>
      <w:tabs>
        <w:tab w:val="center" w:pos="4153"/>
        <w:tab w:val="right" w:pos="8306"/>
      </w:tabs>
    </w:pPr>
  </w:style>
  <w:style w:type="character" w:customStyle="1" w:styleId="HeaderChar">
    <w:name w:val="Header Char"/>
    <w:basedOn w:val="DefaultParagraphFont"/>
    <w:link w:val="Header"/>
    <w:uiPriority w:val="99"/>
    <w:semiHidden/>
    <w:locked/>
    <w:rsid w:val="00C826FF"/>
    <w:rPr>
      <w:rFonts w:ascii="Arial" w:hAnsi="Arial" w:cs="Times New Roman"/>
      <w:sz w:val="20"/>
      <w:szCs w:val="20"/>
      <w:lang w:eastAsia="en-US"/>
    </w:r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rPr>
      <w:rFonts w:cs="Times New Roman"/>
    </w:rPr>
  </w:style>
  <w:style w:type="character" w:customStyle="1" w:styleId="PersonalComposeStyle">
    <w:name w:val="Personal Compose Style"/>
    <w:basedOn w:val="DefaultParagraphFont"/>
    <w:uiPriority w:val="99"/>
    <w:rsid w:val="00AF1C07"/>
    <w:rPr>
      <w:rFonts w:ascii="Arial" w:hAnsi="Arial" w:cs="Arial"/>
      <w:color w:val="auto"/>
      <w:sz w:val="20"/>
    </w:rPr>
  </w:style>
  <w:style w:type="character" w:customStyle="1" w:styleId="PersonalReplyStyle">
    <w:name w:val="Personal Reply Style"/>
    <w:basedOn w:val="DefaultParagraphFont"/>
    <w:uiPriority w:val="99"/>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character" w:customStyle="1" w:styleId="SubtitleChar">
    <w:name w:val="Subtitle Char"/>
    <w:basedOn w:val="DefaultParagraphFont"/>
    <w:link w:val="Subtitle"/>
    <w:uiPriority w:val="99"/>
    <w:locked/>
    <w:rsid w:val="00C826FF"/>
    <w:rPr>
      <w:rFonts w:ascii="Cambria" w:hAnsi="Cambria" w:cs="Times New Roman"/>
      <w:sz w:val="24"/>
      <w:szCs w:val="24"/>
      <w:lang w:eastAsia="en-US"/>
    </w:rPr>
  </w:style>
  <w:style w:type="paragraph" w:customStyle="1" w:styleId="DfESOutNumbered">
    <w:name w:val="DfESOutNumbered"/>
    <w:basedOn w:val="Normal"/>
    <w:uiPriority w:val="99"/>
    <w:rsid w:val="00AF1C07"/>
    <w:pPr>
      <w:numPr>
        <w:numId w:val="4"/>
      </w:numPr>
      <w:spacing w:after="240"/>
    </w:pPr>
    <w:rPr>
      <w:rFonts w:cs="Arial"/>
      <w:sz w:val="22"/>
    </w:rPr>
  </w:style>
  <w:style w:type="paragraph" w:customStyle="1" w:styleId="DfESBullets">
    <w:name w:val="DfESBullets"/>
    <w:basedOn w:val="Normal"/>
    <w:uiPriority w:val="99"/>
    <w:rsid w:val="00AF1C07"/>
    <w:pPr>
      <w:numPr>
        <w:numId w:val="5"/>
      </w:numPr>
      <w:spacing w:after="240"/>
    </w:pPr>
    <w:rPr>
      <w:rFonts w:cs="Arial"/>
      <w:sz w:val="22"/>
    </w:rPr>
  </w:style>
  <w:style w:type="paragraph" w:styleId="ListParagraph">
    <w:name w:val="List Paragraph"/>
    <w:basedOn w:val="Normal"/>
    <w:uiPriority w:val="99"/>
    <w:qFormat/>
    <w:rsid w:val="007463C5"/>
    <w:pPr>
      <w:ind w:left="720"/>
      <w:contextualSpacing/>
    </w:pPr>
  </w:style>
  <w:style w:type="paragraph" w:customStyle="1" w:styleId="Submissionnumberedparagraph">
    <w:name w:val="Submission numbered paragraph"/>
    <w:basedOn w:val="Normal"/>
    <w:uiPriority w:val="99"/>
    <w:rsid w:val="00C0199F"/>
    <w:pPr>
      <w:widowControl/>
      <w:numPr>
        <w:numId w:val="8"/>
      </w:numPr>
      <w:overflowPunct/>
      <w:autoSpaceDE/>
      <w:autoSpaceDN/>
      <w:adjustRightInd/>
      <w:spacing w:after="300"/>
      <w:jc w:val="both"/>
      <w:textAlignment w:val="auto"/>
    </w:pPr>
    <w:rPr>
      <w:rFonts w:ascii="Times New Roman" w:hAnsi="Times New Roman"/>
      <w:lang w:eastAsia="en-GB"/>
    </w:rPr>
  </w:style>
  <w:style w:type="character" w:styleId="CommentReference">
    <w:name w:val="annotation reference"/>
    <w:basedOn w:val="DefaultParagraphFont"/>
    <w:uiPriority w:val="99"/>
    <w:semiHidden/>
    <w:rsid w:val="00771A95"/>
    <w:rPr>
      <w:rFonts w:cs="Times New Roman"/>
      <w:sz w:val="16"/>
      <w:szCs w:val="16"/>
    </w:rPr>
  </w:style>
  <w:style w:type="paragraph" w:styleId="CommentText">
    <w:name w:val="annotation text"/>
    <w:basedOn w:val="Normal"/>
    <w:link w:val="CommentTextChar"/>
    <w:uiPriority w:val="99"/>
    <w:semiHidden/>
    <w:rsid w:val="00771A95"/>
    <w:rPr>
      <w:sz w:val="20"/>
    </w:rPr>
  </w:style>
  <w:style w:type="character" w:customStyle="1" w:styleId="CommentTextChar">
    <w:name w:val="Comment Text Char"/>
    <w:basedOn w:val="DefaultParagraphFont"/>
    <w:link w:val="CommentText"/>
    <w:uiPriority w:val="99"/>
    <w:semiHidden/>
    <w:locked/>
    <w:rsid w:val="00C826FF"/>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771A95"/>
    <w:rPr>
      <w:b/>
      <w:bCs/>
    </w:rPr>
  </w:style>
  <w:style w:type="character" w:customStyle="1" w:styleId="CommentSubjectChar">
    <w:name w:val="Comment Subject Char"/>
    <w:basedOn w:val="CommentTextChar"/>
    <w:link w:val="CommentSubject"/>
    <w:uiPriority w:val="99"/>
    <w:semiHidden/>
    <w:locked/>
    <w:rsid w:val="00C826FF"/>
    <w:rPr>
      <w:rFonts w:ascii="Arial" w:hAnsi="Arial" w:cs="Times New Roman"/>
      <w:b/>
      <w:bCs/>
      <w:sz w:val="20"/>
      <w:szCs w:val="20"/>
      <w:lang w:eastAsia="en-US"/>
    </w:rPr>
  </w:style>
  <w:style w:type="paragraph" w:styleId="FootnoteText">
    <w:name w:val="footnote text"/>
    <w:basedOn w:val="Normal"/>
    <w:link w:val="FootnoteTextChar1"/>
    <w:uiPriority w:val="99"/>
    <w:semiHidden/>
    <w:locked/>
    <w:rsid w:val="000043CE"/>
    <w:rPr>
      <w:sz w:val="20"/>
    </w:rPr>
  </w:style>
  <w:style w:type="character" w:customStyle="1" w:styleId="FootnoteTextChar">
    <w:name w:val="Footnote Text Char"/>
    <w:basedOn w:val="DefaultParagraphFont"/>
    <w:uiPriority w:val="99"/>
    <w:semiHidden/>
    <w:locked/>
    <w:rsid w:val="00D0692A"/>
    <w:rPr>
      <w:rFonts w:ascii="Arial" w:hAnsi="Arial" w:cs="Times New Roman"/>
      <w:sz w:val="20"/>
      <w:szCs w:val="20"/>
      <w:lang w:eastAsia="en-US"/>
    </w:rPr>
  </w:style>
  <w:style w:type="character" w:styleId="FootnoteReference">
    <w:name w:val="footnote reference"/>
    <w:basedOn w:val="DefaultParagraphFont"/>
    <w:uiPriority w:val="99"/>
    <w:semiHidden/>
    <w:locked/>
    <w:rsid w:val="000043CE"/>
    <w:rPr>
      <w:rFonts w:cs="Times New Roman"/>
      <w:vertAlign w:val="superscript"/>
    </w:rPr>
  </w:style>
  <w:style w:type="character" w:customStyle="1" w:styleId="FootnoteTextChar1">
    <w:name w:val="Footnote Text Char1"/>
    <w:link w:val="FootnoteText"/>
    <w:uiPriority w:val="99"/>
    <w:semiHidden/>
    <w:locked/>
    <w:rsid w:val="009B1372"/>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C826FF"/>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C826FF"/>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C826FF"/>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C826FF"/>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C826FF"/>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C826FF"/>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C826FF"/>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C826FF"/>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C826FF"/>
    <w:rPr>
      <w:rFonts w:ascii="Cambria" w:hAnsi="Cambria" w:cs="Times New Roman"/>
      <w:lang w:eastAsia="en-US"/>
    </w:rPr>
  </w:style>
  <w:style w:type="paragraph" w:styleId="BalloonText">
    <w:name w:val="Balloon Text"/>
    <w:basedOn w:val="Normal"/>
    <w:link w:val="BalloonTextChar"/>
    <w:uiPriority w:val="99"/>
    <w:semiHidden/>
    <w:rsid w:val="00771A95"/>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C826FF"/>
    <w:rPr>
      <w:rFonts w:cs="Times New Roman"/>
      <w:sz w:val="2"/>
      <w:lang w:eastAsia="en-US"/>
    </w:rPr>
  </w:style>
  <w:style w:type="paragraph" w:styleId="BodyText">
    <w:name w:val="Body Text"/>
    <w:basedOn w:val="Normal"/>
    <w:link w:val="BodyTextChar"/>
    <w:uiPriority w:val="99"/>
    <w:rsid w:val="00AF1C07"/>
  </w:style>
  <w:style w:type="character" w:customStyle="1" w:styleId="BodyTextChar">
    <w:name w:val="Body Text Char"/>
    <w:basedOn w:val="DefaultParagraphFont"/>
    <w:link w:val="BodyText"/>
    <w:uiPriority w:val="99"/>
    <w:semiHidden/>
    <w:locked/>
    <w:rsid w:val="00C826FF"/>
    <w:rPr>
      <w:rFonts w:ascii="Arial" w:hAnsi="Arial" w:cs="Times New Roman"/>
      <w:sz w:val="20"/>
      <w:szCs w:val="20"/>
      <w:lang w:eastAsia="en-US"/>
    </w:rPr>
  </w:style>
  <w:style w:type="paragraph" w:styleId="BodyTextIndent">
    <w:name w:val="Body Text Indent"/>
    <w:basedOn w:val="Normal"/>
    <w:link w:val="BodyTextIndentChar"/>
    <w:uiPriority w:val="99"/>
    <w:rsid w:val="00AF1C07"/>
    <w:pPr>
      <w:ind w:left="288"/>
    </w:pPr>
  </w:style>
  <w:style w:type="character" w:customStyle="1" w:styleId="BodyTextIndentChar">
    <w:name w:val="Body Text Indent Char"/>
    <w:basedOn w:val="DefaultParagraphFont"/>
    <w:link w:val="BodyTextIndent"/>
    <w:uiPriority w:val="99"/>
    <w:semiHidden/>
    <w:locked/>
    <w:rsid w:val="00C826FF"/>
    <w:rPr>
      <w:rFonts w:ascii="Arial" w:hAnsi="Arial" w:cs="Times New Roman"/>
      <w:sz w:val="20"/>
      <w:szCs w:val="20"/>
      <w:lang w:eastAsia="en-US"/>
    </w:rPr>
  </w:style>
  <w:style w:type="paragraph" w:customStyle="1" w:styleId="DeptBullets">
    <w:name w:val="DeptBullets"/>
    <w:basedOn w:val="Normal"/>
    <w:uiPriority w:val="99"/>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character" w:customStyle="1" w:styleId="FooterChar">
    <w:name w:val="Footer Char"/>
    <w:basedOn w:val="DefaultParagraphFont"/>
    <w:link w:val="Footer"/>
    <w:uiPriority w:val="99"/>
    <w:semiHidden/>
    <w:locked/>
    <w:rsid w:val="00C826FF"/>
    <w:rPr>
      <w:rFonts w:ascii="Arial" w:hAnsi="Arial" w:cs="Times New Roman"/>
      <w:sz w:val="20"/>
      <w:szCs w:val="20"/>
      <w:lang w:eastAsia="en-US"/>
    </w:rPr>
  </w:style>
  <w:style w:type="paragraph" w:styleId="Header">
    <w:name w:val="header"/>
    <w:basedOn w:val="Normal"/>
    <w:link w:val="HeaderChar"/>
    <w:uiPriority w:val="99"/>
    <w:rsid w:val="00AF1C07"/>
    <w:pPr>
      <w:tabs>
        <w:tab w:val="center" w:pos="4153"/>
        <w:tab w:val="right" w:pos="8306"/>
      </w:tabs>
    </w:pPr>
  </w:style>
  <w:style w:type="character" w:customStyle="1" w:styleId="HeaderChar">
    <w:name w:val="Header Char"/>
    <w:basedOn w:val="DefaultParagraphFont"/>
    <w:link w:val="Header"/>
    <w:uiPriority w:val="99"/>
    <w:semiHidden/>
    <w:locked/>
    <w:rsid w:val="00C826FF"/>
    <w:rPr>
      <w:rFonts w:ascii="Arial" w:hAnsi="Arial" w:cs="Times New Roman"/>
      <w:sz w:val="20"/>
      <w:szCs w:val="20"/>
      <w:lang w:eastAsia="en-US"/>
    </w:r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rPr>
      <w:rFonts w:cs="Times New Roman"/>
    </w:rPr>
  </w:style>
  <w:style w:type="character" w:customStyle="1" w:styleId="PersonalComposeStyle">
    <w:name w:val="Personal Compose Style"/>
    <w:basedOn w:val="DefaultParagraphFont"/>
    <w:uiPriority w:val="99"/>
    <w:rsid w:val="00AF1C07"/>
    <w:rPr>
      <w:rFonts w:ascii="Arial" w:hAnsi="Arial" w:cs="Arial"/>
      <w:color w:val="auto"/>
      <w:sz w:val="20"/>
    </w:rPr>
  </w:style>
  <w:style w:type="character" w:customStyle="1" w:styleId="PersonalReplyStyle">
    <w:name w:val="Personal Reply Style"/>
    <w:basedOn w:val="DefaultParagraphFont"/>
    <w:uiPriority w:val="99"/>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character" w:customStyle="1" w:styleId="SubtitleChar">
    <w:name w:val="Subtitle Char"/>
    <w:basedOn w:val="DefaultParagraphFont"/>
    <w:link w:val="Subtitle"/>
    <w:uiPriority w:val="99"/>
    <w:locked/>
    <w:rsid w:val="00C826FF"/>
    <w:rPr>
      <w:rFonts w:ascii="Cambria" w:hAnsi="Cambria" w:cs="Times New Roman"/>
      <w:sz w:val="24"/>
      <w:szCs w:val="24"/>
      <w:lang w:eastAsia="en-US"/>
    </w:rPr>
  </w:style>
  <w:style w:type="paragraph" w:customStyle="1" w:styleId="DfESOutNumbered">
    <w:name w:val="DfESOutNumbered"/>
    <w:basedOn w:val="Normal"/>
    <w:uiPriority w:val="99"/>
    <w:rsid w:val="00AF1C07"/>
    <w:pPr>
      <w:numPr>
        <w:numId w:val="4"/>
      </w:numPr>
      <w:spacing w:after="240"/>
    </w:pPr>
    <w:rPr>
      <w:rFonts w:cs="Arial"/>
      <w:sz w:val="22"/>
    </w:rPr>
  </w:style>
  <w:style w:type="paragraph" w:customStyle="1" w:styleId="DfESBullets">
    <w:name w:val="DfESBullets"/>
    <w:basedOn w:val="Normal"/>
    <w:uiPriority w:val="99"/>
    <w:rsid w:val="00AF1C07"/>
    <w:pPr>
      <w:numPr>
        <w:numId w:val="5"/>
      </w:numPr>
      <w:spacing w:after="240"/>
    </w:pPr>
    <w:rPr>
      <w:rFonts w:cs="Arial"/>
      <w:sz w:val="22"/>
    </w:rPr>
  </w:style>
  <w:style w:type="paragraph" w:styleId="ListParagraph">
    <w:name w:val="List Paragraph"/>
    <w:basedOn w:val="Normal"/>
    <w:uiPriority w:val="99"/>
    <w:qFormat/>
    <w:rsid w:val="007463C5"/>
    <w:pPr>
      <w:ind w:left="720"/>
      <w:contextualSpacing/>
    </w:pPr>
  </w:style>
  <w:style w:type="paragraph" w:customStyle="1" w:styleId="Submissionnumberedparagraph">
    <w:name w:val="Submission numbered paragraph"/>
    <w:basedOn w:val="Normal"/>
    <w:uiPriority w:val="99"/>
    <w:rsid w:val="00C0199F"/>
    <w:pPr>
      <w:widowControl/>
      <w:numPr>
        <w:numId w:val="8"/>
      </w:numPr>
      <w:overflowPunct/>
      <w:autoSpaceDE/>
      <w:autoSpaceDN/>
      <w:adjustRightInd/>
      <w:spacing w:after="300"/>
      <w:jc w:val="both"/>
      <w:textAlignment w:val="auto"/>
    </w:pPr>
    <w:rPr>
      <w:rFonts w:ascii="Times New Roman" w:hAnsi="Times New Roman"/>
      <w:lang w:eastAsia="en-GB"/>
    </w:rPr>
  </w:style>
  <w:style w:type="character" w:styleId="CommentReference">
    <w:name w:val="annotation reference"/>
    <w:basedOn w:val="DefaultParagraphFont"/>
    <w:uiPriority w:val="99"/>
    <w:semiHidden/>
    <w:rsid w:val="00771A95"/>
    <w:rPr>
      <w:rFonts w:cs="Times New Roman"/>
      <w:sz w:val="16"/>
      <w:szCs w:val="16"/>
    </w:rPr>
  </w:style>
  <w:style w:type="paragraph" w:styleId="CommentText">
    <w:name w:val="annotation text"/>
    <w:basedOn w:val="Normal"/>
    <w:link w:val="CommentTextChar"/>
    <w:uiPriority w:val="99"/>
    <w:semiHidden/>
    <w:rsid w:val="00771A95"/>
    <w:rPr>
      <w:sz w:val="20"/>
    </w:rPr>
  </w:style>
  <w:style w:type="character" w:customStyle="1" w:styleId="CommentTextChar">
    <w:name w:val="Comment Text Char"/>
    <w:basedOn w:val="DefaultParagraphFont"/>
    <w:link w:val="CommentText"/>
    <w:uiPriority w:val="99"/>
    <w:semiHidden/>
    <w:locked/>
    <w:rsid w:val="00C826FF"/>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771A95"/>
    <w:rPr>
      <w:b/>
      <w:bCs/>
    </w:rPr>
  </w:style>
  <w:style w:type="character" w:customStyle="1" w:styleId="CommentSubjectChar">
    <w:name w:val="Comment Subject Char"/>
    <w:basedOn w:val="CommentTextChar"/>
    <w:link w:val="CommentSubject"/>
    <w:uiPriority w:val="99"/>
    <w:semiHidden/>
    <w:locked/>
    <w:rsid w:val="00C826FF"/>
    <w:rPr>
      <w:rFonts w:ascii="Arial" w:hAnsi="Arial" w:cs="Times New Roman"/>
      <w:b/>
      <w:bCs/>
      <w:sz w:val="20"/>
      <w:szCs w:val="20"/>
      <w:lang w:eastAsia="en-US"/>
    </w:rPr>
  </w:style>
  <w:style w:type="paragraph" w:styleId="FootnoteText">
    <w:name w:val="footnote text"/>
    <w:basedOn w:val="Normal"/>
    <w:link w:val="FootnoteTextChar1"/>
    <w:uiPriority w:val="99"/>
    <w:semiHidden/>
    <w:locked/>
    <w:rsid w:val="000043CE"/>
    <w:rPr>
      <w:sz w:val="20"/>
    </w:rPr>
  </w:style>
  <w:style w:type="character" w:customStyle="1" w:styleId="FootnoteTextChar">
    <w:name w:val="Footnote Text Char"/>
    <w:basedOn w:val="DefaultParagraphFont"/>
    <w:uiPriority w:val="99"/>
    <w:semiHidden/>
    <w:locked/>
    <w:rsid w:val="00D0692A"/>
    <w:rPr>
      <w:rFonts w:ascii="Arial" w:hAnsi="Arial" w:cs="Times New Roman"/>
      <w:sz w:val="20"/>
      <w:szCs w:val="20"/>
      <w:lang w:eastAsia="en-US"/>
    </w:rPr>
  </w:style>
  <w:style w:type="character" w:styleId="FootnoteReference">
    <w:name w:val="footnote reference"/>
    <w:basedOn w:val="DefaultParagraphFont"/>
    <w:uiPriority w:val="99"/>
    <w:semiHidden/>
    <w:locked/>
    <w:rsid w:val="000043CE"/>
    <w:rPr>
      <w:rFonts w:cs="Times New Roman"/>
      <w:vertAlign w:val="superscript"/>
    </w:rPr>
  </w:style>
  <w:style w:type="character" w:customStyle="1" w:styleId="FootnoteTextChar1">
    <w:name w:val="Footnote Text Char1"/>
    <w:link w:val="FootnoteText"/>
    <w:uiPriority w:val="99"/>
    <w:semiHidden/>
    <w:locked/>
    <w:rsid w:val="009B1372"/>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w:divs>
    <w:div w:id="1065881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OOB xmlns="D81650DC-B853-4132-8540-9C07245AC65B">unclassified</SecurityClassificationOOB>
    <SiteTypeOOB xmlns="D81650DC-B853-4132-8540-9C07245AC65B" xsi:nil="true"/>
    <Owner xmlns="D81650DC-B853-4132-8540-9C07245AC65B" xsi:nil="true"/>
    <Team xmlns="D81650DC-B853-4132-8540-9C07245AC65B" xsi:nil="true"/>
    <Division xmlns="D81650DC-B853-4132-8540-9C07245AC65B" xsi:nil="true"/>
    <_Source xmlns="http://schemas.microsoft.com/sharepoint/v3" xsi:nil="true"/>
    <DocumentSubjectOOB xmlns="D81650DC-B853-4132-8540-9C07245AC65B" xsi:nil="true"/>
    <IsLink xmlns="http://schemas.microsoft.com/sharepoint/v3" xsi:nil="true"/>
    <OwnerOOB xmlns="D81650DC-B853-4132-8540-9C07245AC65B" xsi:nil="true"/>
    <DocumentStatusOOB xmlns="D81650DC-B853-4132-8540-9C07245AC65B">draft</DocumentStatusOOB>
    <Function2OOB xmlns="D81650DC-B853-4132-8540-9C07245AC65B" xsi:nil="true"/>
    <Description xmlns="D81650DC-B853-4132-8540-9C07245AC65B" xsi:nil="true"/>
    <DocumentSubject xmlns="D81650DC-B853-4132-8540-9C07245AC65B" xsi:nil="true"/>
    <SecurityClassification xmlns="D81650DC-B853-4132-8540-9C07245AC65B" xsi:nil="true"/>
    <IWPGroup xmlns="D81650DC-B853-4132-8540-9C07245AC65B" xsi:nil="true"/>
    <SiteType xmlns="D81650DC-B853-4132-8540-9C07245AC65B" xsi:nil="true"/>
    <DCSFContributor xmlns="D81650DC-B853-4132-8540-9C07245AC65B" xsi:nil="true"/>
    <Function2 xmlns="D81650DC-B853-4132-8540-9C07245AC65B" xsi:nil="true"/>
    <_Version xmlns="http://schemas.microsoft.com/sharepoint/v3" xsi:nil="true"/>
    <DocumentStatus xmlns="D81650DC-B853-4132-8540-9C07245AC65B" xsi:nil="true"/>
    <IWPGroupOOB xmlns="D81650DC-B853-4132-8540-9C07245AC65B">LAO Workplace</IWPGroupOOB>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egal" ma:contentTypeID="0x0101000706A8051BDDA64C90F797109D7E80C9001F1EA057421CA742B574D1F906A834EF00F5FCFFACB8A4D648A9612D3D6BCE940D" ma:contentTypeVersion="4" ma:contentTypeDescription="This Content Type should be used where a document relates to a legal process that DCSF is involved in…" ma:contentTypeScope="" ma:versionID="f5af438c34c02f6fd75b371c69b92eb4">
  <xsd:schema xmlns:xsd="http://www.w3.org/2001/XMLSchema" xmlns:xs="http://www.w3.org/2001/XMLSchema" xmlns:p="http://schemas.microsoft.com/office/2006/metadata/properties" xmlns:ns1="http://schemas.microsoft.com/sharepoint/v3" xmlns:ns2="D81650DC-B853-4132-8540-9C07245AC65B" targetNamespace="http://schemas.microsoft.com/office/2006/metadata/properties" ma:root="true" ma:fieldsID="64ad07ba7502981bbeb3d594b9c59ae7" ns1:_="" ns2:_="">
    <xsd:import namespace="http://schemas.microsoft.com/sharepoint/v3"/>
    <xsd:import namespace="D81650DC-B853-4132-8540-9C07245AC65B"/>
    <xsd:element name="properties">
      <xsd:complexType>
        <xsd:sequence>
          <xsd:element name="documentManagement">
            <xsd:complexType>
              <xsd:all>
                <xsd:element ref="ns1:_Version" minOccurs="0"/>
                <xsd:element ref="ns1:_Source" minOccurs="0"/>
                <xsd:element ref="ns2:SiteType" minOccurs="0"/>
                <xsd:element ref="ns2:SiteTypeOOB" minOccurs="0"/>
                <xsd:element ref="ns2:SecurityClassification" minOccurs="0"/>
                <xsd:element ref="ns2:SecurityClassificationOOB" minOccurs="0"/>
                <xsd:element ref="ns2:DocumentStatus" minOccurs="0"/>
                <xsd:element ref="ns2:DocumentStatusOOB" minOccurs="0"/>
                <xsd:element ref="ns2:Function2" minOccurs="0"/>
                <xsd:element ref="ns2:Function2OOB" minOccurs="0"/>
                <xsd:element ref="ns2:Owner" minOccurs="0"/>
                <xsd:element ref="ns2:OwnerOOB" minOccurs="0"/>
                <xsd:element ref="ns2:DocumentSubject" minOccurs="0"/>
                <xsd:element ref="ns2:DocumentSubjectOOB" minOccurs="0"/>
                <xsd:element ref="ns2:DCSFContributor" minOccurs="0"/>
                <xsd:element ref="ns2:Description" minOccurs="0"/>
                <xsd:element ref="ns2:IWPGroup" minOccurs="0"/>
                <xsd:element ref="ns2:Division" minOccurs="0"/>
                <xsd:element ref="ns2:IWPGroupOOB" minOccurs="0"/>
                <xsd:element ref="ns2:Team" minOccurs="0"/>
                <xsd:element ref="ns1:Is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ersion" ma:index="9" nillable="true" ma:displayName="Version" ma:hidden="true" ma:internalName="_Version">
      <xsd:simpleType>
        <xsd:restriction base="dms:Text"/>
      </xsd:simpleType>
    </xsd:element>
    <xsd:element name="_Source" ma:index="10" nillable="true" ma:displayName="Source" ma:hidden="true" ma:internalName="_Source">
      <xsd:simpleType>
        <xsd:restriction base="dms:Text"/>
      </xsd:simpleType>
    </xsd:element>
    <xsd:element name="IsLink" ma:index="29" nillable="true" ma:displayName="IsLink" ma:hidden="true" ma:internalName="IsLink">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650DC-B853-4132-8540-9C07245AC65B" elementFormDefault="qualified">
    <xsd:import namespace="http://schemas.microsoft.com/office/2006/documentManagement/types"/>
    <xsd:import namespace="http://schemas.microsoft.com/office/infopath/2007/PartnerControls"/>
    <xsd:element name="SiteType" ma:index="11" nillable="true" ma:displayName="Site Type" ma:description="Site Type should be set automatically" ma:format="Dropdown" ma:hidden="true" ma:internalName="SiteType">
      <xsd:simpleType>
        <xsd:restriction base="dms:Unknown"/>
      </xsd:simpleType>
    </xsd:element>
    <xsd:element name="SiteTypeOOB" ma:index="12" nillable="true" ma:displayName="Site Type:" ma:default="" ma:description="Site Types must be selected from the Corporate Taxonomy" ma:format="Dropdown" ma:hidden="true" ma:internalName="SiteTypeOOB">
      <xsd:simpleType>
        <xsd:restriction base="dms:Choice">
          <xsd:enumeration value="Policy"/>
          <xsd:enumeration value="Project"/>
          <xsd:enumeration value="Community"/>
          <xsd:enumeration value="Governance"/>
          <xsd:enumeration value="Case"/>
          <xsd:enumeration value="Directorate"/>
        </xsd:restriction>
      </xsd:simpleType>
    </xsd:element>
    <xsd:element name="SecurityClassification" ma:index="13" nillable="true" ma:displayName="Security Classification" ma:description="Security Classifications must be selected from the Corporate Taxonomy" ma:format="Dropdown" ma:hidden="true" ma:internalName="SecurityClassification">
      <xsd:simpleType>
        <xsd:restriction base="dms:Unknown"/>
      </xsd:simpleType>
    </xsd:element>
    <xsd:element name="SecurityClassificationOOB" ma:index="14" nillable="true" ma:displayName="Security Classification:" ma:default="unclassified" ma:description="Security Classifications must be selected from the Corporate Taxonomy" ma:format="Dropdown" ma:hidden="true" ma:internalName="SecurityClassificationOOB">
      <xsd:simpleType>
        <xsd:restriction base="dms:Choice">
          <xsd:enumeration value="unlimited"/>
          <xsd:enumeration value="unclassified"/>
          <xsd:enumeration value="protect"/>
          <xsd:enumeration value="confidential"/>
          <xsd:enumeration value="restricted"/>
        </xsd:restriction>
      </xsd:simpleType>
    </xsd:element>
    <xsd:element name="DocumentStatus" ma:index="15" nillable="true" ma:displayName="Document Status" ma:description="Document Status must be selected from the Corporate Taxonomy" ma:format="Dropdown" ma:hidden="true" ma:internalName="DocumentStatus">
      <xsd:simpleType>
        <xsd:restriction base="dms:Unknown"/>
      </xsd:simpleType>
    </xsd:element>
    <xsd:element name="DocumentStatusOOB" ma:index="16" nillable="true" ma:displayName="Document Status:" ma:default="draft" ma:description="Document Status must be selected from the Corporate Taxonomy" ma:format="Dropdown" ma:hidden="true" ma:internalName="DocumentStatusOOB">
      <xsd:simpleType>
        <xsd:restriction base="dms:Choice">
          <xsd:enumeration value="draft"/>
          <xsd:enumeration value="approved"/>
          <xsd:enumeration value="in consultation"/>
          <xsd:enumeration value="published"/>
          <xsd:enumeration value="declared"/>
        </xsd:restriction>
      </xsd:simpleType>
    </xsd:element>
    <xsd:element name="Function2" ma:index="17" nillable="true" ma:displayName="Function" ma:description="Function must be selected from the Corporate Taxonomy" ma:hidden="true" ma:internalName="Function2">
      <xsd:simpleType>
        <xsd:restriction base="dms:Unknown"/>
      </xsd:simpleType>
    </xsd:element>
    <xsd:element name="Function2OOB" ma:index="18" nillable="true" ma:displayName="Function:" ma:description="Function must be selected from the Corporate Taxonomy" ma:format="Dropdown" ma:internalName="Function2OOB">
      <xsd:simpleType>
        <xsd:union memberTypes="dms:Text">
          <xsd:simpleType>
            <xsd:restriction base="dms:Choice">
              <xsd:enumeration value="Business practice and regulation"/>
              <xsd:enumeration value="Information"/>
              <xsd:enumeration value="Information management"/>
              <xsd:enumeration value="Schools"/>
              <xsd:maxLength value="255"/>
            </xsd:restriction>
          </xsd:simpleType>
        </xsd:union>
      </xsd:simpleType>
    </xsd:element>
    <xsd:element name="Owner" ma:index="19" nillable="true" ma:displayName="Owner" ma:description="Owner must be selected from the Corporate Taxonomy" ma:hidden="true" ma:internalName="Owner">
      <xsd:simpleType>
        <xsd:restriction base="dms:Unknown"/>
      </xsd:simpleType>
    </xsd:element>
    <xsd:element name="OwnerOOB" ma:index="20" nillable="true" ma:displayName="Owner:" ma:description="Owner must be selected from the Corporate Taxonomy" ma:format="Dropdown" ma:internalName="OwnerOOB">
      <xsd:simpleType>
        <xsd:union memberTypes="dms:Text">
          <xsd:simpleType>
            <xsd:restriction base="dms:Choice">
              <xsd:enumeration value="Chief Information Officer Group"/>
              <xsd:enumeration value="Children and Families"/>
              <xsd:enumeration value="Communications"/>
              <xsd:enumeration value="Corporate and Internal Communications"/>
              <xsd:enumeration value="Corporate Services"/>
              <xsd:enumeration value="Financial Accounting"/>
              <xsd:enumeration value="HR Corporate Services"/>
              <xsd:enumeration value="Human Resources"/>
              <xsd:enumeration value="Marketing"/>
              <xsd:enumeration value="Performance Unit"/>
              <xsd:enumeration value="Private Office"/>
              <xsd:enumeration value="Schools"/>
              <xsd:enumeration value="Young People"/>
              <xsd:maxLength value="255"/>
            </xsd:restriction>
          </xsd:simpleType>
        </xsd:union>
      </xsd:simpleType>
    </xsd:element>
    <xsd:element name="DocumentSubject" ma:index="21" nillable="true" ma:displayName="Subject" ma:description="Subject must be selected from the Corporate Taxonomy" ma:hidden="true" ma:internalName="DocumentSubject">
      <xsd:simpleType>
        <xsd:restriction base="dms:Unknown"/>
      </xsd:simpleType>
    </xsd:element>
    <xsd:element name="DocumentSubjectOOB" ma:index="22" nillable="true" ma:displayName="Subject:" ma:description="Subject must be selected from the Corporate Taxonomy" ma:format="Dropdown" ma:internalName="DocumentSubjectOOB">
      <xsd:simpleType>
        <xsd:union memberTypes="dms:Text">
          <xsd:simpleType>
            <xsd:restriction base="dms:Choice">
              <xsd:enumeration value="Communication"/>
              <xsd:enumeration value="Corporate governance"/>
              <xsd:enumeration value="Correspondence"/>
              <xsd:enumeration value="Freedom of information"/>
              <xsd:enumeration value="Guidance"/>
              <xsd:enumeration value="Health and safety"/>
              <xsd:enumeration value="Human resource management"/>
              <xsd:enumeration value="Information management"/>
              <xsd:enumeration value="Parliamentary Questions"/>
              <xsd:enumeration value="Personal development"/>
              <xsd:enumeration value="Regulations"/>
              <xsd:enumeration value="Risk management"/>
              <xsd:enumeration value="Schools"/>
              <xsd:enumeration value="Staff information"/>
              <xsd:enumeration value="Young people"/>
              <xsd:maxLength value="255"/>
            </xsd:restriction>
          </xsd:simpleType>
        </xsd:union>
      </xsd:simpleType>
    </xsd:element>
    <xsd:element name="DCSFContributor" ma:index="23" nillable="true" ma:displayName="Contributor" ma:internalName="DCSFContributor">
      <xsd:simpleType>
        <xsd:restriction base="dms:Text">
          <xsd:maxLength value="20"/>
        </xsd:restriction>
      </xsd:simpleType>
    </xsd:element>
    <xsd:element name="Description" ma:index="24" nillable="true" ma:displayName="Description" ma:description="Document Description" ma:hidden="true" ma:internalName="Description">
      <xsd:simpleType>
        <xsd:restriction base="dms:Note">
          <xsd:maxLength value="255"/>
        </xsd:restriction>
      </xsd:simpleType>
    </xsd:element>
    <xsd:element name="IWPGroup" ma:index="25" nillable="true" ma:displayName="Group" ma:format="Dropdown" ma:hidden="true" ma:internalName="IWPGroup" ma:readOnly="false">
      <xsd:simpleType>
        <xsd:restriction base="dms:Unknown"/>
      </xsd:simpleType>
    </xsd:element>
    <xsd:element name="Division" ma:index="26" nillable="true" ma:displayName="Division" ma:default="" ma:hidden="true" ma:internalName="Division">
      <xsd:simpleType>
        <xsd:restriction base="dms:Unknown"/>
      </xsd:simpleType>
    </xsd:element>
    <xsd:element name="IWPGroupOOB" ma:index="27" nillable="true" ma:displayName="Group:" ma:default="LAO Workplace" ma:format="Dropdown" ma:hidden="true" ma:internalName="IWPGroupOOB">
      <xsd:simpleType>
        <xsd:restriction base="dms:Choice">
          <xsd:enumeration value="Academies and Chains"/>
          <xsd:enumeration value="Academies Delivery Group"/>
          <xsd:enumeration value="Academies Group Domestic WorkPlaces"/>
          <xsd:enumeration value="Academies Insurance Project"/>
          <xsd:enumeration value="Academies South"/>
          <xsd:enumeration value="Academies Staff"/>
          <xsd:enumeration value="Academy Funding"/>
          <xsd:enumeration value="Academy Funding Agreements"/>
          <xsd:enumeration value="Academy Types"/>
          <xsd:enumeration value="Accountancy"/>
          <xsd:enumeration value="Admissions"/>
          <xsd:enumeration value="ALB Contract Transition"/>
          <xsd:enumeration value="Anti-Fraud Committee"/>
          <xsd:enumeration value="Apprenticeships"/>
          <xsd:enumeration value="Assessment Curriculum and General Qualifications Group"/>
          <xsd:enumeration value="BECTA"/>
          <xsd:enumeration value="Bill Team"/>
          <xsd:enumeration value="Business Services"/>
          <xsd:enumeration value="Business Systems"/>
          <xsd:enumeration value="CFD DST"/>
          <xsd:enumeration value="Chairs of Govenors"/>
          <xsd:enumeration value="Charity Group"/>
          <xsd:enumeration value="Chief Executives Office"/>
          <xsd:enumeration value="Chief Information Officer Group"/>
          <xsd:enumeration value="Child Well-being Group"/>
          <xsd:enumeration value="CIO Group - Governance Boards"/>
          <xsd:enumeration value="Closing the Gap"/>
          <xsd:enumeration value="Collections"/>
          <xsd:enumeration value="Commercial Group"/>
          <xsd:enumeration value="Communications Directorate"/>
          <xsd:enumeration value="Communications DST"/>
          <xsd:enumeration value="Content Editor Workplace"/>
          <xsd:enumeration value="Corporate Transformation Programme"/>
          <xsd:enumeration value="Correspondence Task Force"/>
          <xsd:enumeration value="Counter Fraud Champion Group"/>
          <xsd:enumeration value="CRM Support"/>
          <xsd:enumeration value="CSD Business Team"/>
          <xsd:enumeration value="CSD DST Workplace"/>
          <xsd:enumeration value="CSD MI Workplace"/>
          <xsd:enumeration value="Curriculum and Behaviour Group"/>
          <xsd:enumeration value="Cyber Bullying Virtual Team"/>
          <xsd:enumeration value="Defra Information WorkPlace Project"/>
          <xsd:enumeration value="Departmental Security Unit"/>
          <xsd:enumeration value="Design and Development"/>
          <xsd:enumeration value="Desktop Transition"/>
          <xsd:enumeration value="DfE Change Programme"/>
          <xsd:enumeration value="Directorate Support Division"/>
          <xsd:enumeration value="Early Years"/>
          <xsd:enumeration value="EarlyYearsExtendedSchoolsandSpec"/>
          <xsd:enumeration value="Eastern Territory"/>
          <xsd:enumeration value="Education Bill"/>
          <xsd:enumeration value="Education Data for Sharing"/>
          <xsd:enumeration value="Education Funding Group"/>
          <xsd:enumeration value="Education Standards Analysis and Research Division"/>
          <xsd:enumeration value="Education Standards DST"/>
          <xsd:enumeration value="Education Strategy, Performance and Analysis Group"/>
          <xsd:enumeration value="Educational Psychology"/>
          <xsd:enumeration value="EFA Academies Comms and Stakeholder Management"/>
          <xsd:enumeration value="EFA Academies Data, Systems and Transparency"/>
          <xsd:enumeration value="EFA Academies Delivery"/>
          <xsd:enumeration value="EFA Academies Directors Office"/>
          <xsd:enumeration value="EFA Academies Enquiry Service"/>
          <xsd:enumeration value="EFA Academies Funding Reform"/>
          <xsd:enumeration value="EFA Academies Funding Sub-Reform Programme"/>
          <xsd:enumeration value="EFA Academies Programme Management"/>
          <xsd:enumeration value="EFA Academies Providers"/>
          <xsd:enumeration value="EFA Academies Territories"/>
          <xsd:enumeration value="EFA Business Support Audit and Risk Committee"/>
          <xsd:enumeration value="EFA Business Support Business Performance"/>
          <xsd:enumeration value="EFA Business Support CEO Office"/>
          <xsd:enumeration value="EFA Business Support Complaints"/>
          <xsd:enumeration value="EFA Business Support Corporate Finance"/>
          <xsd:enumeration value="EFA Business Support External Assurance"/>
          <xsd:enumeration value="EFA Business Support Maintained Schools"/>
          <xsd:enumeration value="EFA Business Support Records and Rights"/>
          <xsd:enumeration value="EFA Capital - Administration"/>
          <xsd:enumeration value="EFA Capital - Director"/>
          <xsd:enumeration value="EFA Capital Group"/>
          <xsd:enumeration value="EFA Capital Planning and Funding"/>
          <xsd:enumeration value="EFA Capital Programme Advice and Support"/>
          <xsd:enumeration value="EFA Capital Programme Delivery"/>
          <xsd:enumeration value="EFA Capital Programme Delivery-Academies"/>
          <xsd:enumeration value="EFA Capital Programme Delivery-Academies-LAs"/>
          <xsd:enumeration value="EFA Capital Programme Delivery-BSF"/>
          <xsd:enumeration value="EFA Chief Financial Officers Group"/>
          <xsd:enumeration value="EFA Commercial and Performance"/>
          <xsd:enumeration value="EFA HR Data"/>
          <xsd:enumeration value="EFA Learner Support"/>
          <xsd:enumeration value="EFA Territorial"/>
          <xsd:enumeration value="EFA Young People Directors Office"/>
          <xsd:enumeration value="EFA Young People Funding"/>
          <xsd:enumeration value="EFA Young People N Territory"/>
          <xsd:enumeration value="EFA Young People SW and Midland Territory"/>
          <xsd:enumeration value="EFA Youth Contract"/>
          <xsd:enumeration value="Efficiency Controls"/>
          <xsd:enumeration value="EO Policy Development Programme"/>
          <xsd:enumeration value="ESD Correspondence Team"/>
          <xsd:enumeration value="ESIG Director's Office&#10;  568"/>
          <xsd:enumeration value="Evaluation and Performance"/>
          <xsd:enumeration value="Exams Delivery Support Unit"/>
          <xsd:enumeration value="Families Group"/>
          <xsd:enumeration value="FCSD Director General Office"/>
          <xsd:enumeration value="Finance and Commercial Group"/>
          <xsd:enumeration value="Finance Group"/>
          <xsd:enumeration value="Financial Delivery and Risk Assurance Division"/>
          <xsd:enumeration value="Flexible Directorate Support"/>
          <xsd:enumeration value="Flexible Working"/>
          <xsd:enumeration value="Former SCYPG"/>
          <xsd:enumeration value="Free Schools Group"/>
          <xsd:enumeration value="Funding Allocations and Performance Division"/>
          <xsd:enumeration value="G CLOUD"/>
          <xsd:enumeration value="Get IT"/>
          <xsd:enumeration value="Health and Safety"/>
          <xsd:enumeration value="IAU DST Workplace"/>
          <xsd:enumeration value="IFD Directorate Support Team"/>
          <xsd:enumeration value="IFD Recruitment"/>
          <xsd:enumeration value="IFD Resourcing and Operations"/>
          <xsd:enumeration value="In The Know"/>
          <xsd:enumeration value="Information Asset Centre"/>
          <xsd:enumeration value="Information Management Portal"/>
          <xsd:enumeration value="Infracstructure Programme"/>
          <xsd:enumeration value="Internal Audit Unit"/>
          <xsd:enumeration value="International Business Unit"/>
          <xsd:enumeration value="Intranet Workplace"/>
          <xsd:enumeration value="Item Bank Test Area"/>
          <xsd:enumeration value="IWP Training"/>
          <xsd:enumeration value="IWP Workplace"/>
          <xsd:enumeration value="Joint International Unit"/>
          <xsd:enumeration value="Knowledge and Records Management Testbed"/>
          <xsd:enumeration value="Knowledge Management Working Group"/>
          <xsd:enumeration value="LAO Support Team Workplace"/>
          <xsd:enumeration value="LAO Workplace"/>
          <xsd:enumeration value="LAT"/>
          <xsd:enumeration value="Library"/>
          <xsd:enumeration value="Licensing"/>
          <xsd:enumeration value="Membership"/>
          <xsd:enumeration value="Meta Team"/>
          <xsd:enumeration value="MIS Data Unit"/>
          <xsd:enumeration value="Models and Partnerships"/>
          <xsd:enumeration value="National College Directors"/>
          <xsd:enumeration value="National College Facilities Management"/>
          <xsd:enumeration value="National College Internal Communications"/>
          <xsd:enumeration value="National Data Analysis and Systems Programme"/>
          <xsd:enumeration value="NC Commercial"/>
          <xsd:enumeration value="NC Early Years"/>
          <xsd:enumeration value="Northern Territory"/>
          <xsd:enumeration value="Off Site Storage"/>
          <xsd:enumeration value="Office 2010 Test"/>
          <xsd:enumeration value="OLASS"/>
          <xsd:enumeration value="People and Change"/>
          <xsd:enumeration value="People and Change Task and Finish Group"/>
          <xsd:enumeration value="Planning and Allocations"/>
          <xsd:enumeration value="Primary School Leadership"/>
          <xsd:enumeration value="Private Office"/>
          <xsd:enumeration value="Private Office DST"/>
          <xsd:enumeration value="Process Review"/>
          <xsd:enumeration value="Professionalism Hub"/>
          <xsd:enumeration value="Programme Management"/>
          <xsd:enumeration value="Provision Advisory Group"/>
          <xsd:enumeration value="Purchase to Pay"/>
          <xsd:enumeration value="QTS and Inductions"/>
          <xsd:enumeration value="Qualifications and Participation Group"/>
          <xsd:enumeration value="Quality and Priorities Division"/>
          <xsd:enumeration value="Regional Teams"/>
          <xsd:enumeration value="Regulation"/>
          <xsd:enumeration value="Research and Development"/>
          <xsd:enumeration value="Safeguarding Group"/>
          <xsd:enumeration value="Sandpit 2 Workplace"/>
          <xsd:enumeration value="Sandpit Workplace"/>
          <xsd:enumeration value="School Business Management"/>
          <xsd:enumeration value="School Performance Data Programme"/>
          <xsd:enumeration value="School Resources Group"/>
          <xsd:enumeration value="School Standards Group"/>
          <xsd:enumeration value="School to School Support"/>
          <xsd:enumeration value="Sector CIO Council"/>
          <xsd:enumeration value="Sheffield Site Leadership Group"/>
          <xsd:enumeration value="Social Mobility and Child Poverty Commission Secretariat"/>
          <xsd:enumeration value="Social Work"/>
          <xsd:enumeration value="Sodexo"/>
          <xsd:enumeration value="Southern Territory"/>
          <xsd:enumeration value="Specialist Programmes LLDD"/>
          <xsd:enumeration value="STA Commercial"/>
          <xsd:enumeration value="STA Delivery"/>
          <xsd:enumeration value="STA External Collaboration"/>
          <xsd:enumeration value="STA Operations"/>
          <xsd:enumeration value="STA Test Admin"/>
          <xsd:enumeration value="STA Workstream - Governance"/>
          <xsd:enumeration value="Standards and Qualifications"/>
          <xsd:enumeration value="Strategic Analysis Research and Policy Impact Group"/>
          <xsd:enumeration value="Strategic Finance"/>
          <xsd:enumeration value="Strategy and Performance Group"/>
          <xsd:enumeration value="Supply"/>
          <xsd:enumeration value="Supply and Recruit Division"/>
          <xsd:enumeration value="Supporting Delivery Group"/>
          <xsd:enumeration value="Supporting School Improvement Division 1"/>
          <xsd:enumeration value="Supporting School Improvement Division 2"/>
          <xsd:enumeration value="Supporting School Improvement Division 3"/>
          <xsd:enumeration value="System Reform Group"/>
          <xsd:enumeration value="Systems and Accountability"/>
          <xsd:enumeration value="Systems Development"/>
          <xsd:enumeration value="TA Directorate Support"/>
          <xsd:enumeration value="Talent Task Force"/>
          <xsd:enumeration value="Teachers and Teaching Family"/>
          <xsd:enumeration value="Teaching Agency - Senior Leadership Group"/>
          <xsd:enumeration value="Test Development"/>
          <xsd:enumeration value="Western Territory"/>
          <xsd:enumeration value="Workplace Help and Guidance"/>
          <xsd:enumeration value="YAGFA-JAGFA"/>
          <xsd:enumeration value="Young People Analysis Division"/>
          <xsd:enumeration value="Young People FACT Team"/>
          <xsd:enumeration value="Young People Programme Management"/>
          <xsd:enumeration value="Young People Resource Group"/>
          <xsd:enumeration value="YP Funding Formula Review"/>
          <xsd:enumeration value="YPD DST"/>
        </xsd:restriction>
      </xsd:simpleType>
    </xsd:element>
    <xsd:element name="Team" ma:index="28" nillable="true" ma:displayName="Team" ma:default="" ma:hidden="true" ma:internalName="Team">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DA254-DF5B-4A16-B3FB-EFCE5894E725}">
  <ds:schemaRefs>
    <ds:schemaRef ds:uri="http://schemas.microsoft.com/office/2006/metadata/properties"/>
    <ds:schemaRef ds:uri="http://schemas.microsoft.com/office/infopath/2007/PartnerControls"/>
    <ds:schemaRef ds:uri="D81650DC-B853-4132-8540-9C07245AC65B"/>
    <ds:schemaRef ds:uri="http://schemas.microsoft.com/sharepoint/v3"/>
  </ds:schemaRefs>
</ds:datastoreItem>
</file>

<file path=customXml/itemProps2.xml><?xml version="1.0" encoding="utf-8"?>
<ds:datastoreItem xmlns:ds="http://schemas.openxmlformats.org/officeDocument/2006/customXml" ds:itemID="{89BD9918-7CD0-445E-9F0C-CB79E96105B4}">
  <ds:schemaRefs>
    <ds:schemaRef ds:uri="http://schemas.microsoft.com/office/2006/metadata/customXsn"/>
  </ds:schemaRefs>
</ds:datastoreItem>
</file>

<file path=customXml/itemProps3.xml><?xml version="1.0" encoding="utf-8"?>
<ds:datastoreItem xmlns:ds="http://schemas.openxmlformats.org/officeDocument/2006/customXml" ds:itemID="{213C1A0F-0EFA-4AB5-8F6C-AB07BF290579}">
  <ds:schemaRefs>
    <ds:schemaRef ds:uri="http://schemas.microsoft.com/sharepoint/v3/contenttype/forms"/>
  </ds:schemaRefs>
</ds:datastoreItem>
</file>

<file path=customXml/itemProps4.xml><?xml version="1.0" encoding="utf-8"?>
<ds:datastoreItem xmlns:ds="http://schemas.openxmlformats.org/officeDocument/2006/customXml" ds:itemID="{594845CD-5564-41B0-B459-6650359A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650DC-B853-4132-8540-9C07245AC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070213</vt:lpstr>
    </vt:vector>
  </TitlesOfParts>
  <Company>DfE</Company>
  <LinksUpToDate>false</LinksUpToDate>
  <CharactersWithSpaces>43344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070213</dc:title>
  <dc:creator>NWAOKOLO, Sofie-LAO</dc:creator>
  <cp:lastModifiedBy>mcdonaldl</cp:lastModifiedBy>
  <cp:revision>2</cp:revision>
  <cp:lastPrinted>2013-02-14T13:48:00Z</cp:lastPrinted>
  <dcterms:created xsi:type="dcterms:W3CDTF">2013-02-28T10:31:00Z</dcterms:created>
  <dcterms:modified xsi:type="dcterms:W3CDTF">2013-02-28T10:31:00Z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0x0101000706A8051BDDA64C90F797109D7E80C9001F1EA057421CA742B574D1F906A834EF00F5FCFFACB8A4D648A9612D3D6BCE940D</vt:lpwstr>
  </property>
  <property fmtid="{D5CDD505-2E9C-101B-9397-08002B2CF9AE}" pid="3" name="SecurityClassificationOOB">
    <vt:lpwstr>unclassified</vt:lpwstr>
  </property>
  <property fmtid="{D5CDD505-2E9C-101B-9397-08002B2CF9AE}" pid="4" name="SiteTypeOOB">
    <vt:lpwstr/>
  </property>
  <property fmtid="{D5CDD505-2E9C-101B-9397-08002B2CF9AE}" pid="5" name="Owner">
    <vt:lpwstr/>
  </property>
  <property fmtid="{D5CDD505-2E9C-101B-9397-08002B2CF9AE}" pid="6" name="Team">
    <vt:lpwstr/>
  </property>
  <property fmtid="{D5CDD505-2E9C-101B-9397-08002B2CF9AE}" pid="7" name="Division">
    <vt:lpwstr/>
  </property>
  <property fmtid="{D5CDD505-2E9C-101B-9397-08002B2CF9AE}" pid="8" name="_Source">
    <vt:lpwstr/>
  </property>
  <property fmtid="{D5CDD505-2E9C-101B-9397-08002B2CF9AE}" pid="9" name="DocumentSubjectOOB">
    <vt:lpwstr/>
  </property>
  <property fmtid="{D5CDD505-2E9C-101B-9397-08002B2CF9AE}" pid="10" name="IsLink">
    <vt:lpwstr/>
  </property>
  <property fmtid="{D5CDD505-2E9C-101B-9397-08002B2CF9AE}" pid="11" name="OwnerOOB">
    <vt:lpwstr/>
  </property>
  <property fmtid="{D5CDD505-2E9C-101B-9397-08002B2CF9AE}" pid="12" name="DocumentStatusOOB">
    <vt:lpwstr>draft</vt:lpwstr>
  </property>
  <property fmtid="{D5CDD505-2E9C-101B-9397-08002B2CF9AE}" pid="13" name="Function2OOB">
    <vt:lpwstr/>
  </property>
  <property fmtid="{D5CDD505-2E9C-101B-9397-08002B2CF9AE}" pid="14" name="Description">
    <vt:lpwstr/>
  </property>
  <property fmtid="{D5CDD505-2E9C-101B-9397-08002B2CF9AE}" pid="15" name="DocumentSubject">
    <vt:lpwstr/>
  </property>
  <property fmtid="{D5CDD505-2E9C-101B-9397-08002B2CF9AE}" pid="16" name="SecurityClassification">
    <vt:lpwstr/>
  </property>
  <property fmtid="{D5CDD505-2E9C-101B-9397-08002B2CF9AE}" pid="17" name="IWPGroup">
    <vt:lpwstr/>
  </property>
  <property fmtid="{D5CDD505-2E9C-101B-9397-08002B2CF9AE}" pid="18" name="SiteType">
    <vt:lpwstr/>
  </property>
  <property fmtid="{D5CDD505-2E9C-101B-9397-08002B2CF9AE}" pid="19" name="DCSFContributor">
    <vt:lpwstr/>
  </property>
  <property fmtid="{D5CDD505-2E9C-101B-9397-08002B2CF9AE}" pid="20" name="Function2">
    <vt:lpwstr/>
  </property>
  <property fmtid="{D5CDD505-2E9C-101B-9397-08002B2CF9AE}" pid="21" name="_Version">
    <vt:lpwstr/>
  </property>
  <property fmtid="{D5CDD505-2E9C-101B-9397-08002B2CF9AE}" pid="22" name="DocumentStatus">
    <vt:lpwstr/>
  </property>
  <property fmtid="{D5CDD505-2E9C-101B-9397-08002B2CF9AE}" pid="23" name="IWPGroupOOB">
    <vt:lpwstr>LAO Workplace</vt:lpwstr>
  </property>
</Properties>
</file>