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B0" w:rsidRDefault="00DA0FB0" w:rsidP="00F02174">
      <w:pPr>
        <w:pStyle w:val="DeptBullets"/>
        <w:numPr>
          <w:ilvl w:val="0"/>
          <w:numId w:val="0"/>
        </w:numPr>
      </w:pPr>
      <w:r w:rsidRPr="00FB4AA8">
        <w:rPr>
          <w:b/>
        </w:rPr>
        <w:t>PQ 121781</w:t>
      </w:r>
      <w:r>
        <w:rPr>
          <w:b/>
        </w:rPr>
        <w:t>:</w:t>
      </w:r>
      <w:r w:rsidRPr="00FB4AA8">
        <w:rPr>
          <w:b/>
        </w:rPr>
        <w:t xml:space="preserve"> Table to be placed in the House of Commons Library</w:t>
      </w:r>
    </w:p>
    <w:p w:rsidR="00DA0FB0" w:rsidRDefault="00DA0FB0"/>
    <w:tbl>
      <w:tblPr>
        <w:tblW w:w="10746" w:type="dxa"/>
        <w:tblInd w:w="93" w:type="dxa"/>
        <w:tblLook w:val="00A0"/>
      </w:tblPr>
      <w:tblGrid>
        <w:gridCol w:w="550"/>
        <w:gridCol w:w="3041"/>
        <w:gridCol w:w="1641"/>
        <w:gridCol w:w="1580"/>
        <w:gridCol w:w="1641"/>
        <w:gridCol w:w="1333"/>
        <w:gridCol w:w="960"/>
      </w:tblGrid>
      <w:tr w:rsidR="00DA0FB0" w:rsidRPr="00F02174" w:rsidTr="00F02174">
        <w:trPr>
          <w:trHeight w:val="285"/>
        </w:trPr>
        <w:tc>
          <w:tcPr>
            <w:tcW w:w="9786" w:type="dxa"/>
            <w:gridSpan w:val="6"/>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b/>
                <w:bCs/>
                <w:sz w:val="20"/>
                <w:u w:val="single"/>
                <w:lang w:eastAsia="en-GB"/>
              </w:rPr>
            </w:pPr>
            <w:r w:rsidRPr="00F02174">
              <w:rPr>
                <w:rFonts w:cs="Arial"/>
                <w:b/>
                <w:bCs/>
                <w:sz w:val="20"/>
                <w:u w:val="single"/>
                <w:lang w:eastAsia="en-GB"/>
              </w:rPr>
              <w:t xml:space="preserve">Local Authority planned spend on youth services in England for 2010-11 and 2011-12 </w:t>
            </w:r>
            <w:r w:rsidRPr="00F02174">
              <w:rPr>
                <w:rFonts w:cs="Arial"/>
                <w:b/>
                <w:bCs/>
                <w:sz w:val="20"/>
                <w:u w:val="single"/>
                <w:vertAlign w:val="superscript"/>
                <w:lang w:eastAsia="en-GB"/>
              </w:rPr>
              <w:t>1,2,3</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232" w:type="dxa"/>
            <w:gridSpan w:val="3"/>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b/>
                <w:bCs/>
                <w:sz w:val="20"/>
                <w:u w:val="single"/>
                <w:lang w:eastAsia="en-GB"/>
              </w:rPr>
            </w:pPr>
            <w:r w:rsidRPr="00F02174">
              <w:rPr>
                <w:rFonts w:cs="Arial"/>
                <w:b/>
                <w:bCs/>
                <w:sz w:val="20"/>
                <w:u w:val="single"/>
                <w:lang w:eastAsia="en-GB"/>
              </w:rPr>
              <w:t>Figures taken from s251 Budget statements</w:t>
            </w:r>
          </w:p>
        </w:tc>
        <w:tc>
          <w:tcPr>
            <w:tcW w:w="158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1641"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1333"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3041"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1641" w:type="dxa"/>
            <w:tcBorders>
              <w:top w:val="nil"/>
              <w:left w:val="nil"/>
              <w:bottom w:val="single" w:sz="4" w:space="0" w:color="auto"/>
              <w:right w:val="nil"/>
            </w:tcBorders>
            <w:noWrap/>
            <w:vAlign w:val="bottom"/>
          </w:tcPr>
          <w:p w:rsidR="00DA0FB0" w:rsidRPr="00F02174" w:rsidRDefault="00DA0FB0" w:rsidP="00F02174">
            <w:pPr>
              <w:widowControl/>
              <w:overflowPunct/>
              <w:autoSpaceDE/>
              <w:autoSpaceDN/>
              <w:adjustRightInd/>
              <w:textAlignment w:val="auto"/>
              <w:rPr>
                <w:rFonts w:cs="Arial"/>
                <w:b/>
                <w:bCs/>
                <w:color w:val="FF0000"/>
                <w:sz w:val="20"/>
                <w:lang w:eastAsia="en-GB"/>
              </w:rPr>
            </w:pPr>
            <w:r w:rsidRPr="00F02174">
              <w:rPr>
                <w:rFonts w:cs="Arial"/>
                <w:b/>
                <w:bCs/>
                <w:color w:val="FF0000"/>
                <w:sz w:val="20"/>
                <w:lang w:eastAsia="en-GB"/>
              </w:rPr>
              <w:t> </w:t>
            </w:r>
          </w:p>
        </w:tc>
        <w:tc>
          <w:tcPr>
            <w:tcW w:w="158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1641"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1333"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3041"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3221" w:type="dxa"/>
            <w:gridSpan w:val="2"/>
            <w:tcBorders>
              <w:top w:val="single" w:sz="4" w:space="0" w:color="auto"/>
              <w:left w:val="single" w:sz="4" w:space="0" w:color="auto"/>
              <w:bottom w:val="single" w:sz="4" w:space="0" w:color="auto"/>
              <w:right w:val="single" w:sz="4" w:space="0" w:color="000000"/>
            </w:tcBorders>
            <w:noWrap/>
            <w:vAlign w:val="bottom"/>
          </w:tcPr>
          <w:p w:rsidR="00DA0FB0" w:rsidRPr="00F02174" w:rsidRDefault="00DA0FB0" w:rsidP="00F02174">
            <w:pPr>
              <w:widowControl/>
              <w:overflowPunct/>
              <w:autoSpaceDE/>
              <w:autoSpaceDN/>
              <w:adjustRightInd/>
              <w:jc w:val="center"/>
              <w:textAlignment w:val="auto"/>
              <w:rPr>
                <w:rFonts w:cs="Arial"/>
                <w:b/>
                <w:bCs/>
                <w:sz w:val="20"/>
                <w:lang w:eastAsia="en-GB"/>
              </w:rPr>
            </w:pPr>
            <w:r w:rsidRPr="00F02174">
              <w:rPr>
                <w:rFonts w:cs="Arial"/>
                <w:b/>
                <w:bCs/>
                <w:sz w:val="20"/>
                <w:lang w:eastAsia="en-GB"/>
              </w:rPr>
              <w:t>2010-11</w:t>
            </w:r>
          </w:p>
        </w:tc>
        <w:tc>
          <w:tcPr>
            <w:tcW w:w="1641" w:type="dxa"/>
            <w:tcBorders>
              <w:top w:val="single" w:sz="4" w:space="0" w:color="auto"/>
              <w:left w:val="nil"/>
              <w:bottom w:val="nil"/>
              <w:right w:val="single" w:sz="4" w:space="0" w:color="auto"/>
            </w:tcBorders>
            <w:noWrap/>
            <w:vAlign w:val="bottom"/>
          </w:tcPr>
          <w:p w:rsidR="00DA0FB0" w:rsidRPr="00F02174" w:rsidRDefault="00DA0FB0" w:rsidP="00F02174">
            <w:pPr>
              <w:widowControl/>
              <w:overflowPunct/>
              <w:autoSpaceDE/>
              <w:autoSpaceDN/>
              <w:adjustRightInd/>
              <w:jc w:val="center"/>
              <w:textAlignment w:val="auto"/>
              <w:rPr>
                <w:rFonts w:cs="Arial"/>
                <w:b/>
                <w:bCs/>
                <w:sz w:val="20"/>
                <w:lang w:eastAsia="en-GB"/>
              </w:rPr>
            </w:pPr>
            <w:r w:rsidRPr="00F02174">
              <w:rPr>
                <w:rFonts w:cs="Arial"/>
                <w:b/>
                <w:bCs/>
                <w:sz w:val="20"/>
                <w:lang w:eastAsia="en-GB"/>
              </w:rPr>
              <w:t>2011-12</w:t>
            </w:r>
          </w:p>
        </w:tc>
        <w:tc>
          <w:tcPr>
            <w:tcW w:w="1333" w:type="dxa"/>
            <w:tcBorders>
              <w:top w:val="single" w:sz="4" w:space="0" w:color="auto"/>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b/>
                <w:bCs/>
                <w:sz w:val="20"/>
                <w:lang w:eastAsia="en-GB"/>
              </w:rPr>
            </w:pPr>
            <w:r w:rsidRPr="00F02174">
              <w:rPr>
                <w:rFonts w:cs="Arial"/>
                <w:b/>
                <w:bCs/>
                <w:sz w:val="20"/>
                <w:lang w:eastAsia="en-GB"/>
              </w:rPr>
              <w:t>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3041"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1641"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center"/>
              <w:textAlignment w:val="auto"/>
              <w:rPr>
                <w:rFonts w:cs="Arial"/>
                <w:b/>
                <w:bCs/>
                <w:sz w:val="20"/>
                <w:lang w:eastAsia="en-GB"/>
              </w:rPr>
            </w:pPr>
            <w:r w:rsidRPr="00F02174">
              <w:rPr>
                <w:rFonts w:cs="Arial"/>
                <w:b/>
                <w:bCs/>
                <w:sz w:val="20"/>
                <w:lang w:eastAsia="en-GB"/>
              </w:rPr>
              <w:t>Cash terms</w:t>
            </w:r>
          </w:p>
        </w:tc>
        <w:tc>
          <w:tcPr>
            <w:tcW w:w="1580"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center"/>
              <w:textAlignment w:val="auto"/>
              <w:rPr>
                <w:rFonts w:cs="Arial"/>
                <w:b/>
                <w:bCs/>
                <w:sz w:val="20"/>
                <w:lang w:eastAsia="en-GB"/>
              </w:rPr>
            </w:pPr>
            <w:r w:rsidRPr="00F02174">
              <w:rPr>
                <w:rFonts w:cs="Arial"/>
                <w:b/>
                <w:bCs/>
                <w:sz w:val="20"/>
                <w:lang w:eastAsia="en-GB"/>
              </w:rPr>
              <w:t>Real terms</w:t>
            </w:r>
          </w:p>
        </w:tc>
        <w:tc>
          <w:tcPr>
            <w:tcW w:w="1641" w:type="dxa"/>
            <w:tcBorders>
              <w:top w:val="single" w:sz="4" w:space="0" w:color="auto"/>
              <w:left w:val="nil"/>
              <w:bottom w:val="nil"/>
              <w:right w:val="single" w:sz="4" w:space="0" w:color="auto"/>
            </w:tcBorders>
            <w:noWrap/>
            <w:vAlign w:val="bottom"/>
          </w:tcPr>
          <w:p w:rsidR="00DA0FB0" w:rsidRPr="00F02174" w:rsidRDefault="00DA0FB0" w:rsidP="00F02174">
            <w:pPr>
              <w:widowControl/>
              <w:overflowPunct/>
              <w:autoSpaceDE/>
              <w:autoSpaceDN/>
              <w:adjustRightInd/>
              <w:jc w:val="center"/>
              <w:textAlignment w:val="auto"/>
              <w:rPr>
                <w:rFonts w:cs="Arial"/>
                <w:b/>
                <w:bCs/>
                <w:sz w:val="20"/>
                <w:lang w:eastAsia="en-GB"/>
              </w:rPr>
            </w:pPr>
            <w:r w:rsidRPr="00F02174">
              <w:rPr>
                <w:rFonts w:cs="Arial"/>
                <w:b/>
                <w:bCs/>
                <w:sz w:val="20"/>
                <w:lang w:eastAsia="en-GB"/>
              </w:rPr>
              <w:t> </w:t>
            </w:r>
          </w:p>
        </w:tc>
        <w:tc>
          <w:tcPr>
            <w:tcW w:w="1333"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b/>
                <w:bCs/>
                <w:sz w:val="20"/>
                <w:lang w:eastAsia="en-GB"/>
              </w:rPr>
            </w:pPr>
            <w:r w:rsidRPr="00F02174">
              <w:rPr>
                <w:rFonts w:cs="Arial"/>
                <w:b/>
                <w:bCs/>
                <w:sz w:val="20"/>
                <w:lang w:eastAsia="en-GB"/>
              </w:rPr>
              <w:t>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1020"/>
        </w:trPr>
        <w:tc>
          <w:tcPr>
            <w:tcW w:w="55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3041"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1641" w:type="dxa"/>
            <w:tcBorders>
              <w:top w:val="nil"/>
              <w:left w:val="single" w:sz="4" w:space="0" w:color="auto"/>
              <w:bottom w:val="single" w:sz="4" w:space="0" w:color="auto"/>
              <w:right w:val="single" w:sz="4" w:space="0" w:color="auto"/>
            </w:tcBorders>
            <w:vAlign w:val="bottom"/>
          </w:tcPr>
          <w:p w:rsidR="00DA0FB0" w:rsidRPr="00F02174" w:rsidRDefault="00DA0FB0" w:rsidP="00F02174">
            <w:pPr>
              <w:widowControl/>
              <w:overflowPunct/>
              <w:autoSpaceDE/>
              <w:autoSpaceDN/>
              <w:adjustRightInd/>
              <w:jc w:val="center"/>
              <w:textAlignment w:val="auto"/>
              <w:rPr>
                <w:rFonts w:cs="Arial"/>
                <w:b/>
                <w:bCs/>
                <w:sz w:val="20"/>
                <w:lang w:eastAsia="en-GB"/>
              </w:rPr>
            </w:pPr>
            <w:r w:rsidRPr="00F02174">
              <w:rPr>
                <w:rFonts w:cs="Arial"/>
                <w:b/>
                <w:bCs/>
                <w:sz w:val="20"/>
                <w:lang w:eastAsia="en-GB"/>
              </w:rPr>
              <w:t>Youth service planned spend</w:t>
            </w:r>
          </w:p>
        </w:tc>
        <w:tc>
          <w:tcPr>
            <w:tcW w:w="1580" w:type="dxa"/>
            <w:tcBorders>
              <w:top w:val="nil"/>
              <w:left w:val="nil"/>
              <w:bottom w:val="single" w:sz="4" w:space="0" w:color="auto"/>
              <w:right w:val="single" w:sz="4" w:space="0" w:color="auto"/>
            </w:tcBorders>
            <w:vAlign w:val="bottom"/>
          </w:tcPr>
          <w:p w:rsidR="00DA0FB0" w:rsidRPr="00F02174" w:rsidRDefault="00DA0FB0" w:rsidP="00F02174">
            <w:pPr>
              <w:widowControl/>
              <w:overflowPunct/>
              <w:autoSpaceDE/>
              <w:autoSpaceDN/>
              <w:adjustRightInd/>
              <w:jc w:val="center"/>
              <w:textAlignment w:val="auto"/>
              <w:rPr>
                <w:rFonts w:cs="Arial"/>
                <w:b/>
                <w:bCs/>
                <w:sz w:val="20"/>
                <w:lang w:eastAsia="en-GB"/>
              </w:rPr>
            </w:pPr>
            <w:r w:rsidRPr="00F02174">
              <w:rPr>
                <w:rFonts w:cs="Arial"/>
                <w:b/>
                <w:bCs/>
                <w:sz w:val="20"/>
                <w:lang w:eastAsia="en-GB"/>
              </w:rPr>
              <w:t>Youth service planned spend</w:t>
            </w:r>
          </w:p>
        </w:tc>
        <w:tc>
          <w:tcPr>
            <w:tcW w:w="1641" w:type="dxa"/>
            <w:tcBorders>
              <w:top w:val="single" w:sz="4" w:space="0" w:color="auto"/>
              <w:left w:val="nil"/>
              <w:bottom w:val="single" w:sz="4" w:space="0" w:color="auto"/>
              <w:right w:val="single" w:sz="4" w:space="0" w:color="auto"/>
            </w:tcBorders>
            <w:vAlign w:val="bottom"/>
          </w:tcPr>
          <w:p w:rsidR="00DA0FB0" w:rsidRPr="00F02174" w:rsidRDefault="00DA0FB0" w:rsidP="00F02174">
            <w:pPr>
              <w:widowControl/>
              <w:overflowPunct/>
              <w:autoSpaceDE/>
              <w:autoSpaceDN/>
              <w:adjustRightInd/>
              <w:jc w:val="center"/>
              <w:textAlignment w:val="auto"/>
              <w:rPr>
                <w:rFonts w:cs="Arial"/>
                <w:b/>
                <w:bCs/>
                <w:sz w:val="20"/>
                <w:lang w:eastAsia="en-GB"/>
              </w:rPr>
            </w:pPr>
            <w:r w:rsidRPr="00F02174">
              <w:rPr>
                <w:rFonts w:cs="Arial"/>
                <w:b/>
                <w:bCs/>
                <w:sz w:val="20"/>
                <w:lang w:eastAsia="en-GB"/>
              </w:rPr>
              <w:t>Youth service planned spend</w:t>
            </w:r>
          </w:p>
        </w:tc>
        <w:tc>
          <w:tcPr>
            <w:tcW w:w="1333" w:type="dxa"/>
            <w:tcBorders>
              <w:top w:val="nil"/>
              <w:left w:val="nil"/>
              <w:bottom w:val="single" w:sz="4" w:space="0" w:color="auto"/>
              <w:right w:val="single" w:sz="4" w:space="0" w:color="auto"/>
            </w:tcBorders>
            <w:vAlign w:val="bottom"/>
          </w:tcPr>
          <w:p w:rsidR="00DA0FB0" w:rsidRPr="00F02174" w:rsidRDefault="00DA0FB0" w:rsidP="00F02174">
            <w:pPr>
              <w:widowControl/>
              <w:overflowPunct/>
              <w:autoSpaceDE/>
              <w:autoSpaceDN/>
              <w:adjustRightInd/>
              <w:jc w:val="center"/>
              <w:textAlignment w:val="auto"/>
              <w:rPr>
                <w:rFonts w:cs="Arial"/>
                <w:b/>
                <w:bCs/>
                <w:sz w:val="20"/>
                <w:lang w:eastAsia="en-GB"/>
              </w:rPr>
            </w:pPr>
            <w:r w:rsidRPr="00F02174">
              <w:rPr>
                <w:rFonts w:cs="Arial"/>
                <w:b/>
                <w:bCs/>
                <w:sz w:val="20"/>
                <w:lang w:eastAsia="en-GB"/>
              </w:rPr>
              <w:t>% change in real terms from previous year</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60"/>
        </w:trPr>
        <w:tc>
          <w:tcPr>
            <w:tcW w:w="55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3041"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1641" w:type="dxa"/>
            <w:tcBorders>
              <w:top w:val="nil"/>
              <w:left w:val="nil"/>
              <w:bottom w:val="nil"/>
              <w:right w:val="nil"/>
            </w:tcBorders>
            <w:vAlign w:val="center"/>
          </w:tcPr>
          <w:p w:rsidR="00DA0FB0" w:rsidRPr="00F02174" w:rsidRDefault="00DA0FB0" w:rsidP="00F02174">
            <w:pPr>
              <w:widowControl/>
              <w:overflowPunct/>
              <w:autoSpaceDE/>
              <w:autoSpaceDN/>
              <w:adjustRightInd/>
              <w:textAlignment w:val="auto"/>
              <w:rPr>
                <w:rFonts w:cs="Arial"/>
                <w:b/>
                <w:bCs/>
                <w:sz w:val="20"/>
                <w:lang w:eastAsia="en-GB"/>
              </w:rPr>
            </w:pPr>
          </w:p>
        </w:tc>
        <w:tc>
          <w:tcPr>
            <w:tcW w:w="1580" w:type="dxa"/>
            <w:tcBorders>
              <w:top w:val="nil"/>
              <w:left w:val="nil"/>
              <w:bottom w:val="nil"/>
              <w:right w:val="nil"/>
            </w:tcBorders>
            <w:vAlign w:val="center"/>
          </w:tcPr>
          <w:p w:rsidR="00DA0FB0" w:rsidRPr="00F02174" w:rsidRDefault="00DA0FB0" w:rsidP="00F02174">
            <w:pPr>
              <w:widowControl/>
              <w:overflowPunct/>
              <w:autoSpaceDE/>
              <w:autoSpaceDN/>
              <w:adjustRightInd/>
              <w:textAlignment w:val="auto"/>
              <w:rPr>
                <w:rFonts w:cs="Arial"/>
                <w:b/>
                <w:bCs/>
                <w:sz w:val="20"/>
                <w:lang w:eastAsia="en-GB"/>
              </w:rPr>
            </w:pPr>
          </w:p>
        </w:tc>
        <w:tc>
          <w:tcPr>
            <w:tcW w:w="1641" w:type="dxa"/>
            <w:tcBorders>
              <w:top w:val="nil"/>
              <w:left w:val="nil"/>
              <w:bottom w:val="nil"/>
              <w:right w:val="nil"/>
            </w:tcBorders>
            <w:vAlign w:val="center"/>
          </w:tcPr>
          <w:p w:rsidR="00DA0FB0" w:rsidRPr="00F02174" w:rsidRDefault="00DA0FB0" w:rsidP="00F02174">
            <w:pPr>
              <w:widowControl/>
              <w:overflowPunct/>
              <w:autoSpaceDE/>
              <w:autoSpaceDN/>
              <w:adjustRightInd/>
              <w:textAlignment w:val="auto"/>
              <w:rPr>
                <w:rFonts w:cs="Arial"/>
                <w:b/>
                <w:bCs/>
                <w:sz w:val="20"/>
                <w:lang w:eastAsia="en-GB"/>
              </w:rPr>
            </w:pPr>
          </w:p>
        </w:tc>
        <w:tc>
          <w:tcPr>
            <w:tcW w:w="1333" w:type="dxa"/>
            <w:tcBorders>
              <w:top w:val="nil"/>
              <w:left w:val="nil"/>
              <w:bottom w:val="nil"/>
              <w:right w:val="nil"/>
            </w:tcBorders>
            <w:vAlign w:val="center"/>
          </w:tcPr>
          <w:p w:rsidR="00DA0FB0" w:rsidRPr="00F02174" w:rsidRDefault="00DA0FB0" w:rsidP="00F02174">
            <w:pPr>
              <w:widowControl/>
              <w:overflowPunct/>
              <w:autoSpaceDE/>
              <w:autoSpaceDN/>
              <w:adjustRightInd/>
              <w:textAlignment w:val="auto"/>
              <w:rPr>
                <w:rFonts w:cs="Arial"/>
                <w:b/>
                <w:bCs/>
                <w:sz w:val="20"/>
                <w:lang w:eastAsia="en-GB"/>
              </w:rPr>
            </w:pP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3041" w:type="dxa"/>
            <w:tcBorders>
              <w:top w:val="single" w:sz="4" w:space="0" w:color="auto"/>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b/>
                <w:bCs/>
                <w:sz w:val="20"/>
                <w:lang w:eastAsia="en-GB"/>
              </w:rPr>
            </w:pPr>
            <w:r w:rsidRPr="00F02174">
              <w:rPr>
                <w:rFonts w:cs="Arial"/>
                <w:b/>
                <w:bCs/>
                <w:sz w:val="20"/>
                <w:lang w:eastAsia="en-GB"/>
              </w:rPr>
              <w:t>England</w:t>
            </w:r>
            <w:bookmarkStart w:id="0" w:name="_GoBack"/>
            <w:bookmarkEnd w:id="0"/>
          </w:p>
        </w:tc>
        <w:tc>
          <w:tcPr>
            <w:tcW w:w="1641" w:type="dxa"/>
            <w:tcBorders>
              <w:top w:val="single" w:sz="4" w:space="0" w:color="auto"/>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b/>
                <w:bCs/>
                <w:sz w:val="20"/>
                <w:lang w:eastAsia="en-GB"/>
              </w:rPr>
            </w:pPr>
            <w:r w:rsidRPr="00F02174">
              <w:rPr>
                <w:rFonts w:cs="Arial"/>
                <w:b/>
                <w:bCs/>
                <w:sz w:val="20"/>
                <w:lang w:eastAsia="en-GB"/>
              </w:rPr>
              <w:t xml:space="preserve">   1,180,704,500 </w:t>
            </w:r>
          </w:p>
        </w:tc>
        <w:tc>
          <w:tcPr>
            <w:tcW w:w="1580" w:type="dxa"/>
            <w:tcBorders>
              <w:top w:val="single" w:sz="4" w:space="0" w:color="auto"/>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b/>
                <w:bCs/>
                <w:sz w:val="20"/>
                <w:lang w:eastAsia="en-GB"/>
              </w:rPr>
            </w:pPr>
            <w:r w:rsidRPr="00F02174">
              <w:rPr>
                <w:rFonts w:cs="Arial"/>
                <w:b/>
                <w:bCs/>
                <w:sz w:val="20"/>
                <w:lang w:eastAsia="en-GB"/>
              </w:rPr>
              <w:t xml:space="preserve">   1,208,846,445 </w:t>
            </w:r>
          </w:p>
        </w:tc>
        <w:tc>
          <w:tcPr>
            <w:tcW w:w="1641" w:type="dxa"/>
            <w:tcBorders>
              <w:top w:val="single" w:sz="4" w:space="0" w:color="auto"/>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b/>
                <w:bCs/>
                <w:sz w:val="20"/>
                <w:lang w:eastAsia="en-GB"/>
              </w:rPr>
            </w:pPr>
            <w:r w:rsidRPr="00F02174">
              <w:rPr>
                <w:rFonts w:cs="Arial"/>
                <w:b/>
                <w:bCs/>
                <w:sz w:val="20"/>
                <w:lang w:eastAsia="en-GB"/>
              </w:rPr>
              <w:t xml:space="preserve">     883,372,160 </w:t>
            </w:r>
          </w:p>
        </w:tc>
        <w:tc>
          <w:tcPr>
            <w:tcW w:w="1333" w:type="dxa"/>
            <w:tcBorders>
              <w:top w:val="single" w:sz="4" w:space="0" w:color="auto"/>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b/>
                <w:bCs/>
                <w:sz w:val="20"/>
                <w:lang w:eastAsia="en-GB"/>
              </w:rPr>
            </w:pPr>
            <w:r w:rsidRPr="00F02174">
              <w:rPr>
                <w:rFonts w:cs="Arial"/>
                <w:b/>
                <w:bCs/>
                <w:sz w:val="20"/>
                <w:lang w:eastAsia="en-GB"/>
              </w:rPr>
              <w:t xml:space="preserve">-              26.92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60"/>
        </w:trPr>
        <w:tc>
          <w:tcPr>
            <w:tcW w:w="55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3041"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1641" w:type="dxa"/>
            <w:tcBorders>
              <w:top w:val="nil"/>
              <w:left w:val="nil"/>
              <w:bottom w:val="nil"/>
              <w:right w:val="nil"/>
            </w:tcBorders>
            <w:vAlign w:val="center"/>
          </w:tcPr>
          <w:p w:rsidR="00DA0FB0" w:rsidRPr="00F02174" w:rsidRDefault="00DA0FB0" w:rsidP="00F02174">
            <w:pPr>
              <w:widowControl/>
              <w:overflowPunct/>
              <w:autoSpaceDE/>
              <w:autoSpaceDN/>
              <w:adjustRightInd/>
              <w:jc w:val="right"/>
              <w:textAlignment w:val="auto"/>
              <w:rPr>
                <w:rFonts w:cs="Arial"/>
                <w:b/>
                <w:bCs/>
                <w:sz w:val="20"/>
                <w:lang w:eastAsia="en-GB"/>
              </w:rPr>
            </w:pPr>
          </w:p>
        </w:tc>
        <w:tc>
          <w:tcPr>
            <w:tcW w:w="1580" w:type="dxa"/>
            <w:tcBorders>
              <w:top w:val="nil"/>
              <w:left w:val="nil"/>
              <w:bottom w:val="nil"/>
              <w:right w:val="nil"/>
            </w:tcBorders>
            <w:vAlign w:val="center"/>
          </w:tcPr>
          <w:p w:rsidR="00DA0FB0" w:rsidRPr="00F02174" w:rsidRDefault="00DA0FB0" w:rsidP="00F02174">
            <w:pPr>
              <w:widowControl/>
              <w:overflowPunct/>
              <w:autoSpaceDE/>
              <w:autoSpaceDN/>
              <w:adjustRightInd/>
              <w:jc w:val="right"/>
              <w:textAlignment w:val="auto"/>
              <w:rPr>
                <w:rFonts w:cs="Arial"/>
                <w:b/>
                <w:bCs/>
                <w:sz w:val="20"/>
                <w:lang w:eastAsia="en-GB"/>
              </w:rPr>
            </w:pPr>
          </w:p>
        </w:tc>
        <w:tc>
          <w:tcPr>
            <w:tcW w:w="1641" w:type="dxa"/>
            <w:tcBorders>
              <w:top w:val="nil"/>
              <w:left w:val="nil"/>
              <w:bottom w:val="nil"/>
              <w:right w:val="nil"/>
            </w:tcBorders>
            <w:vAlign w:val="center"/>
          </w:tcPr>
          <w:p w:rsidR="00DA0FB0" w:rsidRPr="00F02174" w:rsidRDefault="00DA0FB0" w:rsidP="00F02174">
            <w:pPr>
              <w:widowControl/>
              <w:overflowPunct/>
              <w:autoSpaceDE/>
              <w:autoSpaceDN/>
              <w:adjustRightInd/>
              <w:jc w:val="right"/>
              <w:textAlignment w:val="auto"/>
              <w:rPr>
                <w:rFonts w:cs="Arial"/>
                <w:b/>
                <w:bCs/>
                <w:sz w:val="20"/>
                <w:lang w:eastAsia="en-GB"/>
              </w:rPr>
            </w:pPr>
          </w:p>
        </w:tc>
        <w:tc>
          <w:tcPr>
            <w:tcW w:w="1333" w:type="dxa"/>
            <w:tcBorders>
              <w:top w:val="nil"/>
              <w:left w:val="single" w:sz="4" w:space="0" w:color="auto"/>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b/>
                <w:bCs/>
                <w:sz w:val="20"/>
                <w:lang w:eastAsia="en-GB"/>
              </w:rPr>
            </w:pPr>
            <w:r w:rsidRPr="00F02174">
              <w:rPr>
                <w:rFonts w:cs="Arial"/>
                <w:b/>
                <w:bCs/>
                <w:sz w:val="20"/>
                <w:lang w:eastAsia="en-GB"/>
              </w:rPr>
              <w:t>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single" w:sz="4" w:space="0" w:color="auto"/>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201</w:t>
            </w:r>
          </w:p>
        </w:tc>
        <w:tc>
          <w:tcPr>
            <w:tcW w:w="3041" w:type="dxa"/>
            <w:tcBorders>
              <w:top w:val="single" w:sz="4" w:space="0" w:color="auto"/>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City of London</w:t>
            </w:r>
          </w:p>
        </w:tc>
        <w:tc>
          <w:tcPr>
            <w:tcW w:w="1641" w:type="dxa"/>
            <w:tcBorders>
              <w:top w:val="single" w:sz="4" w:space="0" w:color="auto"/>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652,898 </w:t>
            </w:r>
          </w:p>
        </w:tc>
        <w:tc>
          <w:tcPr>
            <w:tcW w:w="1580" w:type="dxa"/>
            <w:tcBorders>
              <w:top w:val="single" w:sz="4" w:space="0" w:color="auto"/>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668,460 </w:t>
            </w:r>
          </w:p>
        </w:tc>
        <w:tc>
          <w:tcPr>
            <w:tcW w:w="1641" w:type="dxa"/>
            <w:tcBorders>
              <w:top w:val="single" w:sz="4" w:space="0" w:color="auto"/>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549,243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17.83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202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Camden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8,607,759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8,812,924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9,242,120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4.87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203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Greenwich</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8,557,550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8,761,518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6,822,240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22.13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204</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Hackney</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13,142,050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13,455,289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9,964,290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25.95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205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Hammersmith and Fulham</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4,785,620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4,899,685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1,640,196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66.52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206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Islington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12,066,258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12,353,856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5,625,988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54.46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207</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Kensington and Chelsea</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6,238,850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6,387,552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5,225,070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18.20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208</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Lambeth</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8,091,789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8,284,656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6,348,865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23.37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209</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Lewisham</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8,883,241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9,094,972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7,447,636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18.11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210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Southwark</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10,398,082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10,645,919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8,552,349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19.67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211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Tower Hamlets</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16,429,891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16,821,495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10,532,639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37.39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212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roofErr w:type="spellStart"/>
            <w:r w:rsidRPr="00F02174">
              <w:rPr>
                <w:rFonts w:cs="Arial"/>
                <w:sz w:val="20"/>
                <w:lang w:eastAsia="en-GB"/>
              </w:rPr>
              <w:t>Wandsworth</w:t>
            </w:r>
            <w:proofErr w:type="spellEnd"/>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7,415,109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7,591,847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7,599,030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0.09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213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Westminster</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5,860,550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6,000,235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3,452,150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42.47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301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Barking and Dagenham</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4,840,071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4,955,433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1,475,810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70.22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302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Barnet</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5,630,721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5,764,929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3,499,823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39.29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303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Bexley</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4,359,000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4,462,896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4,065,000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8.92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304</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Brent</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6,530,052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6,685,695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5,801,081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13.23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305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Bromley</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4,145,941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4,244,759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2,352,375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44.58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306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roofErr w:type="spellStart"/>
            <w:r w:rsidRPr="00F02174">
              <w:rPr>
                <w:rFonts w:cs="Arial"/>
                <w:sz w:val="20"/>
                <w:lang w:eastAsia="en-GB"/>
              </w:rPr>
              <w:t>Croydon</w:t>
            </w:r>
            <w:proofErr w:type="spellEnd"/>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10,641,250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10,894,883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7,616,964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30.09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307</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Ealing</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6,840,523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7,003,566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3,853,295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44.98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308</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Enfield</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6,854,891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w:t>
            </w:r>
            <w:r w:rsidRPr="00F02174">
              <w:rPr>
                <w:rFonts w:cs="Arial"/>
                <w:sz w:val="20"/>
                <w:lang w:eastAsia="en-GB"/>
              </w:rPr>
              <w:lastRenderedPageBreak/>
              <w:t xml:space="preserve">7,018,276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lastRenderedPageBreak/>
              <w:t xml:space="preserve">         5,733,687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w:t>
            </w:r>
            <w:r w:rsidRPr="00F02174">
              <w:rPr>
                <w:rFonts w:cs="Arial"/>
                <w:sz w:val="20"/>
                <w:lang w:eastAsia="en-GB"/>
              </w:rPr>
              <w:lastRenderedPageBreak/>
              <w:t xml:space="preserve">18.30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lastRenderedPageBreak/>
              <w:t>309</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Haringey</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4,615,943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4,725,963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2,515,689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46.77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310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Harrow</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4,356,019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4,459,844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3,937,377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11.71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311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Havering</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5,060,303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5,180,915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4,373,038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15.59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312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Hillingdon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8,975,500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9,189,430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5,078,010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44.74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313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Hounslow</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5,711,096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5,847,219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3,301,080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43.54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314</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Kingston upon Thames</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3,219,666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3,296,406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2,636,558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20.02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315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Merton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3,192,531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3,268,625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3,064,949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6.23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316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Newham</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13,908,378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14,239,882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6,558,360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53.94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317</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Redbridge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4,968,568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5,086,993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857,306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83.15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318</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Richmond upon Thames</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3,784,154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3,874,349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3,093,527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20.15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319</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Sutton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3,422,200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3,503,768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2,116,950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39.58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320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Waltham Forest</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7,449,204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7,626,754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2,996,039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60.72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330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Birmingham</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24,070,039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24,643,745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13,097,206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46.85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331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Coventry</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8,793,570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9,003,164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5,659,066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37.14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332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Dudley</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7,329,603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7,504,303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5,120,640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31.76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333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Sandwell</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8,927,500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9,140,286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7,205,200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21.17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334</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Solihull</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4,562,015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4,670,751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4,291,907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8.11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335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Walsall</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7,745,741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7,930,360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6,827,567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13.91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336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Wolverhampton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8,322,820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8,521,193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6,527,090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23.40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340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roofErr w:type="spellStart"/>
            <w:r w:rsidRPr="00F02174">
              <w:rPr>
                <w:rFonts w:cs="Arial"/>
                <w:sz w:val="20"/>
                <w:lang w:eastAsia="en-GB"/>
              </w:rPr>
              <w:t>Knowsley</w:t>
            </w:r>
            <w:proofErr w:type="spellEnd"/>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4,294,098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4,396,447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2,532,194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42.40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341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Liverpool</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15,936,302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16,316,141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10,583,634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35.13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342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St. Helens</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5,542,480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5,674,584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4,314,034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23.98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343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roofErr w:type="spellStart"/>
            <w:r w:rsidRPr="00F02174">
              <w:rPr>
                <w:rFonts w:cs="Arial"/>
                <w:sz w:val="20"/>
                <w:lang w:eastAsia="en-GB"/>
              </w:rPr>
              <w:t>Sefton</w:t>
            </w:r>
            <w:proofErr w:type="spellEnd"/>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9,472,502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9,698,278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5,302,800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45.32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344</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Wirral</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8,443,400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8,644,647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7,773,100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10.08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350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Bolton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7,971,700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8,161,704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7,489,700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8.23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351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Bury</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3,910,407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4,003,611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2,068,569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48.33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352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Manchester</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16,171,577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16,557,025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4,618,110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72.11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353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Oldham</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2,944,790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3,014,979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6,308,432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109.24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354</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Rochdale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5,605,645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5,739,255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4,297,783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25.12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lastRenderedPageBreak/>
              <w:t>355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Salford</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7,877,215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8,064,967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5,037,543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37.54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356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Stockport</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6,927,460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7,092,575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5,171,610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27.08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357</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Tameside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6,129,250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6,275,340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4,350,600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30.67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358</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Trafford</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4,652,817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4,763,716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4,644,040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2.51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359</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Wigan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8,958,539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9,172,065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6,236,617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32.00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370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Barnsley</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5,809,438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5,947,905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6,605,295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11.05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371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Doncaster</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7,826,198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8,012,735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6,585,850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17.81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372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Rotherham</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7,004,053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7,170,994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2,929,711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59.14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373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Sheffield</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16,814,023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17,214,783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7,670,180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55.44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380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Bradford</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13,587,675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13,911,536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12,423,999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10.69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381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Calderdale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6,905,315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7,069,902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5,556,593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21.40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382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Kirklees</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10,950,291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11,211,290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9,380,376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16.33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383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Leeds</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23,174,220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23,726,575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16,267,660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31.44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384</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Wakefield</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9,745,673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9,977,960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7,593,560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23.90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390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Gateshead</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3,441,537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3,523,566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3,497,245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0.75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391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Newcastle upon Tyne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8,359,241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8,558,482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4,730,203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44.73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392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North Tyneside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3,347,299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3,427,081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3,035,080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11.44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393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South Tyneside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5,588,360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5,721,558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4,621,136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19.23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394</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Sunderland</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13,344,370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13,662,431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5,954,874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56.41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420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Isles Of Scilly</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121,169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124,057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148,996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20.10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800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Bath and North East Somerset</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3,348,192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3,427,996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2,159,916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36.99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801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Bristol City of</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8,717,687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8,925,472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8,344,076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6.51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802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North Somerset</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3,085,005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3,158,536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2,221,305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29.67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803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South Gloucestershire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4,671,000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4,782,333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4,171,000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12.78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805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Hartlepool</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3,116,165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3,190,438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2,483,993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22.14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806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Middlesbrough</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5,127,622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5,249,838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4,820,580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8.18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807</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Redcar and Cleveland</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5,101,148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5,222,733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3,225,878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38.23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808</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Stockton-on-Tees</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5,693,716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5,829,425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4,954,813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15.00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810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Kingston upon Hull City of</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11,401,498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11,673,251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5,532,312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52.61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811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East Riding of Yorkshire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6,376,840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6,528,831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5,475,770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16.13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812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North East Lincolnshire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5,627,008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5,761,127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4,386,100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23.87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813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North Lincolnshire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3,985,870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4,080,873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1,708,457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58.14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815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North Yorkshire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10,734,506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10,990,362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9,863,343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10.25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816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York</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4,084,780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4,182,140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3,096,030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25.97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821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Luton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5,186,013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5,309,621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3,367,538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36.58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822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Bedford Borough</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3,514,972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3,598,751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2,081,468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42.16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823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Central Bedfordshire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4,162,562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4,261,776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2,075,808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51.29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825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Buckinghamshire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8,870,556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9,081,985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4,572,444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49.65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826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Milton Keynes</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6,275,696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6,425,276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4,448,126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30.77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830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Derbyshire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14,206,246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14,544,850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14,126,101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831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Derby</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7,120,359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7,290,072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3,754,487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48.50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835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Dorset</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6,768,700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6,930,031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7,633,300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10.15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836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Poole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2,635,129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2,697,937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2,130,538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21.03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837</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Bournemouth</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3,835,200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3,926,612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3,201,000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18.48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840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Durham</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11,770,968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12,051,528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5,500,630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54.36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841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Darlington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2,899,854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2,968,971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1,965,762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33.79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845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East Sussex</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8,100,056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8,293,120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6,579,034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20.67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846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Brighton and Hove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5,161,350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5,284,370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4,082,472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22.74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850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Hampshire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16,381,600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16,772,053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12,297,900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26.68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851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Portsmouth</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3,269,025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3,346,942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2,693,300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19.53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852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Southampton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4,164,919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4,264,189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3,741,025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12.27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855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Leicestershire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10,376,086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10,623,399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7,925,337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25.40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856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Leicester</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9,268,026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9,488,928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7,660,482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19.27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857</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Rutland</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1,013,300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1,037,452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803,600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22.54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860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Staffordshire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15,116,319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15,476,615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12,383,905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19.98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861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Stoke-on-Trent</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7,168,273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7,339,127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2,534,390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65.47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865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Wiltshire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8,345,741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8,544,661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6,112,847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28.46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866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Swindon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4,698,623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4,810,614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2,892,765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39.87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867</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Bracknell Forest</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2,747,019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2,812,494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2,195,434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21.94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868</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Windsor and Maidenhead</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3,102,050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3,175,987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1,831,660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42.33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869</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West Berkshire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3,898,080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3,990,990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2,896,242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27.43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870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Reading</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3,984,274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4,079,239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2,754,281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32.48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871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Slough</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4,598,157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4,707,754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3,383,396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28.13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872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Wokingham</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2,704,138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2,768,591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1,952,450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29.48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873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Cambridgeshire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9,423,407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9,648,013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7,664,419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20.56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874</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Peterborough</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3,581,008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3,666,361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2,781,022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24.15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876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roofErr w:type="spellStart"/>
            <w:r w:rsidRPr="00F02174">
              <w:rPr>
                <w:rFonts w:cs="Arial"/>
                <w:sz w:val="20"/>
                <w:lang w:eastAsia="en-GB"/>
              </w:rPr>
              <w:t>Halton</w:t>
            </w:r>
            <w:proofErr w:type="spellEnd"/>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3,544,304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3,628,782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4,422,754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21.88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877</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Warrington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4,119,028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4,217,205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1,300,115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69.17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878</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Devon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12,754,652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13,058,657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10,021,370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23.26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879</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Plymouth</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7,113,359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7,282,905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5,883,090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19.22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880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Torbay</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3,016,780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3,088,685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2,566,290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16.91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881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Essex</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20,340,878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20,825,700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16,419,878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21.16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882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Southend-on-Sea</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3,489,100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3,572,262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2,461,680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31.09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883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Thurrock</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3,108,200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3,182,284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2,105,543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33.84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884</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Herefordshire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2,832,459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2,899,970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2,297,091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20.79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885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Worcestershire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10,137,931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10,379,567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9,076,864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12.55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886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Kent</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28,259,357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28,932,915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23,670,035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18.19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887</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Medway</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8,378,827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8,578,535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4,408,055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48.62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888</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Lancashire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26,990,353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27,633,665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19,504,030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29.42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889</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 xml:space="preserve">Blackburn with </w:t>
            </w:r>
            <w:proofErr w:type="spellStart"/>
            <w:r w:rsidRPr="00F02174">
              <w:rPr>
                <w:rFonts w:cs="Arial"/>
                <w:sz w:val="20"/>
                <w:lang w:eastAsia="en-GB"/>
              </w:rPr>
              <w:t>Darwen</w:t>
            </w:r>
            <w:proofErr w:type="spellEnd"/>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4,323,400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4,426,448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3,003,200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32.15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890</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Blackpool</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4,261,268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4,362,835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1,993,664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54.30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891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Nottinghamshire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17,479,746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17,896,374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15,721,828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12.15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892</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Nottingham</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6,124,743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6,270,726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7,258,232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15.75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893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Shropshire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5,677,032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5,812,343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4,152,350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28.56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894</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Telford and Wrekin</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3,676,871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3,764,509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2,882,827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23.42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895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Cheshire East</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4,288,130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4,390,337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3,001,712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31.63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896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Cheshire West and Chester</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5,005,058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5,124,353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3,029,769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40.88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908</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Cornwall</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8,766,289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8,975,232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11,441,998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27.48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909</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Cumbria</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9,160,000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9,378,327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7,777,000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17.07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916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Gloucestershire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10,105,471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10,346,334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9,166,388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11.40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919</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Hertfordshire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14,541,037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14,887,621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18,789,563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26.21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921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Isle of Wight</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2,874,610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2,943,126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3,435,814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16.74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925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Lincolnshire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11,257,912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11,526,243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11,931,437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3.52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926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Norfolk</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13,321,323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13,638,835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4,777,147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64.97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928</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Northamptonshire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8,779,420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8,988,676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6,884,136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23.41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929</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Northumberland</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7,110,500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7,279,978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5,602,335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23.04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931</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Oxfordshire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10,209,748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10,453,096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8,794,470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15.87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933</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Somerset</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10,307,882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10,553,569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6,959,665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34.05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935</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Suffolk</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11,418,962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11,691,132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12,468,944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6.65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936</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Surrey</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21,124,795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21,628,302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15,311,824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29.20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937</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Warwickshire</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10,954,965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11,216,075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9,185,880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18.10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single" w:sz="4" w:space="0" w:color="auto"/>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938</w:t>
            </w:r>
          </w:p>
        </w:tc>
        <w:tc>
          <w:tcPr>
            <w:tcW w:w="30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West Sussex</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10,187,379 </w:t>
            </w:r>
          </w:p>
        </w:tc>
        <w:tc>
          <w:tcPr>
            <w:tcW w:w="1580"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10,430,194 </w:t>
            </w:r>
          </w:p>
        </w:tc>
        <w:tc>
          <w:tcPr>
            <w:tcW w:w="1641" w:type="dxa"/>
            <w:tcBorders>
              <w:top w:val="nil"/>
              <w:left w:val="nil"/>
              <w:bottom w:val="single" w:sz="4" w:space="0" w:color="auto"/>
              <w:right w:val="single" w:sz="4" w:space="0" w:color="auto"/>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8,811,512 </w:t>
            </w:r>
          </w:p>
        </w:tc>
        <w:tc>
          <w:tcPr>
            <w:tcW w:w="1333" w:type="dxa"/>
            <w:tcBorders>
              <w:top w:val="nil"/>
              <w:left w:val="nil"/>
              <w:bottom w:val="single" w:sz="4" w:space="0" w:color="auto"/>
              <w:right w:val="single" w:sz="4" w:space="0" w:color="auto"/>
            </w:tcBorders>
            <w:vAlign w:val="center"/>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xml:space="preserve">-              15.52 </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55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3041"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1641" w:type="dxa"/>
            <w:tcBorders>
              <w:top w:val="nil"/>
              <w:left w:val="nil"/>
              <w:bottom w:val="nil"/>
              <w:right w:val="nil"/>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w:t>
            </w:r>
          </w:p>
        </w:tc>
        <w:tc>
          <w:tcPr>
            <w:tcW w:w="1580" w:type="dxa"/>
            <w:tcBorders>
              <w:top w:val="nil"/>
              <w:left w:val="nil"/>
              <w:bottom w:val="nil"/>
              <w:right w:val="nil"/>
            </w:tcBorders>
            <w:noWrap/>
            <w:vAlign w:val="bottom"/>
          </w:tcPr>
          <w:p w:rsidR="00DA0FB0" w:rsidRPr="00F02174" w:rsidRDefault="00DA0FB0" w:rsidP="00F02174">
            <w:pPr>
              <w:widowControl/>
              <w:overflowPunct/>
              <w:autoSpaceDE/>
              <w:autoSpaceDN/>
              <w:adjustRightInd/>
              <w:jc w:val="right"/>
              <w:textAlignment w:val="auto"/>
              <w:rPr>
                <w:rFonts w:cs="Arial"/>
                <w:sz w:val="20"/>
                <w:lang w:eastAsia="en-GB"/>
              </w:rPr>
            </w:pPr>
            <w:r w:rsidRPr="00F02174">
              <w:rPr>
                <w:rFonts w:cs="Arial"/>
                <w:sz w:val="20"/>
                <w:lang w:eastAsia="en-GB"/>
              </w:rPr>
              <w:t> </w:t>
            </w:r>
          </w:p>
        </w:tc>
        <w:tc>
          <w:tcPr>
            <w:tcW w:w="1641"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 </w:t>
            </w:r>
          </w:p>
        </w:tc>
        <w:tc>
          <w:tcPr>
            <w:tcW w:w="1333"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9786" w:type="dxa"/>
            <w:gridSpan w:val="6"/>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 xml:space="preserve">1. Data is as reported by </w:t>
            </w:r>
            <w:proofErr w:type="spellStart"/>
            <w:r w:rsidRPr="00F02174">
              <w:rPr>
                <w:rFonts w:cs="Arial"/>
                <w:sz w:val="20"/>
                <w:lang w:eastAsia="en-GB"/>
              </w:rPr>
              <w:t>LAs</w:t>
            </w:r>
            <w:proofErr w:type="spellEnd"/>
            <w:r w:rsidRPr="00F02174">
              <w:rPr>
                <w:rFonts w:cs="Arial"/>
                <w:sz w:val="20"/>
                <w:lang w:eastAsia="en-GB"/>
              </w:rPr>
              <w:t xml:space="preserve"> in their s251 Budget returns.</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1058"/>
        </w:trPr>
        <w:tc>
          <w:tcPr>
            <w:tcW w:w="9786" w:type="dxa"/>
            <w:gridSpan w:val="6"/>
            <w:tcBorders>
              <w:top w:val="nil"/>
              <w:left w:val="nil"/>
              <w:bottom w:val="nil"/>
              <w:right w:val="nil"/>
            </w:tcBorders>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 xml:space="preserve">2. Youth services includes spend on positive activities for young people, connexions, youth work, substance misuse, teenage pregnancy, discretionary awards and student support under new arrangements and mandatory awards (plus universal and </w:t>
            </w:r>
            <w:proofErr w:type="spellStart"/>
            <w:r w:rsidRPr="00F02174">
              <w:rPr>
                <w:rFonts w:cs="Arial"/>
                <w:sz w:val="20"/>
                <w:lang w:eastAsia="en-GB"/>
              </w:rPr>
              <w:t>targetted</w:t>
            </w:r>
            <w:proofErr w:type="spellEnd"/>
            <w:r w:rsidRPr="00F02174">
              <w:rPr>
                <w:rFonts w:cs="Arial"/>
                <w:sz w:val="20"/>
                <w:lang w:eastAsia="en-GB"/>
              </w:rPr>
              <w:t xml:space="preserve"> services for young people (including youth work, positive activities and IAG)).</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825"/>
        </w:trPr>
        <w:tc>
          <w:tcPr>
            <w:tcW w:w="9786" w:type="dxa"/>
            <w:gridSpan w:val="6"/>
            <w:tcBorders>
              <w:top w:val="nil"/>
              <w:left w:val="nil"/>
              <w:bottom w:val="nil"/>
              <w:right w:val="nil"/>
            </w:tcBorders>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 xml:space="preserve">3. There are known data quality issues with some LA's s251 Budget returns. The issues </w:t>
            </w:r>
            <w:proofErr w:type="gramStart"/>
            <w:r w:rsidRPr="00F02174">
              <w:rPr>
                <w:rFonts w:cs="Arial"/>
                <w:sz w:val="20"/>
                <w:lang w:eastAsia="en-GB"/>
              </w:rPr>
              <w:t>effect</w:t>
            </w:r>
            <w:proofErr w:type="gramEnd"/>
            <w:r w:rsidRPr="00F02174">
              <w:rPr>
                <w:rFonts w:cs="Arial"/>
                <w:sz w:val="20"/>
                <w:lang w:eastAsia="en-GB"/>
              </w:rPr>
              <w:t xml:space="preserve"> the 'Youth Work' lines within Table 1 of the 251 Budget return which have been used to populate this table, with several </w:t>
            </w:r>
            <w:proofErr w:type="spellStart"/>
            <w:r w:rsidRPr="00F02174">
              <w:rPr>
                <w:rFonts w:cs="Arial"/>
                <w:sz w:val="20"/>
                <w:lang w:eastAsia="en-GB"/>
              </w:rPr>
              <w:t>LAs</w:t>
            </w:r>
            <w:proofErr w:type="spellEnd"/>
            <w:r w:rsidRPr="00F02174">
              <w:rPr>
                <w:rFonts w:cs="Arial"/>
                <w:sz w:val="20"/>
                <w:lang w:eastAsia="en-GB"/>
              </w:rPr>
              <w:t xml:space="preserve"> either submitting incorrect data or leaving the field blank in error.</w:t>
            </w: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r w:rsidR="00DA0FB0" w:rsidRPr="00F02174" w:rsidTr="00F02174">
        <w:trPr>
          <w:trHeight w:val="255"/>
        </w:trPr>
        <w:tc>
          <w:tcPr>
            <w:tcW w:w="6812" w:type="dxa"/>
            <w:gridSpan w:val="4"/>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r w:rsidRPr="00F02174">
              <w:rPr>
                <w:rFonts w:cs="Arial"/>
                <w:sz w:val="20"/>
                <w:lang w:eastAsia="en-GB"/>
              </w:rPr>
              <w:t>4. Per capita figures are based on 13 to 19 year olds as at 31 August.</w:t>
            </w:r>
          </w:p>
        </w:tc>
        <w:tc>
          <w:tcPr>
            <w:tcW w:w="1641"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1333"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c>
          <w:tcPr>
            <w:tcW w:w="960" w:type="dxa"/>
            <w:tcBorders>
              <w:top w:val="nil"/>
              <w:left w:val="nil"/>
              <w:bottom w:val="nil"/>
              <w:right w:val="nil"/>
            </w:tcBorders>
            <w:noWrap/>
            <w:vAlign w:val="bottom"/>
          </w:tcPr>
          <w:p w:rsidR="00DA0FB0" w:rsidRPr="00F02174" w:rsidRDefault="00DA0FB0" w:rsidP="00F02174">
            <w:pPr>
              <w:widowControl/>
              <w:overflowPunct/>
              <w:autoSpaceDE/>
              <w:autoSpaceDN/>
              <w:adjustRightInd/>
              <w:textAlignment w:val="auto"/>
              <w:rPr>
                <w:rFonts w:cs="Arial"/>
                <w:sz w:val="20"/>
                <w:lang w:eastAsia="en-GB"/>
              </w:rPr>
            </w:pPr>
          </w:p>
        </w:tc>
      </w:tr>
    </w:tbl>
    <w:p w:rsidR="00DA0FB0" w:rsidRDefault="00DA0FB0" w:rsidP="00AF1C07">
      <w:pPr>
        <w:pStyle w:val="DeptBullets"/>
        <w:numPr>
          <w:ilvl w:val="0"/>
          <w:numId w:val="0"/>
        </w:numPr>
      </w:pPr>
    </w:p>
    <w:p w:rsidR="00DA0FB0" w:rsidRDefault="00DA0FB0" w:rsidP="00AF1C07">
      <w:pPr>
        <w:pStyle w:val="DeptBullets"/>
        <w:numPr>
          <w:ilvl w:val="0"/>
          <w:numId w:val="0"/>
        </w:numPr>
      </w:pPr>
    </w:p>
    <w:p w:rsidR="00DA0FB0" w:rsidRDefault="00DA0FB0" w:rsidP="00AF1C07">
      <w:pPr>
        <w:pStyle w:val="DeptBullets"/>
        <w:numPr>
          <w:ilvl w:val="0"/>
          <w:numId w:val="0"/>
        </w:numPr>
      </w:pPr>
    </w:p>
    <w:p w:rsidR="00DA0FB0" w:rsidRDefault="00DA0FB0" w:rsidP="00AF1C07">
      <w:pPr>
        <w:pStyle w:val="DeptBullets"/>
        <w:numPr>
          <w:ilvl w:val="0"/>
          <w:numId w:val="0"/>
        </w:numPr>
      </w:pPr>
    </w:p>
    <w:p w:rsidR="00DA0FB0" w:rsidRDefault="00DA0FB0" w:rsidP="00AF1C07">
      <w:pPr>
        <w:pStyle w:val="DeptBullets"/>
        <w:numPr>
          <w:ilvl w:val="0"/>
          <w:numId w:val="0"/>
        </w:numPr>
      </w:pPr>
    </w:p>
    <w:p w:rsidR="00DA0FB0" w:rsidRDefault="00DA0FB0" w:rsidP="00AF1C07">
      <w:pPr>
        <w:pStyle w:val="DeptBullets"/>
        <w:numPr>
          <w:ilvl w:val="0"/>
          <w:numId w:val="0"/>
        </w:numPr>
      </w:pPr>
    </w:p>
    <w:p w:rsidR="00DA0FB0" w:rsidRDefault="00DA0FB0" w:rsidP="00AF1C07">
      <w:pPr>
        <w:pStyle w:val="DeptBullets"/>
        <w:numPr>
          <w:ilvl w:val="0"/>
          <w:numId w:val="0"/>
        </w:numPr>
      </w:pPr>
    </w:p>
    <w:p w:rsidR="00DA0FB0" w:rsidRDefault="00DA0FB0" w:rsidP="00AF1C07">
      <w:pPr>
        <w:pStyle w:val="DeptBullets"/>
        <w:numPr>
          <w:ilvl w:val="0"/>
          <w:numId w:val="0"/>
        </w:numPr>
      </w:pPr>
    </w:p>
    <w:p w:rsidR="00DA0FB0" w:rsidRDefault="00DA0FB0" w:rsidP="00AF1C07">
      <w:pPr>
        <w:pStyle w:val="DeptBullets"/>
        <w:numPr>
          <w:ilvl w:val="0"/>
          <w:numId w:val="0"/>
        </w:numPr>
      </w:pPr>
    </w:p>
    <w:p w:rsidR="00DA0FB0" w:rsidRDefault="00DA0FB0" w:rsidP="00AF1C07">
      <w:pPr>
        <w:pStyle w:val="DeptBullets"/>
        <w:numPr>
          <w:ilvl w:val="0"/>
          <w:numId w:val="0"/>
        </w:numPr>
      </w:pPr>
    </w:p>
    <w:p w:rsidR="00DA0FB0" w:rsidRDefault="00DA0FB0" w:rsidP="00AF1C07">
      <w:pPr>
        <w:pStyle w:val="DeptBullets"/>
        <w:numPr>
          <w:ilvl w:val="0"/>
          <w:numId w:val="0"/>
        </w:numPr>
      </w:pPr>
    </w:p>
    <w:p w:rsidR="00DA0FB0" w:rsidRDefault="00DA0FB0" w:rsidP="00AF1C07">
      <w:pPr>
        <w:pStyle w:val="DeptBullets"/>
        <w:numPr>
          <w:ilvl w:val="0"/>
          <w:numId w:val="0"/>
        </w:numPr>
      </w:pPr>
    </w:p>
    <w:tbl>
      <w:tblPr>
        <w:tblW w:w="11340" w:type="dxa"/>
        <w:tblInd w:w="-1510" w:type="dxa"/>
        <w:tblLayout w:type="fixed"/>
        <w:tblCellMar>
          <w:left w:w="30" w:type="dxa"/>
          <w:right w:w="30" w:type="dxa"/>
        </w:tblCellMar>
        <w:tblLook w:val="0000"/>
      </w:tblPr>
      <w:tblGrid>
        <w:gridCol w:w="662"/>
        <w:gridCol w:w="2981"/>
        <w:gridCol w:w="1625"/>
        <w:gridCol w:w="1625"/>
        <w:gridCol w:w="1231"/>
        <w:gridCol w:w="1087"/>
        <w:gridCol w:w="1087"/>
        <w:gridCol w:w="1042"/>
      </w:tblGrid>
      <w:tr w:rsidR="00DA0FB0" w:rsidTr="00F02174">
        <w:trPr>
          <w:trHeight w:val="276"/>
        </w:trPr>
        <w:tc>
          <w:tcPr>
            <w:tcW w:w="10298" w:type="dxa"/>
            <w:gridSpan w:val="7"/>
            <w:tcBorders>
              <w:top w:val="nil"/>
              <w:left w:val="nil"/>
              <w:bottom w:val="nil"/>
              <w:right w:val="nil"/>
            </w:tcBorders>
          </w:tcPr>
          <w:p w:rsidR="00DA0FB0" w:rsidRDefault="00DA0FB0">
            <w:pPr>
              <w:widowControl/>
              <w:overflowPunct/>
              <w:textAlignment w:val="auto"/>
              <w:rPr>
                <w:rFonts w:cs="Arial"/>
                <w:b/>
                <w:bCs/>
                <w:color w:val="000000"/>
                <w:sz w:val="20"/>
                <w:u w:val="single"/>
                <w:lang w:eastAsia="en-GB"/>
              </w:rPr>
            </w:pPr>
          </w:p>
          <w:p w:rsidR="00DA0FB0" w:rsidRDefault="00DA0FB0" w:rsidP="00F02174">
            <w:pPr>
              <w:pStyle w:val="DeptBullets"/>
              <w:numPr>
                <w:ilvl w:val="0"/>
                <w:numId w:val="0"/>
              </w:numPr>
              <w:rPr>
                <w:b/>
              </w:rPr>
            </w:pPr>
            <w:r w:rsidRPr="00FB4AA8">
              <w:rPr>
                <w:b/>
              </w:rPr>
              <w:t>PQ 12178</w:t>
            </w:r>
            <w:r>
              <w:rPr>
                <w:b/>
              </w:rPr>
              <w:t>2:</w:t>
            </w:r>
            <w:r w:rsidRPr="00FB4AA8">
              <w:rPr>
                <w:b/>
              </w:rPr>
              <w:t xml:space="preserve"> Table to be placed in the House of Commons Library</w:t>
            </w:r>
          </w:p>
          <w:p w:rsidR="00DA0FB0" w:rsidRDefault="00DA0FB0">
            <w:pPr>
              <w:widowControl/>
              <w:overflowPunct/>
              <w:textAlignment w:val="auto"/>
              <w:rPr>
                <w:rFonts w:cs="Arial"/>
                <w:b/>
                <w:bCs/>
                <w:color w:val="000000"/>
                <w:sz w:val="20"/>
                <w:u w:val="single"/>
                <w:vertAlign w:val="superscript"/>
                <w:lang w:eastAsia="en-GB"/>
              </w:rPr>
            </w:pPr>
            <w:r>
              <w:rPr>
                <w:rFonts w:cs="Arial"/>
                <w:b/>
                <w:bCs/>
                <w:color w:val="000000"/>
                <w:sz w:val="20"/>
                <w:u w:val="single"/>
                <w:lang w:eastAsia="en-GB"/>
              </w:rPr>
              <w:t xml:space="preserve">Local Authority planned spend on youth services in England for 2010-11 and 2011-12 per capita (real terms) </w:t>
            </w:r>
            <w:r>
              <w:rPr>
                <w:rFonts w:cs="Arial"/>
                <w:b/>
                <w:bCs/>
                <w:color w:val="000000"/>
                <w:sz w:val="20"/>
                <w:u w:val="single"/>
                <w:vertAlign w:val="superscript"/>
                <w:lang w:eastAsia="en-GB"/>
              </w:rPr>
              <w:t>1,2,3</w:t>
            </w:r>
          </w:p>
        </w:tc>
        <w:tc>
          <w:tcPr>
            <w:tcW w:w="104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r>
      <w:tr w:rsidR="00DA0FB0" w:rsidTr="00F02174">
        <w:trPr>
          <w:trHeight w:val="247"/>
        </w:trPr>
        <w:tc>
          <w:tcPr>
            <w:tcW w:w="5268" w:type="dxa"/>
            <w:gridSpan w:val="3"/>
            <w:tcBorders>
              <w:top w:val="nil"/>
              <w:left w:val="nil"/>
              <w:bottom w:val="nil"/>
              <w:right w:val="nil"/>
            </w:tcBorders>
          </w:tcPr>
          <w:p w:rsidR="00DA0FB0" w:rsidRDefault="00DA0FB0">
            <w:pPr>
              <w:widowControl/>
              <w:overflowPunct/>
              <w:textAlignment w:val="auto"/>
              <w:rPr>
                <w:rFonts w:cs="Arial"/>
                <w:b/>
                <w:bCs/>
                <w:color w:val="000000"/>
                <w:sz w:val="20"/>
                <w:u w:val="single"/>
                <w:lang w:eastAsia="en-GB"/>
              </w:rPr>
            </w:pPr>
            <w:r>
              <w:rPr>
                <w:rFonts w:cs="Arial"/>
                <w:b/>
                <w:bCs/>
                <w:color w:val="000000"/>
                <w:sz w:val="20"/>
                <w:u w:val="single"/>
                <w:lang w:eastAsia="en-GB"/>
              </w:rPr>
              <w:t>Figures taken from s251 Budget statements</w:t>
            </w:r>
          </w:p>
        </w:tc>
        <w:tc>
          <w:tcPr>
            <w:tcW w:w="1625"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23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4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r>
      <w:tr w:rsidR="00DA0FB0" w:rsidTr="00F02174">
        <w:trPr>
          <w:trHeight w:val="247"/>
        </w:trPr>
        <w:tc>
          <w:tcPr>
            <w:tcW w:w="66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298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625"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625"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23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single" w:sz="6" w:space="0" w:color="auto"/>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single" w:sz="6" w:space="0" w:color="auto"/>
              <w:right w:val="nil"/>
            </w:tcBorders>
          </w:tcPr>
          <w:p w:rsidR="00DA0FB0" w:rsidRDefault="00DA0FB0">
            <w:pPr>
              <w:widowControl/>
              <w:overflowPunct/>
              <w:jc w:val="right"/>
              <w:textAlignment w:val="auto"/>
              <w:rPr>
                <w:rFonts w:cs="Arial"/>
                <w:color w:val="000000"/>
                <w:sz w:val="20"/>
                <w:lang w:eastAsia="en-GB"/>
              </w:rPr>
            </w:pPr>
          </w:p>
        </w:tc>
        <w:tc>
          <w:tcPr>
            <w:tcW w:w="1042" w:type="dxa"/>
            <w:tcBorders>
              <w:top w:val="nil"/>
              <w:left w:val="nil"/>
              <w:bottom w:val="single" w:sz="6" w:space="0" w:color="auto"/>
              <w:right w:val="nil"/>
            </w:tcBorders>
          </w:tcPr>
          <w:p w:rsidR="00DA0FB0" w:rsidRDefault="00DA0FB0">
            <w:pPr>
              <w:widowControl/>
              <w:overflowPunct/>
              <w:jc w:val="right"/>
              <w:textAlignment w:val="auto"/>
              <w:rPr>
                <w:rFonts w:cs="Arial"/>
                <w:color w:val="000000"/>
                <w:sz w:val="20"/>
                <w:lang w:eastAsia="en-GB"/>
              </w:rPr>
            </w:pPr>
          </w:p>
        </w:tc>
      </w:tr>
      <w:tr w:rsidR="00DA0FB0" w:rsidTr="00F02174">
        <w:trPr>
          <w:trHeight w:val="247"/>
        </w:trPr>
        <w:tc>
          <w:tcPr>
            <w:tcW w:w="66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298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625" w:type="dxa"/>
            <w:tcBorders>
              <w:top w:val="single" w:sz="6" w:space="0" w:color="auto"/>
              <w:left w:val="single" w:sz="6" w:space="0" w:color="auto"/>
              <w:bottom w:val="single" w:sz="6" w:space="0" w:color="auto"/>
              <w:right w:val="nil"/>
            </w:tcBorders>
          </w:tcPr>
          <w:p w:rsidR="00DA0FB0" w:rsidRDefault="00DA0FB0">
            <w:pPr>
              <w:widowControl/>
              <w:overflowPunct/>
              <w:jc w:val="center"/>
              <w:textAlignment w:val="auto"/>
              <w:rPr>
                <w:rFonts w:cs="Arial"/>
                <w:b/>
                <w:bCs/>
                <w:color w:val="000000"/>
                <w:sz w:val="20"/>
                <w:lang w:eastAsia="en-GB"/>
              </w:rPr>
            </w:pPr>
            <w:r>
              <w:rPr>
                <w:rFonts w:cs="Arial"/>
                <w:b/>
                <w:bCs/>
                <w:color w:val="000000"/>
                <w:sz w:val="20"/>
                <w:lang w:eastAsia="en-GB"/>
              </w:rPr>
              <w:t>2010-11</w:t>
            </w:r>
          </w:p>
        </w:tc>
        <w:tc>
          <w:tcPr>
            <w:tcW w:w="1625" w:type="dxa"/>
            <w:tcBorders>
              <w:top w:val="single" w:sz="6" w:space="0" w:color="auto"/>
              <w:left w:val="single" w:sz="6" w:space="0" w:color="auto"/>
              <w:bottom w:val="nil"/>
              <w:right w:val="single" w:sz="6" w:space="0" w:color="auto"/>
            </w:tcBorders>
          </w:tcPr>
          <w:p w:rsidR="00DA0FB0" w:rsidRDefault="00DA0FB0">
            <w:pPr>
              <w:widowControl/>
              <w:overflowPunct/>
              <w:jc w:val="center"/>
              <w:textAlignment w:val="auto"/>
              <w:rPr>
                <w:rFonts w:cs="Arial"/>
                <w:b/>
                <w:bCs/>
                <w:color w:val="000000"/>
                <w:sz w:val="20"/>
                <w:lang w:eastAsia="en-GB"/>
              </w:rPr>
            </w:pPr>
            <w:r>
              <w:rPr>
                <w:rFonts w:cs="Arial"/>
                <w:b/>
                <w:bCs/>
                <w:color w:val="000000"/>
                <w:sz w:val="20"/>
                <w:lang w:eastAsia="en-GB"/>
              </w:rPr>
              <w:t>2011-12</w:t>
            </w:r>
          </w:p>
        </w:tc>
        <w:tc>
          <w:tcPr>
            <w:tcW w:w="1231" w:type="dxa"/>
            <w:tcBorders>
              <w:top w:val="single" w:sz="6" w:space="0" w:color="auto"/>
              <w:left w:val="single" w:sz="6" w:space="0" w:color="auto"/>
              <w:bottom w:val="single" w:sz="6" w:space="0" w:color="auto"/>
              <w:right w:val="nil"/>
            </w:tcBorders>
          </w:tcPr>
          <w:p w:rsidR="00DA0FB0" w:rsidRDefault="00DA0FB0">
            <w:pPr>
              <w:widowControl/>
              <w:overflowPunct/>
              <w:jc w:val="center"/>
              <w:textAlignment w:val="auto"/>
              <w:rPr>
                <w:rFonts w:cs="Arial"/>
                <w:b/>
                <w:bCs/>
                <w:color w:val="000000"/>
                <w:sz w:val="20"/>
                <w:lang w:eastAsia="en-GB"/>
              </w:rPr>
            </w:pPr>
            <w:r>
              <w:rPr>
                <w:rFonts w:cs="Arial"/>
                <w:b/>
                <w:bCs/>
                <w:color w:val="000000"/>
                <w:sz w:val="20"/>
                <w:lang w:eastAsia="en-GB"/>
              </w:rPr>
              <w:t>2010-11</w:t>
            </w:r>
          </w:p>
        </w:tc>
        <w:tc>
          <w:tcPr>
            <w:tcW w:w="1087" w:type="dxa"/>
            <w:tcBorders>
              <w:top w:val="single" w:sz="6" w:space="0" w:color="auto"/>
              <w:left w:val="nil"/>
              <w:bottom w:val="single" w:sz="6" w:space="0" w:color="auto"/>
              <w:right w:val="single" w:sz="6" w:space="0" w:color="auto"/>
            </w:tcBorders>
          </w:tcPr>
          <w:p w:rsidR="00DA0FB0" w:rsidRDefault="00DA0FB0">
            <w:pPr>
              <w:widowControl/>
              <w:overflowPunct/>
              <w:jc w:val="center"/>
              <w:textAlignment w:val="auto"/>
              <w:rPr>
                <w:rFonts w:cs="Arial"/>
                <w:b/>
                <w:bCs/>
                <w:color w:val="000000"/>
                <w:sz w:val="20"/>
                <w:lang w:eastAsia="en-GB"/>
              </w:rPr>
            </w:pPr>
          </w:p>
        </w:tc>
        <w:tc>
          <w:tcPr>
            <w:tcW w:w="1087" w:type="dxa"/>
            <w:tcBorders>
              <w:top w:val="single" w:sz="6" w:space="0" w:color="auto"/>
              <w:left w:val="single" w:sz="6" w:space="0" w:color="auto"/>
              <w:bottom w:val="single" w:sz="6" w:space="0" w:color="auto"/>
              <w:right w:val="nil"/>
            </w:tcBorders>
          </w:tcPr>
          <w:p w:rsidR="00DA0FB0" w:rsidRDefault="00DA0FB0">
            <w:pPr>
              <w:widowControl/>
              <w:overflowPunct/>
              <w:jc w:val="center"/>
              <w:textAlignment w:val="auto"/>
              <w:rPr>
                <w:rFonts w:cs="Arial"/>
                <w:b/>
                <w:bCs/>
                <w:color w:val="000000"/>
                <w:sz w:val="20"/>
                <w:lang w:eastAsia="en-GB"/>
              </w:rPr>
            </w:pPr>
            <w:r>
              <w:rPr>
                <w:rFonts w:cs="Arial"/>
                <w:b/>
                <w:bCs/>
                <w:color w:val="000000"/>
                <w:sz w:val="20"/>
                <w:lang w:eastAsia="en-GB"/>
              </w:rPr>
              <w:t>2011-12</w:t>
            </w:r>
          </w:p>
        </w:tc>
        <w:tc>
          <w:tcPr>
            <w:tcW w:w="1042" w:type="dxa"/>
            <w:tcBorders>
              <w:top w:val="single" w:sz="6" w:space="0" w:color="auto"/>
              <w:left w:val="nil"/>
              <w:bottom w:val="single" w:sz="6" w:space="0" w:color="auto"/>
              <w:right w:val="single" w:sz="6" w:space="0" w:color="auto"/>
            </w:tcBorders>
          </w:tcPr>
          <w:p w:rsidR="00DA0FB0" w:rsidRDefault="00DA0FB0">
            <w:pPr>
              <w:widowControl/>
              <w:overflowPunct/>
              <w:jc w:val="center"/>
              <w:textAlignment w:val="auto"/>
              <w:rPr>
                <w:rFonts w:cs="Arial"/>
                <w:b/>
                <w:bCs/>
                <w:color w:val="000000"/>
                <w:sz w:val="20"/>
                <w:lang w:eastAsia="en-GB"/>
              </w:rPr>
            </w:pPr>
          </w:p>
        </w:tc>
      </w:tr>
      <w:tr w:rsidR="00DA0FB0" w:rsidTr="00F02174">
        <w:trPr>
          <w:trHeight w:val="742"/>
        </w:trPr>
        <w:tc>
          <w:tcPr>
            <w:tcW w:w="66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298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center"/>
              <w:textAlignment w:val="auto"/>
              <w:rPr>
                <w:rFonts w:cs="Arial"/>
                <w:b/>
                <w:bCs/>
                <w:color w:val="000000"/>
                <w:sz w:val="20"/>
                <w:lang w:eastAsia="en-GB"/>
              </w:rPr>
            </w:pPr>
            <w:r>
              <w:rPr>
                <w:rFonts w:cs="Arial"/>
                <w:b/>
                <w:bCs/>
                <w:color w:val="000000"/>
                <w:sz w:val="20"/>
                <w:lang w:eastAsia="en-GB"/>
              </w:rPr>
              <w:t>Youth service planned spend (real terms)</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center"/>
              <w:textAlignment w:val="auto"/>
              <w:rPr>
                <w:rFonts w:cs="Arial"/>
                <w:b/>
                <w:bCs/>
                <w:color w:val="000000"/>
                <w:sz w:val="20"/>
                <w:lang w:eastAsia="en-GB"/>
              </w:rPr>
            </w:pPr>
            <w:r>
              <w:rPr>
                <w:rFonts w:cs="Arial"/>
                <w:b/>
                <w:bCs/>
                <w:color w:val="000000"/>
                <w:sz w:val="20"/>
                <w:lang w:eastAsia="en-GB"/>
              </w:rPr>
              <w:t>Youth service planned spend</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b/>
                <w:bCs/>
                <w:color w:val="000000"/>
                <w:sz w:val="20"/>
                <w:lang w:eastAsia="en-GB"/>
              </w:rPr>
            </w:pPr>
            <w:r>
              <w:rPr>
                <w:rFonts w:cs="Arial"/>
                <w:b/>
                <w:bCs/>
                <w:color w:val="000000"/>
                <w:sz w:val="20"/>
                <w:lang w:eastAsia="en-GB"/>
              </w:rPr>
              <w:t>Per capita (real terms)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b/>
                <w:bCs/>
                <w:color w:val="000000"/>
                <w:sz w:val="20"/>
                <w:lang w:eastAsia="en-GB"/>
              </w:rPr>
            </w:pPr>
            <w:r>
              <w:rPr>
                <w:rFonts w:cs="Arial"/>
                <w:b/>
                <w:bCs/>
                <w:color w:val="000000"/>
                <w:sz w:val="20"/>
                <w:lang w:eastAsia="en-GB"/>
              </w:rPr>
              <w:t>Ranking</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b/>
                <w:bCs/>
                <w:color w:val="000000"/>
                <w:sz w:val="20"/>
                <w:lang w:eastAsia="en-GB"/>
              </w:rPr>
            </w:pPr>
            <w:r>
              <w:rPr>
                <w:rFonts w:cs="Arial"/>
                <w:b/>
                <w:bCs/>
                <w:color w:val="000000"/>
                <w:sz w:val="20"/>
                <w:lang w:eastAsia="en-GB"/>
              </w:rPr>
              <w:t>Per capita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b/>
                <w:bCs/>
                <w:color w:val="000000"/>
                <w:sz w:val="20"/>
                <w:lang w:eastAsia="en-GB"/>
              </w:rPr>
            </w:pPr>
            <w:r>
              <w:rPr>
                <w:rFonts w:cs="Arial"/>
                <w:b/>
                <w:bCs/>
                <w:color w:val="000000"/>
                <w:sz w:val="20"/>
                <w:lang w:eastAsia="en-GB"/>
              </w:rPr>
              <w:t>Ranking</w:t>
            </w:r>
          </w:p>
        </w:tc>
      </w:tr>
      <w:tr w:rsidR="00DA0FB0" w:rsidTr="00F02174">
        <w:trPr>
          <w:trHeight w:val="58"/>
        </w:trPr>
        <w:tc>
          <w:tcPr>
            <w:tcW w:w="66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298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625" w:type="dxa"/>
            <w:tcBorders>
              <w:top w:val="nil"/>
              <w:left w:val="nil"/>
              <w:bottom w:val="nil"/>
              <w:right w:val="nil"/>
            </w:tcBorders>
          </w:tcPr>
          <w:p w:rsidR="00DA0FB0" w:rsidRDefault="00DA0FB0">
            <w:pPr>
              <w:widowControl/>
              <w:overflowPunct/>
              <w:jc w:val="right"/>
              <w:textAlignment w:val="auto"/>
              <w:rPr>
                <w:rFonts w:cs="Arial"/>
                <w:b/>
                <w:bCs/>
                <w:color w:val="000000"/>
                <w:sz w:val="20"/>
                <w:lang w:eastAsia="en-GB"/>
              </w:rPr>
            </w:pPr>
          </w:p>
        </w:tc>
        <w:tc>
          <w:tcPr>
            <w:tcW w:w="1625" w:type="dxa"/>
            <w:tcBorders>
              <w:top w:val="nil"/>
              <w:left w:val="nil"/>
              <w:bottom w:val="nil"/>
              <w:right w:val="nil"/>
            </w:tcBorders>
          </w:tcPr>
          <w:p w:rsidR="00DA0FB0" w:rsidRDefault="00DA0FB0">
            <w:pPr>
              <w:widowControl/>
              <w:overflowPunct/>
              <w:jc w:val="right"/>
              <w:textAlignment w:val="auto"/>
              <w:rPr>
                <w:rFonts w:cs="Arial"/>
                <w:b/>
                <w:bCs/>
                <w:color w:val="000000"/>
                <w:sz w:val="20"/>
                <w:lang w:eastAsia="en-GB"/>
              </w:rPr>
            </w:pPr>
          </w:p>
        </w:tc>
        <w:tc>
          <w:tcPr>
            <w:tcW w:w="123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4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r>
      <w:tr w:rsidR="00DA0FB0" w:rsidTr="00F02174">
        <w:trPr>
          <w:trHeight w:val="247"/>
        </w:trPr>
        <w:tc>
          <w:tcPr>
            <w:tcW w:w="66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b/>
                <w:bCs/>
                <w:color w:val="000000"/>
                <w:sz w:val="20"/>
                <w:lang w:eastAsia="en-GB"/>
              </w:rPr>
            </w:pPr>
            <w:r>
              <w:rPr>
                <w:rFonts w:cs="Arial"/>
                <w:b/>
                <w:bCs/>
                <w:color w:val="000000"/>
                <w:sz w:val="20"/>
                <w:lang w:eastAsia="en-GB"/>
              </w:rPr>
              <w:t>England</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b/>
                <w:bCs/>
                <w:color w:val="000000"/>
                <w:sz w:val="20"/>
                <w:lang w:eastAsia="en-GB"/>
              </w:rPr>
            </w:pPr>
            <w:r>
              <w:rPr>
                <w:rFonts w:cs="Arial"/>
                <w:b/>
                <w:bCs/>
                <w:color w:val="000000"/>
                <w:sz w:val="20"/>
                <w:lang w:eastAsia="en-GB"/>
              </w:rPr>
              <w:t xml:space="preserve">   1,208,846,445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b/>
                <w:bCs/>
                <w:color w:val="000000"/>
                <w:sz w:val="20"/>
                <w:lang w:eastAsia="en-GB"/>
              </w:rPr>
            </w:pPr>
            <w:r>
              <w:rPr>
                <w:rFonts w:cs="Arial"/>
                <w:b/>
                <w:bCs/>
                <w:color w:val="000000"/>
                <w:sz w:val="20"/>
                <w:lang w:eastAsia="en-GB"/>
              </w:rPr>
              <w:t xml:space="preserve">     883,372,160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b/>
                <w:bCs/>
                <w:color w:val="000000"/>
                <w:sz w:val="20"/>
                <w:lang w:eastAsia="en-GB"/>
              </w:rPr>
            </w:pPr>
            <w:r>
              <w:rPr>
                <w:rFonts w:cs="Arial"/>
                <w:b/>
                <w:bCs/>
                <w:color w:val="000000"/>
                <w:sz w:val="20"/>
                <w:lang w:eastAsia="en-GB"/>
              </w:rPr>
              <w:t xml:space="preserve">            269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b/>
                <w:bCs/>
                <w:color w:val="000000"/>
                <w:sz w:val="20"/>
                <w:lang w:eastAsia="en-GB"/>
              </w:rPr>
            </w:pPr>
            <w:r>
              <w:rPr>
                <w:rFonts w:cs="Arial"/>
                <w:b/>
                <w:bCs/>
                <w:color w:val="000000"/>
                <w:sz w:val="20"/>
                <w:lang w:eastAsia="en-GB"/>
              </w:rPr>
              <w:t xml:space="preserve"> .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b/>
                <w:bCs/>
                <w:color w:val="000000"/>
                <w:sz w:val="20"/>
                <w:lang w:eastAsia="en-GB"/>
              </w:rPr>
            </w:pPr>
            <w:r>
              <w:rPr>
                <w:rFonts w:cs="Arial"/>
                <w:b/>
                <w:bCs/>
                <w:color w:val="000000"/>
                <w:sz w:val="20"/>
                <w:lang w:eastAsia="en-GB"/>
              </w:rPr>
              <w:t xml:space="preserve">         200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b/>
                <w:bCs/>
                <w:color w:val="000000"/>
                <w:sz w:val="20"/>
                <w:lang w:eastAsia="en-GB"/>
              </w:rPr>
            </w:pPr>
            <w:r>
              <w:rPr>
                <w:rFonts w:cs="Arial"/>
                <w:b/>
                <w:bCs/>
                <w:color w:val="000000"/>
                <w:sz w:val="20"/>
                <w:lang w:eastAsia="en-GB"/>
              </w:rPr>
              <w:t xml:space="preserve"> . </w:t>
            </w:r>
          </w:p>
        </w:tc>
      </w:tr>
      <w:tr w:rsidR="00DA0FB0" w:rsidTr="00F02174">
        <w:trPr>
          <w:trHeight w:val="58"/>
        </w:trPr>
        <w:tc>
          <w:tcPr>
            <w:tcW w:w="66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298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625" w:type="dxa"/>
            <w:tcBorders>
              <w:top w:val="nil"/>
              <w:left w:val="nil"/>
              <w:bottom w:val="nil"/>
              <w:right w:val="nil"/>
            </w:tcBorders>
          </w:tcPr>
          <w:p w:rsidR="00DA0FB0" w:rsidRDefault="00DA0FB0">
            <w:pPr>
              <w:widowControl/>
              <w:overflowPunct/>
              <w:jc w:val="right"/>
              <w:textAlignment w:val="auto"/>
              <w:rPr>
                <w:rFonts w:cs="Arial"/>
                <w:b/>
                <w:bCs/>
                <w:color w:val="000000"/>
                <w:sz w:val="20"/>
                <w:lang w:eastAsia="en-GB"/>
              </w:rPr>
            </w:pPr>
          </w:p>
        </w:tc>
        <w:tc>
          <w:tcPr>
            <w:tcW w:w="1625" w:type="dxa"/>
            <w:tcBorders>
              <w:top w:val="nil"/>
              <w:left w:val="nil"/>
              <w:bottom w:val="nil"/>
              <w:right w:val="nil"/>
            </w:tcBorders>
          </w:tcPr>
          <w:p w:rsidR="00DA0FB0" w:rsidRDefault="00DA0FB0">
            <w:pPr>
              <w:widowControl/>
              <w:overflowPunct/>
              <w:jc w:val="right"/>
              <w:textAlignment w:val="auto"/>
              <w:rPr>
                <w:rFonts w:cs="Arial"/>
                <w:b/>
                <w:bCs/>
                <w:color w:val="000000"/>
                <w:sz w:val="20"/>
                <w:lang w:eastAsia="en-GB"/>
              </w:rPr>
            </w:pPr>
          </w:p>
        </w:tc>
        <w:tc>
          <w:tcPr>
            <w:tcW w:w="123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4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201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City of London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668,460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549,243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1,588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1,229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202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Camden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8,812,924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9,242,120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574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585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203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Greenwich</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8,761,518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6,822,240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492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386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204</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Hackney</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13,455,289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9,964,290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862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652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205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Hammersmith and Fulham</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4,899,685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1,640,196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495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164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206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Islington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12,353,856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5,625,988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1,009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460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207</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Kensington and Chelsea</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6,387,552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5,225,070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628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477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208</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Lambeth</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8,284,656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6,348,865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503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385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209</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Lewisham</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9,094,972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7,447,636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467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387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210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Southwark</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10,645,919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8,552,349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581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462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211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Tower Hamlets</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16,821,495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10,532,639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1,004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647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212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proofErr w:type="spellStart"/>
            <w:r>
              <w:rPr>
                <w:rFonts w:cs="Arial"/>
                <w:color w:val="000000"/>
                <w:sz w:val="20"/>
                <w:lang w:eastAsia="en-GB"/>
              </w:rPr>
              <w:t>Wandsworth</w:t>
            </w:r>
            <w:proofErr w:type="spellEnd"/>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7,591,847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7,599,030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542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537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213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Westminster</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6,000,235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3,452,150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445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242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301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Barking and Dagenham</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4,955,433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1,475,810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91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302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Barnet</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5,764,929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3,499,823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303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Bexley</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4,462,896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4,065,000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304</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Brent</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6,685,695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5,801,081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357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305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Bromley</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4,244,759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2,352,375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93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306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proofErr w:type="spellStart"/>
            <w:r>
              <w:rPr>
                <w:rFonts w:cs="Arial"/>
                <w:color w:val="000000"/>
                <w:sz w:val="20"/>
                <w:lang w:eastAsia="en-GB"/>
              </w:rPr>
              <w:t>Croydon</w:t>
            </w:r>
            <w:proofErr w:type="spellEnd"/>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10,894,883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7,616,964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360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307</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Ealing</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7,003,566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3,853,295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308</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Enfield</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7,018,276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5,733,687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233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309</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Haringey</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4,725,963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2,515,689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310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Harrow</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4,459,844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3,937,377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210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311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Havering</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5,180,915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4,373,038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312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Hillingdon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9,189,430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5,078,010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393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221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313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Hounslow</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5,847,219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3,301,080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314</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Kingston upon Thames</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3,296,406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2,636,558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315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Merton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3,268,625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3,064,949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220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316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Newham</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14,239,882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6,558,360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678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320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317</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Redbridge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5,086,993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857,306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318</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Richmond upon Thames</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3,874,349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3,093,527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319</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Sutton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3,503,768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2,116,950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320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Waltham Forest</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7,626,754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2,996,039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422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170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330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Birmingham</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24,643,745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13,097,206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134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331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Coventry</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9,003,164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5,659,066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332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Dudley</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7,504,303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5,120,640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275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192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333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Sandwell</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9,140,286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7,205,200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283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334</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Solihull</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4,670,751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4,291,907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335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Walsall</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7,930,360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6,827,567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335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294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336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Wolverhampton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8,521,193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6,527,090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406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340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proofErr w:type="spellStart"/>
            <w:r>
              <w:rPr>
                <w:rFonts w:cs="Arial"/>
                <w:color w:val="000000"/>
                <w:sz w:val="20"/>
                <w:lang w:eastAsia="en-GB"/>
              </w:rPr>
              <w:t>Knowsley</w:t>
            </w:r>
            <w:proofErr w:type="spellEnd"/>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4,396,447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2,532,194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183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341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Liverpool</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16,316,141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10,583,634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418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276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342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St. Helens</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5,674,584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4,314,034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273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343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proofErr w:type="spellStart"/>
            <w:r>
              <w:rPr>
                <w:rFonts w:cs="Arial"/>
                <w:color w:val="000000"/>
                <w:sz w:val="20"/>
                <w:lang w:eastAsia="en-GB"/>
              </w:rPr>
              <w:t>Sefton</w:t>
            </w:r>
            <w:proofErr w:type="spellEnd"/>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9,698,278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5,302,800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387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222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344</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Wirral</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8,644,647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7,773,100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294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350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Bolton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8,161,704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7,489,700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333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351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Bury</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4,003,611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2,068,569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352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Manchester</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16,557,025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4,618,110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391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112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353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Oldham</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3,014,979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6,308,432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354</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Rochdale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5,739,255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4,297,783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355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Salford</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8,064,967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5,037,543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419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356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Stockport</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7,092,575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5,171,610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357</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Tameside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6,275,340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4,350,600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320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230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358</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Trafford</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4,763,716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4,644,040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359</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Wigan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9,172,065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6,236,617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370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Barnsley</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5,947,905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6,605,295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330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371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Doncaster</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8,012,735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6,585,850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264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372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Rotherham</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7,170,994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2,929,711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131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373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Sheffield</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17,214,783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7,670,180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380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Bradford</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13,911,536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12,423,999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262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381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Calderdale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7,069,902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5,556,593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396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382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Kirklees</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11,211,290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9,380,376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383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Leeds</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23,726,575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16,267,660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384</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Wakefield</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9,977,960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7,593,560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351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274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390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Gateshead</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3,523,566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3,497,245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223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391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Newcastle upon Tyne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8,558,482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4,730,203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326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184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392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North Tyneside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3,427,081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3,035,080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393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South Tyneside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5,721,558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4,621,136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427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355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394</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Sunderland</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13,662,431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5,954,874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547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420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Isles Of Scilly</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124,057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148,996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940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861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800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Bath and North East Somerset</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3,427,996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2,159,916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801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Bristol City of</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8,925,472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8,344,076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272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802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North Somerset</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3,158,536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2,221,305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133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803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South Gloucestershire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4,782,333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4,171,000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805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Hartlepool</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3,190,438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2,483,993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375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806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Middlesbrough</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5,249,838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4,820,580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393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371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807</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Redcar and Cleveland</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5,222,733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3,225,878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422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274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808</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Stockton-on-Tees</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5,829,425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4,954,813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328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284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810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Kingston upon Hull City of</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11,673,251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5,532,312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499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234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811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East Riding of Yorkshire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6,528,831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5,475,770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191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812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North East Lincolnshire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5,761,127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4,386,100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394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813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North Lincolnshire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4,080,873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1,708,457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815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North Yorkshire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10,990,362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9,863,343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191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816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York</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4,182,140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3,096,030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182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821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Luton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5,309,621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3,367,538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822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Bedford Borough</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3,598,751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2,081,468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823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Central Bedfordshire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4,261,776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2,075,808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825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Buckinghamshire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9,081,985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4,572,444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826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Milton Keynes</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6,425,276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4,448,126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830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Derbyshire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14,544,850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14,126,101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831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Derby</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7,290,072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3,754,487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336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835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Dorset</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6,930,031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7,633,300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836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Poole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2,697,937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2,130,538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837</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Bournemouth</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3,926,612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3,201,000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840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Durham</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12,051,528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5,500,630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124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841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Darlington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2,968,971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1,965,762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845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East Sussex</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8,293,120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6,579,034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152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846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Brighton and Hove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5,284,370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4,082,472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850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Hampshire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16,772,053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12,297,900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111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851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Portsmouth</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3,346,942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2,693,300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153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852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Southampton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4,264,189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3,741,025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855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Leicestershire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10,623,399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7,925,337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856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Leicester</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9,488,928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7,660,482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280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857</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Rutland</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1,037,452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803,600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171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860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Staffordshire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15,476,615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12,383,905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861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Stoke-on-Trent</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7,339,127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2,534,390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363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865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Wiltshire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8,544,661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6,112,847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866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Swindon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4,810,614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2,892,765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867</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Bracknell Forest</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2,812,494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2,195,434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868</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Windsor and Maidenhead</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3,175,987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1,831,660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869</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West Berkshire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3,990,990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2,896,242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202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870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Reading</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4,079,239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2,754,281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871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Slough</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4,707,754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3,383,396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457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335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872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Wokingham</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2,768,591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1,952,450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130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873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Cambridgeshire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9,648,013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7,664,419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144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874</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Peterborough</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3,666,361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2,781,022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191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876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proofErr w:type="spellStart"/>
            <w:r>
              <w:rPr>
                <w:rFonts w:cs="Arial"/>
                <w:color w:val="000000"/>
                <w:sz w:val="20"/>
                <w:lang w:eastAsia="en-GB"/>
              </w:rPr>
              <w:t>Halton</w:t>
            </w:r>
            <w:proofErr w:type="spellEnd"/>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3,628,782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4,422,754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339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426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877</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Warrington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4,217,205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1,300,115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878</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Devon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13,058,657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10,021,370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879</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Plymouth</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7,282,905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5,883,090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880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Torbay</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3,088,685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2,566,290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240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881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Essex</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20,825,700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16,419,878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882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Southend-on-Sea</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3,572,262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2,461,680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883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Thurrock</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3,182,284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2,105,543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151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884</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Herefordshire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2,899,970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2,297,091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885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Worcestershire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10,379,567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9,076,864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85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886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Kent</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28,932,915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23,670,035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185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97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887</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Medway</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8,578,535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4,408,055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351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888</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Lancashire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27,633,665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19,504,030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889</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 xml:space="preserve">Blackburn with </w:t>
            </w:r>
            <w:proofErr w:type="spellStart"/>
            <w:r>
              <w:rPr>
                <w:rFonts w:cs="Arial"/>
                <w:color w:val="000000"/>
                <w:sz w:val="20"/>
                <w:lang w:eastAsia="en-GB"/>
              </w:rPr>
              <w:t>Darwen</w:t>
            </w:r>
            <w:proofErr w:type="spellEnd"/>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4,426,448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3,003,200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890</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Blackpool</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4,362,835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1,993,664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354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163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891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Nottinghamshire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17,896,374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15,721,828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241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892</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Nottingham</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6,270,726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7,258,232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893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Shropshire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5,812,343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4,152,350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162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894</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Telford and Wrekin</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3,764,509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2,882,827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895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Cheshire East</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4,390,337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3,001,712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100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896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Cheshire West and Chester</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5,124,353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3,029,769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143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908</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Cornwall</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8,975,232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11,441,998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909</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Cumbria</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9,378,327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7,777,000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916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Gloucestershire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10,346,334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9,166,388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919</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Hertfordshire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14,887,621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18,789,563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200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78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921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Isle of Wight</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2,943,126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3,435,814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251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296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925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Lincolnshire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11,526,243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11,931,437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189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136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82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926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Norfolk</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13,638,835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4,777,147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129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69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928</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Northamptonshire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8,988,676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6,884,136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150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141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929</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Northumberland</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7,279,978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5,602,335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287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228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59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931</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Oxfordshire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10,453,096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8,794,470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178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151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120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933</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Somerset</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10,553,569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6,959,665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111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147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935</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Suffolk</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11,691,132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12,468,944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192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206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74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936</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Surrey</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21,628,302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15,311,824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224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163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113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937</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Warwickshire</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11,216,075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9,185,880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248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92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203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76 </w:t>
            </w:r>
          </w:p>
        </w:tc>
      </w:tr>
      <w:tr w:rsidR="00DA0FB0" w:rsidTr="00F02174">
        <w:trPr>
          <w:trHeight w:val="247"/>
        </w:trPr>
        <w:tc>
          <w:tcPr>
            <w:tcW w:w="66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938</w:t>
            </w:r>
          </w:p>
        </w:tc>
        <w:tc>
          <w:tcPr>
            <w:tcW w:w="298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textAlignment w:val="auto"/>
              <w:rPr>
                <w:rFonts w:cs="Arial"/>
                <w:color w:val="000000"/>
                <w:sz w:val="20"/>
                <w:lang w:eastAsia="en-GB"/>
              </w:rPr>
            </w:pPr>
            <w:r>
              <w:rPr>
                <w:rFonts w:cs="Arial"/>
                <w:color w:val="000000"/>
                <w:sz w:val="20"/>
                <w:lang w:eastAsia="en-GB"/>
              </w:rPr>
              <w:t>West Sussex</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10,430,194 </w:t>
            </w:r>
          </w:p>
        </w:tc>
        <w:tc>
          <w:tcPr>
            <w:tcW w:w="1625"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8,811,512 </w:t>
            </w:r>
          </w:p>
        </w:tc>
        <w:tc>
          <w:tcPr>
            <w:tcW w:w="1231"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155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147 </w:t>
            </w:r>
          </w:p>
        </w:tc>
        <w:tc>
          <w:tcPr>
            <w:tcW w:w="1087"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132 </w:t>
            </w:r>
          </w:p>
        </w:tc>
        <w:tc>
          <w:tcPr>
            <w:tcW w:w="1042" w:type="dxa"/>
            <w:tcBorders>
              <w:top w:val="single" w:sz="6" w:space="0" w:color="auto"/>
              <w:left w:val="single" w:sz="6" w:space="0" w:color="auto"/>
              <w:bottom w:val="single" w:sz="6" w:space="0" w:color="auto"/>
              <w:right w:val="single" w:sz="6" w:space="0" w:color="auto"/>
            </w:tcBorders>
          </w:tcPr>
          <w:p w:rsidR="00DA0FB0" w:rsidRDefault="00DA0FB0">
            <w:pPr>
              <w:widowControl/>
              <w:overflowPunct/>
              <w:jc w:val="right"/>
              <w:textAlignment w:val="auto"/>
              <w:rPr>
                <w:rFonts w:cs="Arial"/>
                <w:color w:val="000000"/>
                <w:sz w:val="20"/>
                <w:lang w:eastAsia="en-GB"/>
              </w:rPr>
            </w:pPr>
            <w:r>
              <w:rPr>
                <w:rFonts w:cs="Arial"/>
                <w:color w:val="000000"/>
                <w:sz w:val="20"/>
                <w:lang w:eastAsia="en-GB"/>
              </w:rPr>
              <w:t xml:space="preserve">         131 </w:t>
            </w:r>
          </w:p>
        </w:tc>
      </w:tr>
      <w:tr w:rsidR="00DA0FB0" w:rsidTr="00F02174">
        <w:trPr>
          <w:trHeight w:val="247"/>
        </w:trPr>
        <w:tc>
          <w:tcPr>
            <w:tcW w:w="66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298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625" w:type="dxa"/>
            <w:tcBorders>
              <w:top w:val="single" w:sz="6" w:space="0" w:color="auto"/>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625" w:type="dxa"/>
            <w:tcBorders>
              <w:top w:val="single" w:sz="6" w:space="0" w:color="auto"/>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23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4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r>
      <w:tr w:rsidR="00DA0FB0" w:rsidTr="00F02174">
        <w:trPr>
          <w:trHeight w:val="247"/>
        </w:trPr>
        <w:tc>
          <w:tcPr>
            <w:tcW w:w="3643" w:type="dxa"/>
            <w:gridSpan w:val="2"/>
            <w:tcBorders>
              <w:top w:val="nil"/>
              <w:left w:val="nil"/>
              <w:bottom w:val="nil"/>
              <w:right w:val="nil"/>
            </w:tcBorders>
          </w:tcPr>
          <w:p w:rsidR="00DA0FB0" w:rsidRDefault="00DA0FB0">
            <w:pPr>
              <w:widowControl/>
              <w:overflowPunct/>
              <w:textAlignment w:val="auto"/>
              <w:rPr>
                <w:rFonts w:cs="Arial"/>
                <w:color w:val="000000"/>
                <w:sz w:val="20"/>
                <w:lang w:eastAsia="en-GB"/>
              </w:rPr>
            </w:pPr>
            <w:r>
              <w:rPr>
                <w:rFonts w:cs="Arial"/>
                <w:color w:val="000000"/>
                <w:sz w:val="20"/>
                <w:lang w:eastAsia="en-GB"/>
              </w:rPr>
              <w:t>.  Not applicable</w:t>
            </w:r>
          </w:p>
        </w:tc>
        <w:tc>
          <w:tcPr>
            <w:tcW w:w="1625"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625"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23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4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r>
      <w:tr w:rsidR="00DA0FB0" w:rsidTr="00F02174">
        <w:trPr>
          <w:trHeight w:val="247"/>
        </w:trPr>
        <w:tc>
          <w:tcPr>
            <w:tcW w:w="6893" w:type="dxa"/>
            <w:gridSpan w:val="4"/>
            <w:tcBorders>
              <w:top w:val="nil"/>
              <w:left w:val="nil"/>
              <w:bottom w:val="nil"/>
              <w:right w:val="nil"/>
            </w:tcBorders>
          </w:tcPr>
          <w:p w:rsidR="00DA0FB0" w:rsidRDefault="00DA0FB0">
            <w:pPr>
              <w:widowControl/>
              <w:overflowPunct/>
              <w:textAlignment w:val="auto"/>
              <w:rPr>
                <w:rFonts w:cs="Arial"/>
                <w:color w:val="000000"/>
                <w:sz w:val="20"/>
                <w:lang w:eastAsia="en-GB"/>
              </w:rPr>
            </w:pPr>
            <w:r>
              <w:rPr>
                <w:rFonts w:cs="Arial"/>
                <w:color w:val="000000"/>
                <w:sz w:val="20"/>
                <w:lang w:eastAsia="en-GB"/>
              </w:rPr>
              <w:t xml:space="preserve">1. Data is as reported by </w:t>
            </w:r>
            <w:proofErr w:type="spellStart"/>
            <w:r>
              <w:rPr>
                <w:rFonts w:cs="Arial"/>
                <w:color w:val="000000"/>
                <w:sz w:val="20"/>
                <w:lang w:eastAsia="en-GB"/>
              </w:rPr>
              <w:t>LAs</w:t>
            </w:r>
            <w:proofErr w:type="spellEnd"/>
            <w:r>
              <w:rPr>
                <w:rFonts w:cs="Arial"/>
                <w:color w:val="000000"/>
                <w:sz w:val="20"/>
                <w:lang w:eastAsia="en-GB"/>
              </w:rPr>
              <w:t xml:space="preserve"> in their s251 Budget returns.</w:t>
            </w:r>
          </w:p>
        </w:tc>
        <w:tc>
          <w:tcPr>
            <w:tcW w:w="123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4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r>
      <w:tr w:rsidR="00DA0FB0" w:rsidTr="00F02174">
        <w:trPr>
          <w:trHeight w:val="802"/>
        </w:trPr>
        <w:tc>
          <w:tcPr>
            <w:tcW w:w="11340" w:type="dxa"/>
            <w:gridSpan w:val="8"/>
            <w:tcBorders>
              <w:top w:val="nil"/>
              <w:left w:val="nil"/>
              <w:bottom w:val="nil"/>
              <w:right w:val="nil"/>
            </w:tcBorders>
          </w:tcPr>
          <w:p w:rsidR="00DA0FB0" w:rsidRDefault="00DA0FB0">
            <w:pPr>
              <w:widowControl/>
              <w:overflowPunct/>
              <w:textAlignment w:val="auto"/>
              <w:rPr>
                <w:rFonts w:cs="Arial"/>
                <w:color w:val="000000"/>
                <w:sz w:val="20"/>
                <w:lang w:eastAsia="en-GB"/>
              </w:rPr>
            </w:pPr>
            <w:r>
              <w:rPr>
                <w:rFonts w:cs="Arial"/>
                <w:color w:val="000000"/>
                <w:sz w:val="20"/>
                <w:lang w:eastAsia="en-GB"/>
              </w:rPr>
              <w:t xml:space="preserve">2. Youth services includes spend on positive activities for young people, connexions, youth work, substance misuse, teenage pregnancy, discretionary awards and student support under new arrangements and mandatory awards (plus universal and </w:t>
            </w:r>
            <w:proofErr w:type="spellStart"/>
            <w:r>
              <w:rPr>
                <w:rFonts w:cs="Arial"/>
                <w:color w:val="000000"/>
                <w:sz w:val="20"/>
                <w:lang w:eastAsia="en-GB"/>
              </w:rPr>
              <w:t>targetted</w:t>
            </w:r>
            <w:proofErr w:type="spellEnd"/>
            <w:r>
              <w:rPr>
                <w:rFonts w:cs="Arial"/>
                <w:color w:val="000000"/>
                <w:sz w:val="20"/>
                <w:lang w:eastAsia="en-GB"/>
              </w:rPr>
              <w:t xml:space="preserve"> services for young people (including youth work, positive activities and IAG)).</w:t>
            </w:r>
          </w:p>
        </w:tc>
      </w:tr>
      <w:tr w:rsidR="00DA0FB0" w:rsidTr="00F02174">
        <w:trPr>
          <w:trHeight w:val="799"/>
        </w:trPr>
        <w:tc>
          <w:tcPr>
            <w:tcW w:w="11340" w:type="dxa"/>
            <w:gridSpan w:val="8"/>
            <w:tcBorders>
              <w:top w:val="nil"/>
              <w:left w:val="nil"/>
              <w:bottom w:val="nil"/>
              <w:right w:val="nil"/>
            </w:tcBorders>
          </w:tcPr>
          <w:p w:rsidR="00DA0FB0" w:rsidRDefault="00DA0FB0">
            <w:pPr>
              <w:widowControl/>
              <w:overflowPunct/>
              <w:textAlignment w:val="auto"/>
              <w:rPr>
                <w:rFonts w:cs="Arial"/>
                <w:color w:val="000000"/>
                <w:sz w:val="20"/>
                <w:lang w:eastAsia="en-GB"/>
              </w:rPr>
            </w:pPr>
            <w:r>
              <w:rPr>
                <w:rFonts w:cs="Arial"/>
                <w:color w:val="000000"/>
                <w:sz w:val="20"/>
                <w:lang w:eastAsia="en-GB"/>
              </w:rPr>
              <w:t xml:space="preserve">3. There are known data quality issues with some LA's s251 Budget returns. The issues </w:t>
            </w:r>
            <w:proofErr w:type="gramStart"/>
            <w:r>
              <w:rPr>
                <w:rFonts w:cs="Arial"/>
                <w:color w:val="000000"/>
                <w:sz w:val="20"/>
                <w:lang w:eastAsia="en-GB"/>
              </w:rPr>
              <w:t>effect</w:t>
            </w:r>
            <w:proofErr w:type="gramEnd"/>
            <w:r>
              <w:rPr>
                <w:rFonts w:cs="Arial"/>
                <w:color w:val="000000"/>
                <w:sz w:val="20"/>
                <w:lang w:eastAsia="en-GB"/>
              </w:rPr>
              <w:t xml:space="preserve"> the 'Youth Work' lines within Table 1 of the 251 Budget return which have been used to populate this table, with several </w:t>
            </w:r>
            <w:proofErr w:type="spellStart"/>
            <w:r>
              <w:rPr>
                <w:rFonts w:cs="Arial"/>
                <w:color w:val="000000"/>
                <w:sz w:val="20"/>
                <w:lang w:eastAsia="en-GB"/>
              </w:rPr>
              <w:t>LAs</w:t>
            </w:r>
            <w:proofErr w:type="spellEnd"/>
            <w:r>
              <w:rPr>
                <w:rFonts w:cs="Arial"/>
                <w:color w:val="000000"/>
                <w:sz w:val="20"/>
                <w:lang w:eastAsia="en-GB"/>
              </w:rPr>
              <w:t xml:space="preserve"> either submitting incorrect data or leaving the field blank in error.</w:t>
            </w:r>
          </w:p>
        </w:tc>
      </w:tr>
      <w:tr w:rsidR="00DA0FB0" w:rsidTr="00F02174">
        <w:trPr>
          <w:trHeight w:val="247"/>
        </w:trPr>
        <w:tc>
          <w:tcPr>
            <w:tcW w:w="6893" w:type="dxa"/>
            <w:gridSpan w:val="4"/>
            <w:tcBorders>
              <w:top w:val="nil"/>
              <w:left w:val="nil"/>
              <w:bottom w:val="nil"/>
              <w:right w:val="nil"/>
            </w:tcBorders>
          </w:tcPr>
          <w:p w:rsidR="00DA0FB0" w:rsidRDefault="00DA0FB0">
            <w:pPr>
              <w:widowControl/>
              <w:overflowPunct/>
              <w:textAlignment w:val="auto"/>
              <w:rPr>
                <w:rFonts w:cs="Arial"/>
                <w:color w:val="000000"/>
                <w:sz w:val="20"/>
                <w:lang w:eastAsia="en-GB"/>
              </w:rPr>
            </w:pPr>
            <w:r>
              <w:rPr>
                <w:rFonts w:cs="Arial"/>
                <w:color w:val="000000"/>
                <w:sz w:val="20"/>
                <w:lang w:eastAsia="en-GB"/>
              </w:rPr>
              <w:t>4. Per capita figures are based on 13 to 19 year olds as at 31 August.</w:t>
            </w:r>
          </w:p>
        </w:tc>
        <w:tc>
          <w:tcPr>
            <w:tcW w:w="123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4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r>
      <w:tr w:rsidR="00DA0FB0" w:rsidTr="00F02174">
        <w:trPr>
          <w:trHeight w:val="247"/>
        </w:trPr>
        <w:tc>
          <w:tcPr>
            <w:tcW w:w="66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298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625"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625"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231"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87"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c>
          <w:tcPr>
            <w:tcW w:w="1042" w:type="dxa"/>
            <w:tcBorders>
              <w:top w:val="nil"/>
              <w:left w:val="nil"/>
              <w:bottom w:val="nil"/>
              <w:right w:val="nil"/>
            </w:tcBorders>
          </w:tcPr>
          <w:p w:rsidR="00DA0FB0" w:rsidRDefault="00DA0FB0">
            <w:pPr>
              <w:widowControl/>
              <w:overflowPunct/>
              <w:jc w:val="right"/>
              <w:textAlignment w:val="auto"/>
              <w:rPr>
                <w:rFonts w:cs="Arial"/>
                <w:color w:val="000000"/>
                <w:sz w:val="20"/>
                <w:lang w:eastAsia="en-GB"/>
              </w:rPr>
            </w:pPr>
          </w:p>
        </w:tc>
      </w:tr>
    </w:tbl>
    <w:p w:rsidR="00DA0FB0" w:rsidRPr="00AF1C07" w:rsidRDefault="00DA0FB0" w:rsidP="00AF1C07">
      <w:pPr>
        <w:pStyle w:val="DeptBullets"/>
        <w:numPr>
          <w:ilvl w:val="0"/>
          <w:numId w:val="0"/>
        </w:numPr>
      </w:pPr>
    </w:p>
    <w:sectPr w:rsidR="00DA0FB0" w:rsidRPr="00AF1C07" w:rsidSect="00A723E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FB0" w:rsidRDefault="00DA0FB0">
      <w:r>
        <w:separator/>
      </w:r>
    </w:p>
  </w:endnote>
  <w:endnote w:type="continuationSeparator" w:id="0">
    <w:p w:rsidR="00DA0FB0" w:rsidRDefault="00DA0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B0" w:rsidRDefault="0064366A">
    <w:pPr>
      <w:pStyle w:val="Footer"/>
      <w:jc w:val="center"/>
    </w:pPr>
    <w:fldSimple w:instr=" PAGE   \* MERGEFORMAT ">
      <w:r w:rsidR="007F7DF0">
        <w:rPr>
          <w:noProof/>
        </w:rPr>
        <w:t>1</w:t>
      </w:r>
    </w:fldSimple>
  </w:p>
  <w:p w:rsidR="00DA0FB0" w:rsidRDefault="00DA0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FB0" w:rsidRDefault="00DA0FB0">
      <w:r>
        <w:separator/>
      </w:r>
    </w:p>
  </w:footnote>
  <w:footnote w:type="continuationSeparator" w:id="0">
    <w:p w:rsidR="00DA0FB0" w:rsidRDefault="00DA0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9042462"/>
    <w:multiLevelType w:val="hybridMultilevel"/>
    <w:tmpl w:val="F21A9392"/>
    <w:lvl w:ilvl="0" w:tplc="79A87EFA">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E516FCF"/>
    <w:multiLevelType w:val="hybridMultilevel"/>
    <w:tmpl w:val="4B9E616E"/>
    <w:lvl w:ilvl="0" w:tplc="2CC29814">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174"/>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3F6B2C"/>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4366A"/>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7F7DF0"/>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A5D4F"/>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723E6"/>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A0FB0"/>
    <w:rsid w:val="00DB4C12"/>
    <w:rsid w:val="00E0081E"/>
    <w:rsid w:val="00E02094"/>
    <w:rsid w:val="00E10F4C"/>
    <w:rsid w:val="00E2419F"/>
    <w:rsid w:val="00E366D6"/>
    <w:rsid w:val="00E63D8B"/>
    <w:rsid w:val="00E81F4B"/>
    <w:rsid w:val="00EA11BE"/>
    <w:rsid w:val="00EC644A"/>
    <w:rsid w:val="00EC6A3F"/>
    <w:rsid w:val="00F02174"/>
    <w:rsid w:val="00F30554"/>
    <w:rsid w:val="00F348D2"/>
    <w:rsid w:val="00F4485F"/>
    <w:rsid w:val="00F44B6A"/>
    <w:rsid w:val="00F521C7"/>
    <w:rsid w:val="00F6010B"/>
    <w:rsid w:val="00F60BF8"/>
    <w:rsid w:val="00F64863"/>
    <w:rsid w:val="00F960C1"/>
    <w:rsid w:val="00FA0331"/>
    <w:rsid w:val="00FB4AA8"/>
    <w:rsid w:val="00FC049C"/>
    <w:rsid w:val="00FC1C0E"/>
    <w:rsid w:val="00FC5ED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szCs w:val="20"/>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C27CBD"/>
    <w:rPr>
      <w:rFonts w:asciiTheme="majorHAnsi" w:eastAsiaTheme="majorEastAsia" w:hAnsiTheme="majorHAnsi" w:cstheme="majorBidi"/>
      <w:b/>
      <w:bCs/>
      <w:kern w:val="32"/>
      <w:sz w:val="32"/>
      <w:szCs w:val="32"/>
      <w:lang w:eastAsia="en-US"/>
    </w:rPr>
  </w:style>
  <w:style w:type="character" w:customStyle="1" w:styleId="Heading2Char">
    <w:name w:val="Heading 2 Char"/>
    <w:aliases w:val="Numbered - 2 Char"/>
    <w:basedOn w:val="DefaultParagraphFont"/>
    <w:link w:val="Heading2"/>
    <w:uiPriority w:val="9"/>
    <w:semiHidden/>
    <w:rsid w:val="00C27CBD"/>
    <w:rPr>
      <w:rFonts w:asciiTheme="majorHAnsi" w:eastAsiaTheme="majorEastAsia" w:hAnsiTheme="majorHAnsi" w:cstheme="majorBidi"/>
      <w:b/>
      <w:bCs/>
      <w:i/>
      <w:iCs/>
      <w:sz w:val="28"/>
      <w:szCs w:val="28"/>
      <w:lang w:eastAsia="en-US"/>
    </w:rPr>
  </w:style>
  <w:style w:type="character" w:customStyle="1" w:styleId="Heading3Char">
    <w:name w:val="Heading 3 Char"/>
    <w:aliases w:val="Numbered - 3 Char"/>
    <w:basedOn w:val="DefaultParagraphFont"/>
    <w:link w:val="Heading3"/>
    <w:uiPriority w:val="9"/>
    <w:semiHidden/>
    <w:rsid w:val="00C27CBD"/>
    <w:rPr>
      <w:rFonts w:asciiTheme="majorHAnsi" w:eastAsiaTheme="majorEastAsia" w:hAnsiTheme="majorHAnsi" w:cstheme="majorBidi"/>
      <w:b/>
      <w:bCs/>
      <w:sz w:val="26"/>
      <w:szCs w:val="26"/>
      <w:lang w:eastAsia="en-US"/>
    </w:rPr>
  </w:style>
  <w:style w:type="character" w:customStyle="1" w:styleId="Heading4Char">
    <w:name w:val="Heading 4 Char"/>
    <w:aliases w:val="Numbered - 4 Char"/>
    <w:basedOn w:val="DefaultParagraphFont"/>
    <w:link w:val="Heading4"/>
    <w:uiPriority w:val="9"/>
    <w:semiHidden/>
    <w:rsid w:val="00C27CBD"/>
    <w:rPr>
      <w:rFonts w:asciiTheme="minorHAnsi" w:eastAsiaTheme="minorEastAsia" w:hAnsiTheme="minorHAnsi" w:cstheme="minorBidi"/>
      <w:b/>
      <w:bCs/>
      <w:sz w:val="28"/>
      <w:szCs w:val="28"/>
      <w:lang w:eastAsia="en-US"/>
    </w:rPr>
  </w:style>
  <w:style w:type="character" w:customStyle="1" w:styleId="Heading5Char">
    <w:name w:val="Heading 5 Char"/>
    <w:aliases w:val="Numbered - 5 Char"/>
    <w:basedOn w:val="DefaultParagraphFont"/>
    <w:link w:val="Heading5"/>
    <w:uiPriority w:val="9"/>
    <w:semiHidden/>
    <w:rsid w:val="00C27CBD"/>
    <w:rPr>
      <w:rFonts w:asciiTheme="minorHAnsi" w:eastAsiaTheme="minorEastAsia" w:hAnsiTheme="minorHAnsi" w:cstheme="minorBidi"/>
      <w:b/>
      <w:bCs/>
      <w:i/>
      <w:iCs/>
      <w:sz w:val="26"/>
      <w:szCs w:val="26"/>
      <w:lang w:eastAsia="en-US"/>
    </w:rPr>
  </w:style>
  <w:style w:type="character" w:customStyle="1" w:styleId="Heading6Char">
    <w:name w:val="Heading 6 Char"/>
    <w:aliases w:val="Numbered - 6 Char"/>
    <w:basedOn w:val="DefaultParagraphFont"/>
    <w:link w:val="Heading6"/>
    <w:uiPriority w:val="9"/>
    <w:semiHidden/>
    <w:rsid w:val="00C27CBD"/>
    <w:rPr>
      <w:rFonts w:asciiTheme="minorHAnsi" w:eastAsiaTheme="minorEastAsia" w:hAnsiTheme="minorHAnsi" w:cstheme="minorBidi"/>
      <w:b/>
      <w:bCs/>
      <w:lang w:eastAsia="en-US"/>
    </w:rPr>
  </w:style>
  <w:style w:type="character" w:customStyle="1" w:styleId="Heading7Char">
    <w:name w:val="Heading 7 Char"/>
    <w:aliases w:val="Numbered - 7 Char"/>
    <w:basedOn w:val="DefaultParagraphFont"/>
    <w:link w:val="Heading7"/>
    <w:uiPriority w:val="9"/>
    <w:semiHidden/>
    <w:rsid w:val="00C27CBD"/>
    <w:rPr>
      <w:rFonts w:asciiTheme="minorHAnsi" w:eastAsiaTheme="minorEastAsia" w:hAnsiTheme="minorHAnsi" w:cstheme="minorBidi"/>
      <w:sz w:val="24"/>
      <w:szCs w:val="24"/>
      <w:lang w:eastAsia="en-US"/>
    </w:rPr>
  </w:style>
  <w:style w:type="character" w:customStyle="1" w:styleId="Heading8Char">
    <w:name w:val="Heading 8 Char"/>
    <w:aliases w:val="Numbered - 8 Char"/>
    <w:basedOn w:val="DefaultParagraphFont"/>
    <w:link w:val="Heading8"/>
    <w:uiPriority w:val="9"/>
    <w:semiHidden/>
    <w:rsid w:val="00C27CBD"/>
    <w:rPr>
      <w:rFonts w:asciiTheme="minorHAnsi" w:eastAsiaTheme="minorEastAsia" w:hAnsiTheme="minorHAnsi" w:cstheme="minorBidi"/>
      <w:i/>
      <w:iCs/>
      <w:sz w:val="24"/>
      <w:szCs w:val="24"/>
      <w:lang w:eastAsia="en-US"/>
    </w:rPr>
  </w:style>
  <w:style w:type="character" w:customStyle="1" w:styleId="Heading9Char">
    <w:name w:val="Heading 9 Char"/>
    <w:aliases w:val="Numbered - 9 Char"/>
    <w:basedOn w:val="DefaultParagraphFont"/>
    <w:link w:val="Heading9"/>
    <w:uiPriority w:val="9"/>
    <w:semiHidden/>
    <w:rsid w:val="00C27CBD"/>
    <w:rPr>
      <w:rFonts w:asciiTheme="majorHAnsi" w:eastAsiaTheme="majorEastAsia" w:hAnsiTheme="majorHAnsi" w:cstheme="majorBidi"/>
      <w:lang w:eastAsia="en-US"/>
    </w:rPr>
  </w:style>
  <w:style w:type="paragraph" w:styleId="BodyText">
    <w:name w:val="Body Text"/>
    <w:basedOn w:val="Normal"/>
    <w:link w:val="BodyTextChar"/>
    <w:uiPriority w:val="99"/>
    <w:rsid w:val="00AF1C07"/>
  </w:style>
  <w:style w:type="character" w:customStyle="1" w:styleId="BodyTextChar">
    <w:name w:val="Body Text Char"/>
    <w:basedOn w:val="DefaultParagraphFont"/>
    <w:link w:val="BodyText"/>
    <w:uiPriority w:val="99"/>
    <w:semiHidden/>
    <w:rsid w:val="00C27CBD"/>
    <w:rPr>
      <w:rFonts w:ascii="Arial" w:hAnsi="Arial"/>
      <w:sz w:val="24"/>
      <w:szCs w:val="20"/>
      <w:lang w:eastAsia="en-US"/>
    </w:rPr>
  </w:style>
  <w:style w:type="paragraph" w:styleId="BodyTextIndent">
    <w:name w:val="Body Text Indent"/>
    <w:basedOn w:val="Normal"/>
    <w:link w:val="BodyTextIndentChar"/>
    <w:uiPriority w:val="99"/>
    <w:rsid w:val="00AF1C07"/>
    <w:pPr>
      <w:ind w:left="288"/>
    </w:pPr>
  </w:style>
  <w:style w:type="character" w:customStyle="1" w:styleId="BodyTextIndentChar">
    <w:name w:val="Body Text Indent Char"/>
    <w:basedOn w:val="DefaultParagraphFont"/>
    <w:link w:val="BodyTextIndent"/>
    <w:uiPriority w:val="99"/>
    <w:semiHidden/>
    <w:rsid w:val="00C27CBD"/>
    <w:rPr>
      <w:rFonts w:ascii="Arial" w:hAnsi="Arial"/>
      <w:sz w:val="24"/>
      <w:szCs w:val="20"/>
      <w:lang w:eastAsia="en-US"/>
    </w:r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character" w:customStyle="1" w:styleId="FooterChar">
    <w:name w:val="Footer Char"/>
    <w:basedOn w:val="DefaultParagraphFont"/>
    <w:link w:val="Footer"/>
    <w:uiPriority w:val="99"/>
    <w:locked/>
    <w:rsid w:val="00F02174"/>
    <w:rPr>
      <w:rFonts w:ascii="Arial" w:hAnsi="Arial" w:cs="Times New Roman"/>
      <w:sz w:val="24"/>
      <w:lang w:eastAsia="en-US"/>
    </w:rPr>
  </w:style>
  <w:style w:type="paragraph" w:styleId="Header">
    <w:name w:val="header"/>
    <w:basedOn w:val="Normal"/>
    <w:link w:val="HeaderChar"/>
    <w:uiPriority w:val="99"/>
    <w:rsid w:val="00AF1C07"/>
    <w:pPr>
      <w:tabs>
        <w:tab w:val="center" w:pos="4153"/>
        <w:tab w:val="right" w:pos="8306"/>
      </w:tabs>
    </w:pPr>
  </w:style>
  <w:style w:type="character" w:customStyle="1" w:styleId="HeaderChar">
    <w:name w:val="Header Char"/>
    <w:basedOn w:val="DefaultParagraphFont"/>
    <w:link w:val="Header"/>
    <w:uiPriority w:val="99"/>
    <w:locked/>
    <w:rsid w:val="00F02174"/>
    <w:rPr>
      <w:rFonts w:ascii="Arial" w:hAnsi="Arial" w:cs="Times New Roman"/>
      <w:sz w:val="24"/>
      <w:lang w:eastAsia="en-US"/>
    </w:r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basedOn w:val="DefaultParagraphFont"/>
    <w:uiPriority w:val="99"/>
    <w:rsid w:val="00AF1C07"/>
    <w:rPr>
      <w:rFonts w:cs="Times New Roman"/>
    </w:rPr>
  </w:style>
  <w:style w:type="character" w:customStyle="1" w:styleId="PersonalComposeStyle">
    <w:name w:val="Personal Compose Style"/>
    <w:basedOn w:val="DefaultParagraphFont"/>
    <w:uiPriority w:val="99"/>
    <w:rsid w:val="00AF1C07"/>
    <w:rPr>
      <w:rFonts w:ascii="Arial" w:hAnsi="Arial" w:cs="Arial"/>
      <w:color w:val="auto"/>
      <w:sz w:val="20"/>
    </w:rPr>
  </w:style>
  <w:style w:type="character" w:customStyle="1" w:styleId="PersonalReplyStyle">
    <w:name w:val="Personal Reply Style"/>
    <w:basedOn w:val="DefaultParagraphFont"/>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character" w:customStyle="1" w:styleId="SubtitleChar">
    <w:name w:val="Subtitle Char"/>
    <w:basedOn w:val="DefaultParagraphFont"/>
    <w:link w:val="Subtitle"/>
    <w:uiPriority w:val="11"/>
    <w:rsid w:val="00C27CBD"/>
    <w:rPr>
      <w:rFonts w:asciiTheme="majorHAnsi" w:eastAsiaTheme="majorEastAsia" w:hAnsiTheme="majorHAnsi" w:cstheme="majorBidi"/>
      <w:sz w:val="24"/>
      <w:szCs w:val="24"/>
      <w:lang w:eastAsia="en-US"/>
    </w:rPr>
  </w:style>
  <w:style w:type="paragraph" w:customStyle="1" w:styleId="DfESOutNumbered">
    <w:name w:val="DfESOutNumbered"/>
    <w:basedOn w:val="Normal"/>
    <w:uiPriority w:val="99"/>
    <w:rsid w:val="00AF1C07"/>
    <w:pPr>
      <w:numPr>
        <w:numId w:val="4"/>
      </w:numPr>
      <w:spacing w:after="240"/>
    </w:pPr>
    <w:rPr>
      <w:rFonts w:cs="Arial"/>
      <w:sz w:val="22"/>
    </w:rPr>
  </w:style>
  <w:style w:type="paragraph" w:customStyle="1" w:styleId="DfESBullets">
    <w:name w:val="DfESBullets"/>
    <w:basedOn w:val="Normal"/>
    <w:uiPriority w:val="99"/>
    <w:rsid w:val="00AF1C07"/>
    <w:pPr>
      <w:numPr>
        <w:numId w:val="5"/>
      </w:numPr>
      <w:spacing w:after="240"/>
    </w:pPr>
    <w:rPr>
      <w:rFonts w:cs="Arial"/>
      <w:sz w:val="22"/>
    </w:rPr>
  </w:style>
  <w:style w:type="paragraph" w:styleId="ListParagraph">
    <w:name w:val="List Paragraph"/>
    <w:basedOn w:val="Normal"/>
    <w:uiPriority w:val="99"/>
    <w:qFormat/>
    <w:rsid w:val="007463C5"/>
    <w:pPr>
      <w:ind w:left="720"/>
      <w:contextualSpacing/>
    </w:pPr>
  </w:style>
  <w:style w:type="character" w:styleId="Hyperlink">
    <w:name w:val="Hyperlink"/>
    <w:basedOn w:val="DefaultParagraphFont"/>
    <w:uiPriority w:val="99"/>
    <w:rsid w:val="00F02174"/>
    <w:rPr>
      <w:rFonts w:cs="Times New Roman"/>
      <w:color w:val="0000FF"/>
      <w:u w:val="single"/>
    </w:rPr>
  </w:style>
  <w:style w:type="character" w:styleId="FollowedHyperlink">
    <w:name w:val="FollowedHyperlink"/>
    <w:basedOn w:val="DefaultParagraphFont"/>
    <w:uiPriority w:val="99"/>
    <w:rsid w:val="00F02174"/>
    <w:rPr>
      <w:rFonts w:cs="Times New Roman"/>
      <w:color w:val="800080"/>
      <w:u w:val="single"/>
    </w:rPr>
  </w:style>
  <w:style w:type="paragraph" w:customStyle="1" w:styleId="font5">
    <w:name w:val="font5"/>
    <w:basedOn w:val="Normal"/>
    <w:uiPriority w:val="99"/>
    <w:rsid w:val="00F02174"/>
    <w:pPr>
      <w:widowControl/>
      <w:overflowPunct/>
      <w:autoSpaceDE/>
      <w:autoSpaceDN/>
      <w:adjustRightInd/>
      <w:spacing w:before="100" w:beforeAutospacing="1" w:after="100" w:afterAutospacing="1"/>
      <w:textAlignment w:val="auto"/>
    </w:pPr>
    <w:rPr>
      <w:rFonts w:cs="Arial"/>
      <w:b/>
      <w:bCs/>
      <w:sz w:val="20"/>
      <w:u w:val="single"/>
      <w:lang w:eastAsia="en-GB"/>
    </w:rPr>
  </w:style>
  <w:style w:type="paragraph" w:customStyle="1" w:styleId="xl68">
    <w:name w:val="xl68"/>
    <w:basedOn w:val="Normal"/>
    <w:uiPriority w:val="99"/>
    <w:rsid w:val="00F02174"/>
    <w:pPr>
      <w:widowControl/>
      <w:overflowPunct/>
      <w:autoSpaceDE/>
      <w:autoSpaceDN/>
      <w:adjustRightInd/>
      <w:spacing w:before="100" w:beforeAutospacing="1" w:after="100" w:afterAutospacing="1"/>
      <w:textAlignment w:val="auto"/>
    </w:pPr>
    <w:rPr>
      <w:rFonts w:ascii="Times New Roman" w:hAnsi="Times New Roman"/>
      <w:b/>
      <w:bCs/>
      <w:szCs w:val="24"/>
      <w:u w:val="single"/>
      <w:lang w:eastAsia="en-GB"/>
    </w:rPr>
  </w:style>
  <w:style w:type="paragraph" w:customStyle="1" w:styleId="xl69">
    <w:name w:val="xl69"/>
    <w:basedOn w:val="Normal"/>
    <w:uiPriority w:val="99"/>
    <w:rsid w:val="00F02174"/>
    <w:pPr>
      <w:widowControl/>
      <w:pBdr>
        <w:bottom w:val="single" w:sz="4" w:space="0" w:color="auto"/>
      </w:pBdr>
      <w:overflowPunct/>
      <w:autoSpaceDE/>
      <w:autoSpaceDN/>
      <w:adjustRightInd/>
      <w:spacing w:before="100" w:beforeAutospacing="1" w:after="100" w:afterAutospacing="1"/>
      <w:textAlignment w:val="auto"/>
    </w:pPr>
    <w:rPr>
      <w:rFonts w:ascii="Times New Roman" w:hAnsi="Times New Roman"/>
      <w:b/>
      <w:bCs/>
      <w:color w:val="FF0000"/>
      <w:szCs w:val="24"/>
      <w:lang w:eastAsia="en-GB"/>
    </w:rPr>
  </w:style>
  <w:style w:type="paragraph" w:customStyle="1" w:styleId="xl70">
    <w:name w:val="xl70"/>
    <w:basedOn w:val="Normal"/>
    <w:uiPriority w:val="99"/>
    <w:rsid w:val="00F02174"/>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Cs w:val="24"/>
      <w:lang w:eastAsia="en-GB"/>
    </w:rPr>
  </w:style>
  <w:style w:type="paragraph" w:customStyle="1" w:styleId="xl71">
    <w:name w:val="xl71"/>
    <w:basedOn w:val="Normal"/>
    <w:uiPriority w:val="99"/>
    <w:rsid w:val="00F02174"/>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Cs w:val="24"/>
      <w:lang w:eastAsia="en-GB"/>
    </w:rPr>
  </w:style>
  <w:style w:type="paragraph" w:customStyle="1" w:styleId="xl72">
    <w:name w:val="xl72"/>
    <w:basedOn w:val="Normal"/>
    <w:uiPriority w:val="99"/>
    <w:rsid w:val="00F0217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Cs w:val="24"/>
      <w:lang w:eastAsia="en-GB"/>
    </w:rPr>
  </w:style>
  <w:style w:type="paragraph" w:customStyle="1" w:styleId="xl73">
    <w:name w:val="xl73"/>
    <w:basedOn w:val="Normal"/>
    <w:uiPriority w:val="99"/>
    <w:rsid w:val="00F02174"/>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Cs w:val="24"/>
      <w:lang w:eastAsia="en-GB"/>
    </w:rPr>
  </w:style>
  <w:style w:type="paragraph" w:customStyle="1" w:styleId="xl74">
    <w:name w:val="xl74"/>
    <w:basedOn w:val="Normal"/>
    <w:uiPriority w:val="99"/>
    <w:rsid w:val="00F0217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Cs w:val="24"/>
      <w:lang w:eastAsia="en-GB"/>
    </w:rPr>
  </w:style>
  <w:style w:type="paragraph" w:customStyle="1" w:styleId="xl75">
    <w:name w:val="xl75"/>
    <w:basedOn w:val="Normal"/>
    <w:uiPriority w:val="99"/>
    <w:rsid w:val="00F02174"/>
    <w:pPr>
      <w:widowControl/>
      <w:overflowPunct/>
      <w:autoSpaceDE/>
      <w:autoSpaceDN/>
      <w:adjustRightInd/>
      <w:spacing w:before="100" w:beforeAutospacing="1" w:after="100" w:afterAutospacing="1"/>
      <w:textAlignment w:val="center"/>
    </w:pPr>
    <w:rPr>
      <w:rFonts w:ascii="Times New Roman" w:hAnsi="Times New Roman"/>
      <w:b/>
      <w:bCs/>
      <w:szCs w:val="24"/>
      <w:lang w:eastAsia="en-GB"/>
    </w:rPr>
  </w:style>
  <w:style w:type="paragraph" w:customStyle="1" w:styleId="xl76">
    <w:name w:val="xl76"/>
    <w:basedOn w:val="Normal"/>
    <w:uiPriority w:val="99"/>
    <w:rsid w:val="00F0217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Cs w:val="24"/>
      <w:lang w:eastAsia="en-GB"/>
    </w:rPr>
  </w:style>
  <w:style w:type="paragraph" w:customStyle="1" w:styleId="xl77">
    <w:name w:val="xl77"/>
    <w:basedOn w:val="Normal"/>
    <w:uiPriority w:val="99"/>
    <w:rsid w:val="00F0217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b/>
      <w:bCs/>
      <w:szCs w:val="24"/>
      <w:lang w:eastAsia="en-GB"/>
    </w:rPr>
  </w:style>
  <w:style w:type="paragraph" w:customStyle="1" w:styleId="xl78">
    <w:name w:val="xl78"/>
    <w:basedOn w:val="Normal"/>
    <w:uiPriority w:val="99"/>
    <w:rsid w:val="00F0217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b/>
      <w:bCs/>
      <w:szCs w:val="24"/>
      <w:lang w:eastAsia="en-GB"/>
    </w:rPr>
  </w:style>
  <w:style w:type="paragraph" w:customStyle="1" w:styleId="xl79">
    <w:name w:val="xl79"/>
    <w:basedOn w:val="Normal"/>
    <w:uiPriority w:val="99"/>
    <w:rsid w:val="00F02174"/>
    <w:pPr>
      <w:widowControl/>
      <w:overflowPunct/>
      <w:autoSpaceDE/>
      <w:autoSpaceDN/>
      <w:adjustRightInd/>
      <w:spacing w:before="100" w:beforeAutospacing="1" w:after="100" w:afterAutospacing="1"/>
      <w:jc w:val="right"/>
      <w:textAlignment w:val="center"/>
    </w:pPr>
    <w:rPr>
      <w:rFonts w:ascii="Times New Roman" w:hAnsi="Times New Roman"/>
      <w:b/>
      <w:bCs/>
      <w:szCs w:val="24"/>
      <w:lang w:eastAsia="en-GB"/>
    </w:rPr>
  </w:style>
  <w:style w:type="paragraph" w:customStyle="1" w:styleId="xl80">
    <w:name w:val="xl80"/>
    <w:basedOn w:val="Normal"/>
    <w:uiPriority w:val="99"/>
    <w:rsid w:val="00F0217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xl81">
    <w:name w:val="xl81"/>
    <w:basedOn w:val="Normal"/>
    <w:uiPriority w:val="99"/>
    <w:rsid w:val="00F0217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lang w:eastAsia="en-GB"/>
    </w:rPr>
  </w:style>
  <w:style w:type="paragraph" w:customStyle="1" w:styleId="xl82">
    <w:name w:val="xl82"/>
    <w:basedOn w:val="Normal"/>
    <w:uiPriority w:val="99"/>
    <w:rsid w:val="00F0217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szCs w:val="24"/>
      <w:lang w:eastAsia="en-GB"/>
    </w:rPr>
  </w:style>
  <w:style w:type="paragraph" w:customStyle="1" w:styleId="xl83">
    <w:name w:val="xl83"/>
    <w:basedOn w:val="Normal"/>
    <w:uiPriority w:val="99"/>
    <w:rsid w:val="00F0217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szCs w:val="24"/>
      <w:lang w:eastAsia="en-GB"/>
    </w:rPr>
  </w:style>
  <w:style w:type="paragraph" w:customStyle="1" w:styleId="xl84">
    <w:name w:val="xl84"/>
    <w:basedOn w:val="Normal"/>
    <w:uiPriority w:val="99"/>
    <w:rsid w:val="00F02174"/>
    <w:pPr>
      <w:widowControl/>
      <w:pBdr>
        <w:top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lang w:eastAsia="en-GB"/>
    </w:rPr>
  </w:style>
  <w:style w:type="paragraph" w:customStyle="1" w:styleId="xl85">
    <w:name w:val="xl85"/>
    <w:basedOn w:val="Normal"/>
    <w:uiPriority w:val="99"/>
    <w:rsid w:val="00F02174"/>
    <w:pPr>
      <w:widowControl/>
      <w:pBdr>
        <w:top w:val="single" w:sz="4" w:space="0" w:color="auto"/>
      </w:pBd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xl86">
    <w:name w:val="xl86"/>
    <w:basedOn w:val="Normal"/>
    <w:uiPriority w:val="99"/>
    <w:rsid w:val="00F02174"/>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Cs w:val="24"/>
      <w:lang w:eastAsia="en-GB"/>
    </w:rPr>
  </w:style>
  <w:style w:type="paragraph" w:customStyle="1" w:styleId="xl87">
    <w:name w:val="xl87"/>
    <w:basedOn w:val="Normal"/>
    <w:uiPriority w:val="99"/>
    <w:rsid w:val="00F0217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xl88">
    <w:name w:val="xl88"/>
    <w:basedOn w:val="Normal"/>
    <w:uiPriority w:val="99"/>
    <w:rsid w:val="00F0217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998584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2768</Words>
  <Characters>32583</Characters>
  <Application>Microsoft Office Word</Application>
  <DocSecurity>0</DocSecurity>
  <Lines>271</Lines>
  <Paragraphs>70</Paragraphs>
  <ScaleCrop>false</ScaleCrop>
  <Company>Houses of Parliament</Company>
  <LinksUpToDate>false</LinksUpToDate>
  <CharactersWithSpaces>35281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121781: Table to be placed in the House of Commons Library</dc:title>
  <dc:creator>PURDY, Jan</dc:creator>
  <cp:lastModifiedBy>Laura McDonald</cp:lastModifiedBy>
  <cp:revision>2</cp:revision>
  <dcterms:created xsi:type="dcterms:W3CDTF">2012-10-16T13:18:00Z</dcterms:created>
  <dcterms:modified xsi:type="dcterms:W3CDTF">2012-10-16T13:18:00Z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0x0101000706A8051BDDA64C90F797109D7E80C9003FA3C63982A44316817BAF8506D347AC0022E7B6ABC8804B46AF31222DC1A74D75</vt:lpwstr>
  </property>
  <property fmtid="{D5CDD505-2E9C-101B-9397-08002B2CF9AE}" pid="3" name="SecurityClassification">
    <vt:lpwstr/>
  </property>
  <property fmtid="{D5CDD505-2E9C-101B-9397-08002B2CF9AE}" pid="4" name="Team">
    <vt:lpwstr/>
  </property>
  <property fmtid="{D5CDD505-2E9C-101B-9397-08002B2CF9AE}" pid="5" name="SiteTypeOOB">
    <vt:lpwstr/>
  </property>
  <property fmtid="{D5CDD505-2E9C-101B-9397-08002B2CF9AE}" pid="6" name="Owner">
    <vt:lpwstr/>
  </property>
  <property fmtid="{D5CDD505-2E9C-101B-9397-08002B2CF9AE}" pid="7" name="DocumentSubjectOOB">
    <vt:lpwstr/>
  </property>
  <property fmtid="{D5CDD505-2E9C-101B-9397-08002B2CF9AE}" pid="8" name="_Source">
    <vt:lpwstr/>
  </property>
  <property fmtid="{D5CDD505-2E9C-101B-9397-08002B2CF9AE}" pid="9" name="IsLink">
    <vt:lpwstr/>
  </property>
  <property fmtid="{D5CDD505-2E9C-101B-9397-08002B2CF9AE}" pid="10" name="Function2">
    <vt:lpwstr/>
  </property>
  <property fmtid="{D5CDD505-2E9C-101B-9397-08002B2CF9AE}" pid="11" name="OwnerOOB">
    <vt:lpwstr/>
  </property>
  <property fmtid="{D5CDD505-2E9C-101B-9397-08002B2CF9AE}" pid="12" name="Division">
    <vt:lpwstr>Young People Division</vt:lpwstr>
  </property>
  <property fmtid="{D5CDD505-2E9C-101B-9397-08002B2CF9AE}" pid="13" name="SecurityClassificationOOB">
    <vt:lpwstr>unclassified</vt:lpwstr>
  </property>
  <property fmtid="{D5CDD505-2E9C-101B-9397-08002B2CF9AE}" pid="14" name="DCSFContributor">
    <vt:lpwstr/>
  </property>
  <property fmtid="{D5CDD505-2E9C-101B-9397-08002B2CF9AE}" pid="15" name="SiteType">
    <vt:lpwstr/>
  </property>
  <property fmtid="{D5CDD505-2E9C-101B-9397-08002B2CF9AE}" pid="16" name="DocumentStatus">
    <vt:lpwstr/>
  </property>
  <property fmtid="{D5CDD505-2E9C-101B-9397-08002B2CF9AE}" pid="17" name="DocumentStatusOOB">
    <vt:lpwstr>draft</vt:lpwstr>
  </property>
  <property fmtid="{D5CDD505-2E9C-101B-9397-08002B2CF9AE}" pid="18" name="Function2OOB">
    <vt:lpwstr/>
  </property>
  <property fmtid="{D5CDD505-2E9C-101B-9397-08002B2CF9AE}" pid="19" name="IWPGroup">
    <vt:lpwstr/>
  </property>
  <property fmtid="{D5CDD505-2E9C-101B-9397-08002B2CF9AE}" pid="20" name="DocumentSubject">
    <vt:lpwstr/>
  </property>
  <property fmtid="{D5CDD505-2E9C-101B-9397-08002B2CF9AE}" pid="21" name="IWPGroupOOB">
    <vt:lpwstr>Child Well-being Group</vt:lpwstr>
  </property>
  <property fmtid="{D5CDD505-2E9C-101B-9397-08002B2CF9AE}" pid="22" name="_Version">
    <vt:lpwstr/>
  </property>
  <property fmtid="{D5CDD505-2E9C-101B-9397-08002B2CF9AE}" pid="23" name="Description">
    <vt:lpwstr/>
  </property>
</Properties>
</file>